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AAE586" w14:textId="52ADF60B" w:rsidR="009761FC" w:rsidRPr="009761FC" w:rsidRDefault="009761FC" w:rsidP="009761FC">
      <w:pPr>
        <w:pStyle w:val="NormalWeb"/>
        <w:rPr>
          <w:rFonts w:ascii="Calibri" w:hAnsi="Calibri" w:cs="Calibri"/>
          <w:color w:val="000000"/>
          <w:u w:val="single"/>
        </w:rPr>
      </w:pPr>
      <w:r w:rsidRPr="009761FC">
        <w:rPr>
          <w:rFonts w:ascii="Calibri" w:hAnsi="Calibri" w:cs="Calibri"/>
          <w:color w:val="000000"/>
          <w:u w:val="single"/>
        </w:rPr>
        <w:t>Abstract: Sophie Orton – Investigating the Role of Asprosin in Women’s Reproductive Function</w:t>
      </w:r>
    </w:p>
    <w:p w14:paraId="000BD2BD" w14:textId="77777777" w:rsidR="009761FC" w:rsidRDefault="009761FC" w:rsidP="009761FC">
      <w:pPr>
        <w:pStyle w:val="NormalWeb"/>
        <w:rPr>
          <w:rFonts w:ascii="Calibri" w:hAnsi="Calibri" w:cs="Calibri"/>
          <w:color w:val="000000"/>
        </w:rPr>
      </w:pPr>
      <w:r w:rsidRPr="009761FC">
        <w:rPr>
          <w:rFonts w:ascii="Calibri" w:hAnsi="Calibri" w:cs="Calibri"/>
          <w:color w:val="000000"/>
        </w:rPr>
        <w:t xml:space="preserve">Asprosin is a recently identified fasting-induced adipokine with glucogenic and orexigenic functions. Elevated circulating asprosin levels have been identified in </w:t>
      </w:r>
      <w:proofErr w:type="gramStart"/>
      <w:r w:rsidRPr="009761FC">
        <w:rPr>
          <w:rFonts w:ascii="Calibri" w:hAnsi="Calibri" w:cs="Calibri"/>
          <w:color w:val="000000"/>
        </w:rPr>
        <w:t>a number of</w:t>
      </w:r>
      <w:proofErr w:type="gramEnd"/>
      <w:r w:rsidRPr="009761FC">
        <w:rPr>
          <w:rFonts w:ascii="Calibri" w:hAnsi="Calibri" w:cs="Calibri"/>
          <w:color w:val="000000"/>
        </w:rPr>
        <w:t xml:space="preserve"> cardio-metabolic diseases such as obesity and Type 2 Diabetes Mellitus with reported associations of asprosin with insulin resistance. It is possible that through asprosin’s roles in modulating insulin resistance, that asprosin may contribute to pregnancy complications such as Gestational Diabetes Mellitus and Preeclampsia.</w:t>
      </w:r>
      <w:r>
        <w:rPr>
          <w:rFonts w:ascii="Calibri" w:hAnsi="Calibri" w:cs="Calibri"/>
          <w:color w:val="000000"/>
        </w:rPr>
        <w:t xml:space="preserve"> </w:t>
      </w:r>
    </w:p>
    <w:p w14:paraId="341774E0" w14:textId="4A4CF2C9" w:rsidR="009761FC" w:rsidRPr="009761FC" w:rsidRDefault="009761FC" w:rsidP="009761FC">
      <w:pPr>
        <w:pStyle w:val="NormalWeb"/>
        <w:rPr>
          <w:rFonts w:ascii="Calibri" w:hAnsi="Calibri" w:cs="Calibri"/>
          <w:color w:val="000000"/>
        </w:rPr>
      </w:pPr>
      <w:r w:rsidRPr="009761FC">
        <w:rPr>
          <w:rFonts w:ascii="Calibri" w:hAnsi="Calibri" w:cs="Calibri"/>
          <w:color w:val="000000"/>
        </w:rPr>
        <w:t xml:space="preserve">To date, </w:t>
      </w:r>
      <w:proofErr w:type="gramStart"/>
      <w:r w:rsidRPr="009761FC">
        <w:rPr>
          <w:rFonts w:ascii="Calibri" w:hAnsi="Calibri" w:cs="Calibri"/>
          <w:color w:val="000000"/>
        </w:rPr>
        <w:t>a number of</w:t>
      </w:r>
      <w:proofErr w:type="gramEnd"/>
      <w:r w:rsidRPr="009761FC">
        <w:rPr>
          <w:rFonts w:ascii="Calibri" w:hAnsi="Calibri" w:cs="Calibri"/>
          <w:color w:val="000000"/>
        </w:rPr>
        <w:t xml:space="preserve"> candidate receptors for asprosin’s actions have been</w:t>
      </w:r>
      <w:r>
        <w:rPr>
          <w:rFonts w:ascii="Calibri" w:hAnsi="Calibri" w:cs="Calibri"/>
          <w:color w:val="000000"/>
        </w:rPr>
        <w:t xml:space="preserve"> </w:t>
      </w:r>
      <w:r w:rsidRPr="009761FC">
        <w:rPr>
          <w:rFonts w:ascii="Calibri" w:hAnsi="Calibri" w:cs="Calibri"/>
          <w:color w:val="000000"/>
        </w:rPr>
        <w:t>identified</w:t>
      </w:r>
      <w:r w:rsidRPr="009761FC">
        <w:rPr>
          <w:rFonts w:ascii="Calibri" w:hAnsi="Calibri" w:cs="Calibri"/>
          <w:color w:val="000000"/>
        </w:rPr>
        <w:t xml:space="preserve">, namely OR4M1, </w:t>
      </w:r>
      <w:proofErr w:type="spellStart"/>
      <w:r w:rsidRPr="009761FC">
        <w:rPr>
          <w:rFonts w:ascii="Calibri" w:hAnsi="Calibri" w:cs="Calibri"/>
          <w:color w:val="000000"/>
        </w:rPr>
        <w:t>PTPRD</w:t>
      </w:r>
      <w:r>
        <w:rPr>
          <w:rFonts w:ascii="Calibri" w:hAnsi="Calibri" w:cs="Calibri"/>
          <w:color w:val="000000"/>
        </w:rPr>
        <w:t>δ</w:t>
      </w:r>
      <w:proofErr w:type="spellEnd"/>
      <w:r w:rsidRPr="009761FC">
        <w:rPr>
          <w:rFonts w:ascii="Calibri" w:hAnsi="Calibri" w:cs="Calibri"/>
          <w:color w:val="000000"/>
        </w:rPr>
        <w:t xml:space="preserve"> and TLR4. The purpose of this investigation is to explore the effects of asprosin in the human placenta at transcription level using two in vitro models (JEG3 and BeWo</w:t>
      </w:r>
      <w:r>
        <w:rPr>
          <w:rFonts w:ascii="Calibri" w:hAnsi="Calibri" w:cs="Calibri"/>
          <w:color w:val="000000"/>
        </w:rPr>
        <w:t xml:space="preserve"> cell lines</w:t>
      </w:r>
      <w:r w:rsidRPr="009761FC">
        <w:rPr>
          <w:rFonts w:ascii="Calibri" w:hAnsi="Calibri" w:cs="Calibri"/>
          <w:color w:val="000000"/>
        </w:rPr>
        <w:t>). Both</w:t>
      </w:r>
      <w:r w:rsidRPr="009761FC">
        <w:rPr>
          <w:rFonts w:ascii="Calibri" w:hAnsi="Calibri" w:cs="Calibri"/>
          <w:color w:val="000000"/>
        </w:rPr>
        <w:t xml:space="preserve"> cell lines were treated with asprosin (10nM for 4hr) and subsequently, RNA-sequencing was performed. </w:t>
      </w:r>
      <w:r>
        <w:rPr>
          <w:rFonts w:ascii="Calibri" w:hAnsi="Calibri" w:cs="Calibri"/>
          <w:color w:val="000000"/>
        </w:rPr>
        <w:t>We</w:t>
      </w:r>
      <w:r w:rsidRPr="009761FC">
        <w:rPr>
          <w:rFonts w:ascii="Calibri" w:hAnsi="Calibri" w:cs="Calibri"/>
          <w:color w:val="000000"/>
        </w:rPr>
        <w:t xml:space="preserve"> have identified 51 and 204 differentially expressed genes (DEG’s) </w:t>
      </w:r>
      <w:r>
        <w:rPr>
          <w:rFonts w:ascii="Calibri" w:hAnsi="Calibri" w:cs="Calibri"/>
          <w:color w:val="000000"/>
        </w:rPr>
        <w:t xml:space="preserve">in BeWo and JEG3 </w:t>
      </w:r>
      <w:r w:rsidRPr="009761FC">
        <w:rPr>
          <w:rFonts w:ascii="Calibri" w:hAnsi="Calibri" w:cs="Calibri"/>
          <w:color w:val="000000"/>
        </w:rPr>
        <w:t xml:space="preserve">respectively when compared to untreated control samples (P=&lt;0.05). The top genes differentially expressed in BeWo </w:t>
      </w:r>
      <w:r w:rsidRPr="009761FC">
        <w:rPr>
          <w:rFonts w:ascii="Calibri" w:hAnsi="Calibri" w:cs="Calibri"/>
          <w:color w:val="000000"/>
        </w:rPr>
        <w:t>include</w:t>
      </w:r>
      <w:r w:rsidRPr="009761FC">
        <w:rPr>
          <w:rFonts w:ascii="Calibri" w:hAnsi="Calibri" w:cs="Calibri"/>
          <w:color w:val="000000"/>
        </w:rPr>
        <w:t xml:space="preserve"> DDIT4, FSTL3, SLC2A1, NECTIN4 and GLS. The top differentially expressed genes for JEG3 </w:t>
      </w:r>
      <w:r w:rsidRPr="009761FC">
        <w:rPr>
          <w:rFonts w:ascii="Calibri" w:hAnsi="Calibri" w:cs="Calibri"/>
          <w:color w:val="000000"/>
        </w:rPr>
        <w:t>include</w:t>
      </w:r>
      <w:r w:rsidRPr="009761FC">
        <w:rPr>
          <w:rFonts w:ascii="Calibri" w:hAnsi="Calibri" w:cs="Calibri"/>
          <w:color w:val="000000"/>
        </w:rPr>
        <w:t xml:space="preserve"> BNIP3, SLC2A1, ZNF395, DDIT4 and ANXA1.</w:t>
      </w:r>
    </w:p>
    <w:p w14:paraId="02EB75BE" w14:textId="3E32E7EB" w:rsidR="009761FC" w:rsidRPr="009761FC" w:rsidRDefault="009761FC" w:rsidP="009761FC">
      <w:pPr>
        <w:pStyle w:val="NormalWeb"/>
        <w:rPr>
          <w:rFonts w:ascii="Calibri" w:hAnsi="Calibri" w:cs="Calibri"/>
          <w:color w:val="000000"/>
        </w:rPr>
      </w:pPr>
      <w:r w:rsidRPr="009761FC">
        <w:rPr>
          <w:rFonts w:ascii="Calibri" w:hAnsi="Calibri" w:cs="Calibri"/>
          <w:color w:val="000000"/>
        </w:rPr>
        <w:t>Gene enrichment analysis for BeWo showed that these DEGs were involved in transport, energy pathways, signal transduction, cell communication and cell growth and maintenance. Pathways included glucose and hexose transport pathways, glutamine degradation, HIF-1-</w:t>
      </w:r>
      <w:r>
        <w:rPr>
          <w:rFonts w:ascii="Calibri" w:hAnsi="Calibri" w:cs="Calibri"/>
          <w:color w:val="000000"/>
        </w:rPr>
        <w:t>α</w:t>
      </w:r>
      <w:r w:rsidRPr="009761FC">
        <w:rPr>
          <w:rFonts w:ascii="Calibri" w:hAnsi="Calibri" w:cs="Calibri"/>
          <w:color w:val="000000"/>
        </w:rPr>
        <w:t xml:space="preserve"> and PI3K. JEG3 DEG’s were involved in cytoskeleton activity, nucleic acid metabolism, cell growth and maintenance and organogenesis. Pathways involved included VEGF/VEGFR, Glypican 1 and Sphingosine 1-phosphate pathways. Further investigation is required to understand the full extent of asprosin in female reproduction, including identifying the exact placental receptors t</w:t>
      </w:r>
      <w:r>
        <w:rPr>
          <w:rFonts w:ascii="Calibri" w:hAnsi="Calibri" w:cs="Calibri"/>
          <w:color w:val="000000"/>
        </w:rPr>
        <w:t>hrough which</w:t>
      </w:r>
      <w:r w:rsidRPr="009761FC">
        <w:rPr>
          <w:rFonts w:ascii="Calibri" w:hAnsi="Calibri" w:cs="Calibri"/>
          <w:color w:val="000000"/>
        </w:rPr>
        <w:t xml:space="preserve"> asprosin mediates its actions in health and disease.</w:t>
      </w:r>
    </w:p>
    <w:p w14:paraId="557CD88E" w14:textId="77777777" w:rsidR="00587AB3" w:rsidRDefault="00587AB3"/>
    <w:sectPr w:rsidR="00587AB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61FC"/>
    <w:rsid w:val="000419B7"/>
    <w:rsid w:val="000D709C"/>
    <w:rsid w:val="00587AB3"/>
    <w:rsid w:val="006204F8"/>
    <w:rsid w:val="009761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C6FA2"/>
  <w15:chartTrackingRefBased/>
  <w15:docId w15:val="{E006184A-855A-4B67-A2C4-089C6D7C1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761F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61F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61F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61F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761F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761F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761F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761F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761F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761F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761F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761F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761F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761F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761F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761F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761F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761FC"/>
    <w:rPr>
      <w:rFonts w:eastAsiaTheme="majorEastAsia" w:cstheme="majorBidi"/>
      <w:color w:val="272727" w:themeColor="text1" w:themeTint="D8"/>
    </w:rPr>
  </w:style>
  <w:style w:type="paragraph" w:styleId="Title">
    <w:name w:val="Title"/>
    <w:basedOn w:val="Normal"/>
    <w:next w:val="Normal"/>
    <w:link w:val="TitleChar"/>
    <w:uiPriority w:val="10"/>
    <w:qFormat/>
    <w:rsid w:val="009761F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61F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761F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61F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761FC"/>
    <w:pPr>
      <w:spacing w:before="160"/>
      <w:jc w:val="center"/>
    </w:pPr>
    <w:rPr>
      <w:i/>
      <w:iCs/>
      <w:color w:val="404040" w:themeColor="text1" w:themeTint="BF"/>
    </w:rPr>
  </w:style>
  <w:style w:type="character" w:customStyle="1" w:styleId="QuoteChar">
    <w:name w:val="Quote Char"/>
    <w:basedOn w:val="DefaultParagraphFont"/>
    <w:link w:val="Quote"/>
    <w:uiPriority w:val="29"/>
    <w:rsid w:val="009761FC"/>
    <w:rPr>
      <w:i/>
      <w:iCs/>
      <w:color w:val="404040" w:themeColor="text1" w:themeTint="BF"/>
    </w:rPr>
  </w:style>
  <w:style w:type="paragraph" w:styleId="ListParagraph">
    <w:name w:val="List Paragraph"/>
    <w:basedOn w:val="Normal"/>
    <w:uiPriority w:val="34"/>
    <w:qFormat/>
    <w:rsid w:val="009761FC"/>
    <w:pPr>
      <w:ind w:left="720"/>
      <w:contextualSpacing/>
    </w:pPr>
  </w:style>
  <w:style w:type="character" w:styleId="IntenseEmphasis">
    <w:name w:val="Intense Emphasis"/>
    <w:basedOn w:val="DefaultParagraphFont"/>
    <w:uiPriority w:val="21"/>
    <w:qFormat/>
    <w:rsid w:val="009761FC"/>
    <w:rPr>
      <w:i/>
      <w:iCs/>
      <w:color w:val="0F4761" w:themeColor="accent1" w:themeShade="BF"/>
    </w:rPr>
  </w:style>
  <w:style w:type="paragraph" w:styleId="IntenseQuote">
    <w:name w:val="Intense Quote"/>
    <w:basedOn w:val="Normal"/>
    <w:next w:val="Normal"/>
    <w:link w:val="IntenseQuoteChar"/>
    <w:uiPriority w:val="30"/>
    <w:qFormat/>
    <w:rsid w:val="009761F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61FC"/>
    <w:rPr>
      <w:i/>
      <w:iCs/>
      <w:color w:val="0F4761" w:themeColor="accent1" w:themeShade="BF"/>
    </w:rPr>
  </w:style>
  <w:style w:type="character" w:styleId="IntenseReference">
    <w:name w:val="Intense Reference"/>
    <w:basedOn w:val="DefaultParagraphFont"/>
    <w:uiPriority w:val="32"/>
    <w:qFormat/>
    <w:rsid w:val="009761FC"/>
    <w:rPr>
      <w:b/>
      <w:bCs/>
      <w:smallCaps/>
      <w:color w:val="0F4761" w:themeColor="accent1" w:themeShade="BF"/>
      <w:spacing w:val="5"/>
    </w:rPr>
  </w:style>
  <w:style w:type="paragraph" w:styleId="NormalWeb">
    <w:name w:val="Normal (Web)"/>
    <w:basedOn w:val="Normal"/>
    <w:uiPriority w:val="99"/>
    <w:semiHidden/>
    <w:unhideWhenUsed/>
    <w:rsid w:val="009761FC"/>
    <w:pPr>
      <w:spacing w:before="100" w:beforeAutospacing="1" w:after="100" w:afterAutospacing="1" w:line="240" w:lineRule="auto"/>
    </w:pPr>
    <w:rPr>
      <w:rFonts w:ascii="Times New Roman" w:eastAsia="Times New Roman" w:hAnsi="Times New Roman" w:cs="Times New Roman"/>
      <w:kern w:val="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59049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303</Words>
  <Characters>1733</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ORTON, SOPHIE (PGR)</dc:creator>
  <cp:keywords/>
  <dc:description/>
  <cp:lastModifiedBy>ORTON, SOPHIE (PGR)</cp:lastModifiedBy>
  <cp:revision>1</cp:revision>
  <dcterms:created xsi:type="dcterms:W3CDTF">2024-04-30T10:52:00Z</dcterms:created>
  <dcterms:modified xsi:type="dcterms:W3CDTF">2024-04-30T11:06:00Z</dcterms:modified>
</cp:coreProperties>
</file>