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2A25" w:rsidRPr="00833B82" w:rsidRDefault="001F4A8A">
      <w:pPr>
        <w:rPr>
          <w:b/>
        </w:rPr>
      </w:pPr>
      <w:r w:rsidRPr="00833B82">
        <w:rPr>
          <w:b/>
        </w:rPr>
        <w:t>Title:</w:t>
      </w:r>
    </w:p>
    <w:p w:rsidR="001F4A8A" w:rsidRDefault="001F4A8A">
      <w:r>
        <w:t>The effects of Immunomodu</w:t>
      </w:r>
      <w:r>
        <w:t>latory therapies</w:t>
      </w:r>
      <w:r>
        <w:t xml:space="preserve"> vs standard of care on adverse kidney outcomes in patients hospitalised with COVID-19</w:t>
      </w:r>
    </w:p>
    <w:p w:rsidR="001F4A8A" w:rsidRDefault="001F4A8A"/>
    <w:p w:rsidR="001F4A8A" w:rsidRPr="00833B82" w:rsidRDefault="001F4A8A">
      <w:pPr>
        <w:rPr>
          <w:b/>
        </w:rPr>
      </w:pPr>
      <w:r w:rsidRPr="00833B82">
        <w:rPr>
          <w:b/>
        </w:rPr>
        <w:t>Background and Aims:</w:t>
      </w:r>
    </w:p>
    <w:p w:rsidR="001F4A8A" w:rsidRDefault="001F4A8A">
      <w:r>
        <w:t>A</w:t>
      </w:r>
      <w:r>
        <w:t xml:space="preserve">mong patients hospitalised with COVID-19, acute kidney injury (AKI) is common and 20% of individuals admitted to critical care require renal replacement therapy (RRT). </w:t>
      </w:r>
    </w:p>
    <w:p w:rsidR="001F4A8A" w:rsidRDefault="001F4A8A">
      <w:r>
        <w:t xml:space="preserve">The Randomised Evaluation of COVID-19 Therapy (RECOVERY) trial was an open-label, randomised controlled platform trial assessing the effects of various treatments compared to standard of care on mortality in patients hospitalised with COVID-19. The RECOVERY trial has shown 28-day mortality benefit with three immunomodulatory therapies (dexamethasone, </w:t>
      </w:r>
      <w:proofErr w:type="spellStart"/>
      <w:r>
        <w:t>tocilizumab</w:t>
      </w:r>
      <w:proofErr w:type="spellEnd"/>
      <w:r>
        <w:t xml:space="preserve">, </w:t>
      </w:r>
      <w:proofErr w:type="spellStart"/>
      <w:r>
        <w:t>baricitinib</w:t>
      </w:r>
      <w:proofErr w:type="spellEnd"/>
      <w:r>
        <w:t xml:space="preserve">). Dexamethasone and </w:t>
      </w:r>
      <w:proofErr w:type="spellStart"/>
      <w:r>
        <w:t>tocilizumab</w:t>
      </w:r>
      <w:proofErr w:type="spellEnd"/>
      <w:r>
        <w:t xml:space="preserve"> </w:t>
      </w:r>
      <w:proofErr w:type="gramStart"/>
      <w:r>
        <w:t>have also been shown</w:t>
      </w:r>
      <w:proofErr w:type="gramEnd"/>
      <w:r>
        <w:t xml:space="preserve"> to offer a short-term kidney benefit with a reduction in the use of RRT in the first 28 days. </w:t>
      </w:r>
    </w:p>
    <w:p w:rsidR="001F4A8A" w:rsidRDefault="001F4A8A">
      <w:r>
        <w:t>Using linkage to central National Health Service (NHS) records, the UK Renal Registry and other research databases, the RECOVERY trial provides the opportunity to determine the effects of dexamethason</w:t>
      </w:r>
      <w:r>
        <w:t xml:space="preserve">e, </w:t>
      </w:r>
      <w:proofErr w:type="spellStart"/>
      <w:r>
        <w:t>tocilizumab</w:t>
      </w:r>
      <w:proofErr w:type="spellEnd"/>
      <w:r>
        <w:t xml:space="preserve"> and </w:t>
      </w:r>
      <w:proofErr w:type="spellStart"/>
      <w:r>
        <w:t>baricitinib</w:t>
      </w:r>
      <w:proofErr w:type="spellEnd"/>
      <w:r>
        <w:t xml:space="preserve"> on longer-term kidney outcomes in patients hospitalised with COVID-19.</w:t>
      </w:r>
    </w:p>
    <w:p w:rsidR="001F4A8A" w:rsidRDefault="001F4A8A"/>
    <w:p w:rsidR="001F4A8A" w:rsidRPr="00833B82" w:rsidRDefault="001F4A8A">
      <w:pPr>
        <w:rPr>
          <w:b/>
        </w:rPr>
      </w:pPr>
      <w:r w:rsidRPr="00833B82">
        <w:rPr>
          <w:b/>
        </w:rPr>
        <w:t>Methods:</w:t>
      </w:r>
    </w:p>
    <w:p w:rsidR="001F4A8A" w:rsidRDefault="001F4A8A">
      <w:r>
        <w:t xml:space="preserve">The key eligibility criterion for entry into the RECOVERY trial was hospitalisation with COVID-19. Additional eligibility criteria for the comparison of </w:t>
      </w:r>
      <w:proofErr w:type="spellStart"/>
      <w:r>
        <w:t>tocilizumab</w:t>
      </w:r>
      <w:proofErr w:type="spellEnd"/>
      <w:r>
        <w:t xml:space="preserve"> to standard of care were hypoxia and CRP ≥75mg/L. We investigated the effect of dexamethasone, </w:t>
      </w:r>
      <w:proofErr w:type="spellStart"/>
      <w:r>
        <w:t>tocilizuma</w:t>
      </w:r>
      <w:r>
        <w:t>b</w:t>
      </w:r>
      <w:proofErr w:type="spellEnd"/>
      <w:r>
        <w:t xml:space="preserve"> and </w:t>
      </w:r>
      <w:proofErr w:type="spellStart"/>
      <w:r>
        <w:t>baricitinib</w:t>
      </w:r>
      <w:proofErr w:type="spellEnd"/>
      <w:r>
        <w:t xml:space="preserve">, each compared to usual care, on progression of kidney disease (the primary outcome, defined as a composite of 30% or more sustained decline in </w:t>
      </w:r>
      <w:proofErr w:type="spellStart"/>
      <w:r>
        <w:t>eGFR</w:t>
      </w:r>
      <w:proofErr w:type="spellEnd"/>
      <w:r>
        <w:t xml:space="preserve"> from baseline, initiation of maintenance dialysis therapy or death from kidney failure) in RECOVERY trial participants recruited in England. We excluded those with chronic kidney disease (CKD) stage 5 (defined as maintenance dialysis therapy, receipt o</w:t>
      </w:r>
      <w:r>
        <w:t xml:space="preserve">f renal transplant or </w:t>
      </w:r>
      <w:r>
        <w:t>estimated glomerular filtration rate [</w:t>
      </w:r>
      <w:proofErr w:type="spellStart"/>
      <w:r>
        <w:t>eGFR</w:t>
      </w:r>
      <w:proofErr w:type="spellEnd"/>
      <w:r>
        <w:t>]</w:t>
      </w:r>
      <w:r>
        <w:t xml:space="preserve"> &lt;15mL/min/1.73</w:t>
      </w:r>
      <w:r>
        <w:rPr>
          <w:vertAlign w:val="superscript"/>
        </w:rPr>
        <w:t>2</w:t>
      </w:r>
      <w:r>
        <w:t xml:space="preserve">). Linked healthcare systems data </w:t>
      </w:r>
      <w:proofErr w:type="gramStart"/>
      <w:r>
        <w:t>was used</w:t>
      </w:r>
      <w:proofErr w:type="gramEnd"/>
      <w:r>
        <w:t xml:space="preserve"> to determine CKD stage and maintenance dialysis therapy at baseline, commencement of maintenance dialysis therapy during follow-up, change in </w:t>
      </w:r>
      <w:proofErr w:type="spellStart"/>
      <w:r>
        <w:t>eGFR</w:t>
      </w:r>
      <w:proofErr w:type="spellEnd"/>
      <w:r>
        <w:t xml:space="preserve"> and cause-specific mortality.</w:t>
      </w:r>
    </w:p>
    <w:p w:rsidR="001F4A8A" w:rsidRDefault="001F4A8A"/>
    <w:p w:rsidR="001F4A8A" w:rsidRPr="00833B82" w:rsidRDefault="001F4A8A">
      <w:pPr>
        <w:rPr>
          <w:b/>
        </w:rPr>
      </w:pPr>
      <w:r w:rsidRPr="00833B82">
        <w:rPr>
          <w:b/>
        </w:rPr>
        <w:t>Results:</w:t>
      </w:r>
    </w:p>
    <w:p w:rsidR="00D23D0E" w:rsidRDefault="00D23D0E">
      <w:proofErr w:type="gramStart"/>
      <w:r>
        <w:t>5443</w:t>
      </w:r>
      <w:proofErr w:type="gramEnd"/>
      <w:r>
        <w:t xml:space="preserve"> participants (including 20% with stage 3-4 CKD) were included in the analysis of dexamethasone versus usual care. Over a median follow-up duration of 3.5 years, 8% of participants experienced the primary outcome. </w:t>
      </w:r>
    </w:p>
    <w:p w:rsidR="00D23D0E" w:rsidRDefault="00D23D0E">
      <w:proofErr w:type="gramStart"/>
      <w:r>
        <w:t>3724</w:t>
      </w:r>
      <w:proofErr w:type="gramEnd"/>
      <w:r>
        <w:t xml:space="preserve"> participants (including 17</w:t>
      </w:r>
      <w:r>
        <w:t xml:space="preserve">% with stage 3-4 CKD) were included in the analysis of </w:t>
      </w:r>
      <w:proofErr w:type="spellStart"/>
      <w:r>
        <w:t>tocilizumab</w:t>
      </w:r>
      <w:proofErr w:type="spellEnd"/>
      <w:r>
        <w:t xml:space="preserve"> versus usual care. Over a median follow-up duration of 2.5 years, 4% of participants experienced the primary outcome. </w:t>
      </w:r>
    </w:p>
    <w:p w:rsidR="001F4A8A" w:rsidRDefault="00D23D0E">
      <w:proofErr w:type="gramStart"/>
      <w:r>
        <w:lastRenderedPageBreak/>
        <w:t>7110</w:t>
      </w:r>
      <w:proofErr w:type="gramEnd"/>
      <w:r>
        <w:t xml:space="preserve"> participants (including 14</w:t>
      </w:r>
      <w:r>
        <w:t xml:space="preserve">% with stage 3-4 CKD) were included in the analysis of </w:t>
      </w:r>
      <w:proofErr w:type="spellStart"/>
      <w:r>
        <w:t>baricitinib</w:t>
      </w:r>
      <w:proofErr w:type="spellEnd"/>
      <w:r>
        <w:t xml:space="preserve"> versus usual care. Over a median follow-up duration of 2 years, 4% of participants experienced the primary outcome</w:t>
      </w:r>
      <w:r>
        <w:t>.</w:t>
      </w:r>
    </w:p>
    <w:p w:rsidR="00D23D0E" w:rsidRDefault="00D23D0E">
      <w:r>
        <w:t xml:space="preserve">The results of </w:t>
      </w:r>
      <w:proofErr w:type="spellStart"/>
      <w:r>
        <w:t>unblinded</w:t>
      </w:r>
      <w:proofErr w:type="spellEnd"/>
      <w:r>
        <w:t xml:space="preserve"> analyses of the effects of these treatments on the primary outcome of kidney disease progression, and other outcomes including the composite of maintenance dialysis therapy or death from kidney failure, </w:t>
      </w:r>
      <w:proofErr w:type="gramStart"/>
      <w:r>
        <w:t>will be presented</w:t>
      </w:r>
      <w:proofErr w:type="gramEnd"/>
      <w:r>
        <w:t xml:space="preserve"> at the </w:t>
      </w:r>
      <w:r w:rsidR="00833B82">
        <w:t>symposium</w:t>
      </w:r>
      <w:r>
        <w:t>.</w:t>
      </w:r>
    </w:p>
    <w:p w:rsidR="00D23D0E" w:rsidRDefault="00D23D0E"/>
    <w:p w:rsidR="00D23D0E" w:rsidRPr="00833B82" w:rsidRDefault="00D23D0E">
      <w:pPr>
        <w:rPr>
          <w:b/>
        </w:rPr>
      </w:pPr>
      <w:r w:rsidRPr="00833B82">
        <w:rPr>
          <w:b/>
        </w:rPr>
        <w:t>Conclusion:</w:t>
      </w:r>
    </w:p>
    <w:p w:rsidR="00D23D0E" w:rsidRPr="001F4A8A" w:rsidRDefault="00D23D0E">
      <w:r>
        <w:t>Among patients hospitalised with COVID-19, these analyses provide the most robust assessment of whether immunomodulatory agents</w:t>
      </w:r>
      <w:r w:rsidR="00833B82">
        <w:t xml:space="preserve"> </w:t>
      </w:r>
      <w:bookmarkStart w:id="0" w:name="_GoBack"/>
      <w:bookmarkEnd w:id="0"/>
      <w:r>
        <w:t>modify the risk of kidney disease progression compared to usual care.</w:t>
      </w:r>
    </w:p>
    <w:p w:rsidR="001F4A8A" w:rsidRDefault="001F4A8A"/>
    <w:sectPr w:rsidR="001F4A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A8A"/>
    <w:rsid w:val="001F4A8A"/>
    <w:rsid w:val="005B6389"/>
    <w:rsid w:val="006641A6"/>
    <w:rsid w:val="00797FC4"/>
    <w:rsid w:val="00833B82"/>
    <w:rsid w:val="00D23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94AB31"/>
  <w15:chartTrackingRefBased/>
  <w15:docId w15:val="{A5E7AC5D-C352-4D34-9864-678BD23BF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491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Waseem Karsan</dc:creator>
  <cp:keywords/>
  <dc:description/>
  <cp:lastModifiedBy>Waseem Karsan</cp:lastModifiedBy>
  <cp:revision>2</cp:revision>
  <dcterms:created xsi:type="dcterms:W3CDTF">2024-06-07T12:30:00Z</dcterms:created>
  <dcterms:modified xsi:type="dcterms:W3CDTF">2024-06-07T12:54:00Z</dcterms:modified>
</cp:coreProperties>
</file>