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0FF05" w14:textId="62C05586" w:rsidR="00B45886" w:rsidRPr="007411E8" w:rsidRDefault="00B45886" w:rsidP="00E85994">
      <w:pPr>
        <w:rPr>
          <w:rFonts w:ascii="Calibri" w:hAnsi="Calibri" w:cs="Calibri"/>
          <w:b/>
          <w:bCs/>
          <w:sz w:val="24"/>
          <w:szCs w:val="24"/>
          <w:u w:val="single"/>
        </w:rPr>
      </w:pPr>
      <w:r w:rsidRPr="007411E8">
        <w:rPr>
          <w:rFonts w:ascii="Calibri" w:hAnsi="Calibri" w:cs="Calibri"/>
          <w:b/>
          <w:bCs/>
          <w:sz w:val="24"/>
          <w:szCs w:val="24"/>
          <w:u w:val="single"/>
        </w:rPr>
        <w:t>Thomas Davies – WMS Symposium Abstract</w:t>
      </w:r>
    </w:p>
    <w:p w14:paraId="440F8A2B" w14:textId="0EDD58E9" w:rsidR="00E85994" w:rsidRPr="007411E8" w:rsidRDefault="00E85994" w:rsidP="00E85994">
      <w:pPr>
        <w:rPr>
          <w:rFonts w:ascii="Calibri" w:hAnsi="Calibri" w:cs="Calibri"/>
          <w:sz w:val="24"/>
          <w:szCs w:val="24"/>
        </w:rPr>
      </w:pPr>
      <w:r w:rsidRPr="007411E8">
        <w:rPr>
          <w:rFonts w:ascii="Calibri" w:hAnsi="Calibri" w:cs="Calibri"/>
          <w:sz w:val="24"/>
          <w:szCs w:val="24"/>
        </w:rPr>
        <w:t xml:space="preserve">Flagella formation and effector protein injection are essential virulence factors for bacteria. Many bacteria depend on the type three secretion system (T3SS) for </w:t>
      </w:r>
      <w:r w:rsidR="00303206" w:rsidRPr="007411E8">
        <w:rPr>
          <w:rFonts w:ascii="Calibri" w:hAnsi="Calibri" w:cs="Calibri"/>
          <w:sz w:val="24"/>
          <w:szCs w:val="24"/>
        </w:rPr>
        <w:t>these processes</w:t>
      </w:r>
      <w:r w:rsidRPr="007411E8">
        <w:rPr>
          <w:rFonts w:ascii="Calibri" w:hAnsi="Calibri" w:cs="Calibri"/>
          <w:sz w:val="24"/>
          <w:szCs w:val="24"/>
        </w:rPr>
        <w:t xml:space="preserve">. </w:t>
      </w:r>
      <w:r w:rsidR="000C1BE5" w:rsidRPr="007411E8">
        <w:rPr>
          <w:rFonts w:ascii="Calibri" w:hAnsi="Calibri" w:cs="Calibri"/>
          <w:sz w:val="24"/>
          <w:szCs w:val="24"/>
        </w:rPr>
        <w:t>A</w:t>
      </w:r>
      <w:r w:rsidRPr="007411E8">
        <w:rPr>
          <w:rFonts w:ascii="Calibri" w:hAnsi="Calibri" w:cs="Calibri"/>
          <w:sz w:val="24"/>
          <w:szCs w:val="24"/>
        </w:rPr>
        <w:t xml:space="preserve"> supramolecular motor, the T3SS can be considered in two parts, the membrane complex and the cytosolic ATPase complex. This research examines the</w:t>
      </w:r>
      <w:r w:rsidR="001433DC" w:rsidRPr="007411E8">
        <w:rPr>
          <w:rFonts w:ascii="Calibri" w:hAnsi="Calibri" w:cs="Calibri"/>
          <w:sz w:val="24"/>
          <w:szCs w:val="24"/>
        </w:rPr>
        <w:t xml:space="preserve"> MS-ring of the </w:t>
      </w:r>
      <w:r w:rsidR="00C74ABB" w:rsidRPr="007411E8">
        <w:rPr>
          <w:rFonts w:ascii="Calibri" w:hAnsi="Calibri" w:cs="Calibri"/>
          <w:sz w:val="24"/>
          <w:szCs w:val="24"/>
        </w:rPr>
        <w:t xml:space="preserve">membrane-bound </w:t>
      </w:r>
      <w:r w:rsidR="001433DC" w:rsidRPr="007411E8">
        <w:rPr>
          <w:rFonts w:ascii="Calibri" w:hAnsi="Calibri" w:cs="Calibri"/>
          <w:sz w:val="24"/>
          <w:szCs w:val="24"/>
        </w:rPr>
        <w:t>basal body and the</w:t>
      </w:r>
      <w:r w:rsidRPr="007411E8">
        <w:rPr>
          <w:rFonts w:ascii="Calibri" w:hAnsi="Calibri" w:cs="Calibri"/>
          <w:sz w:val="24"/>
          <w:szCs w:val="24"/>
        </w:rPr>
        <w:t xml:space="preserve"> cytosolic </w:t>
      </w:r>
      <w:r w:rsidR="00382AB8" w:rsidRPr="007411E8">
        <w:rPr>
          <w:rFonts w:ascii="Calibri" w:hAnsi="Calibri" w:cs="Calibri"/>
          <w:sz w:val="24"/>
          <w:szCs w:val="24"/>
        </w:rPr>
        <w:t xml:space="preserve">ATPase </w:t>
      </w:r>
      <w:r w:rsidRPr="007411E8">
        <w:rPr>
          <w:rFonts w:ascii="Calibri" w:hAnsi="Calibri" w:cs="Calibri"/>
          <w:sz w:val="24"/>
          <w:szCs w:val="24"/>
        </w:rPr>
        <w:t>c</w:t>
      </w:r>
      <w:r w:rsidR="00A86ACF" w:rsidRPr="007411E8">
        <w:rPr>
          <w:rFonts w:ascii="Calibri" w:hAnsi="Calibri" w:cs="Calibri"/>
          <w:sz w:val="24"/>
          <w:szCs w:val="24"/>
        </w:rPr>
        <w:t>omplex</w:t>
      </w:r>
      <w:r w:rsidRPr="007411E8">
        <w:rPr>
          <w:rFonts w:ascii="Calibri" w:hAnsi="Calibri" w:cs="Calibri"/>
          <w:sz w:val="24"/>
          <w:szCs w:val="24"/>
        </w:rPr>
        <w:t xml:space="preserve">, which has marked similarity to the F1-ATPase. </w:t>
      </w:r>
    </w:p>
    <w:p w14:paraId="2DB14C89" w14:textId="4D1DAA30" w:rsidR="00E85994" w:rsidRPr="007411E8" w:rsidRDefault="00D57E88" w:rsidP="00E85994">
      <w:pPr>
        <w:rPr>
          <w:rFonts w:ascii="Calibri" w:hAnsi="Calibri" w:cs="Calibri"/>
          <w:sz w:val="24"/>
          <w:szCs w:val="24"/>
        </w:rPr>
      </w:pPr>
      <w:r w:rsidRPr="007411E8">
        <w:rPr>
          <w:rFonts w:ascii="Calibri" w:hAnsi="Calibri" w:cs="Calibri"/>
          <w:sz w:val="24"/>
          <w:szCs w:val="24"/>
        </w:rPr>
        <w:t xml:space="preserve">Both the </w:t>
      </w:r>
      <w:r w:rsidR="00ED61F9" w:rsidRPr="007411E8">
        <w:rPr>
          <w:rFonts w:ascii="Calibri" w:hAnsi="Calibri" w:cs="Calibri"/>
          <w:sz w:val="24"/>
          <w:szCs w:val="24"/>
        </w:rPr>
        <w:t>T3</w:t>
      </w:r>
      <w:r w:rsidR="00F90F6F" w:rsidRPr="007411E8">
        <w:rPr>
          <w:rFonts w:ascii="Calibri" w:hAnsi="Calibri" w:cs="Calibri"/>
          <w:sz w:val="24"/>
          <w:szCs w:val="24"/>
        </w:rPr>
        <w:t>SS</w:t>
      </w:r>
      <w:r w:rsidR="00ED61F9" w:rsidRPr="007411E8">
        <w:rPr>
          <w:rFonts w:ascii="Calibri" w:hAnsi="Calibri" w:cs="Calibri"/>
          <w:sz w:val="24"/>
          <w:szCs w:val="24"/>
        </w:rPr>
        <w:t xml:space="preserve"> ATPase and F1-ATPase c</w:t>
      </w:r>
      <w:r w:rsidR="00E85994" w:rsidRPr="007411E8">
        <w:rPr>
          <w:rFonts w:ascii="Calibri" w:hAnsi="Calibri" w:cs="Calibri"/>
          <w:sz w:val="24"/>
          <w:szCs w:val="24"/>
        </w:rPr>
        <w:t>ompris</w:t>
      </w:r>
      <w:r w:rsidR="00ED61F9" w:rsidRPr="007411E8">
        <w:rPr>
          <w:rFonts w:ascii="Calibri" w:hAnsi="Calibri" w:cs="Calibri"/>
          <w:sz w:val="24"/>
          <w:szCs w:val="24"/>
        </w:rPr>
        <w:t>e</w:t>
      </w:r>
      <w:r w:rsidR="00E85994" w:rsidRPr="007411E8">
        <w:rPr>
          <w:rFonts w:ascii="Calibri" w:hAnsi="Calibri" w:cs="Calibri"/>
          <w:sz w:val="24"/>
          <w:szCs w:val="24"/>
        </w:rPr>
        <w:t xml:space="preserve"> of catalytic hexamer ring with a central coiled-coil protein. Successive ATP hydrolysis reactions at subunit interfaces drive the rotation of the central rotor protein</w:t>
      </w:r>
      <w:r w:rsidR="00E56754" w:rsidRPr="007411E8">
        <w:rPr>
          <w:rFonts w:ascii="Calibri" w:hAnsi="Calibri" w:cs="Calibri"/>
          <w:sz w:val="24"/>
          <w:szCs w:val="24"/>
        </w:rPr>
        <w:t xml:space="preserve"> </w:t>
      </w:r>
      <w:r w:rsidR="00F90F6F" w:rsidRPr="007411E8">
        <w:rPr>
          <w:rFonts w:ascii="Calibri" w:hAnsi="Calibri" w:cs="Calibri"/>
          <w:sz w:val="24"/>
          <w:szCs w:val="24"/>
        </w:rPr>
        <w:t>via</w:t>
      </w:r>
      <w:r w:rsidR="00E56754" w:rsidRPr="007411E8">
        <w:rPr>
          <w:rFonts w:ascii="Calibri" w:hAnsi="Calibri" w:cs="Calibri"/>
          <w:sz w:val="24"/>
          <w:szCs w:val="24"/>
        </w:rPr>
        <w:t xml:space="preserve"> </w:t>
      </w:r>
      <w:r w:rsidR="00E85994" w:rsidRPr="007411E8">
        <w:rPr>
          <w:rFonts w:ascii="Calibri" w:hAnsi="Calibri" w:cs="Calibri"/>
          <w:sz w:val="24"/>
          <w:szCs w:val="24"/>
        </w:rPr>
        <w:t>conformational changes</w:t>
      </w:r>
      <w:r w:rsidR="000F46AD" w:rsidRPr="007411E8">
        <w:rPr>
          <w:rFonts w:ascii="Calibri" w:hAnsi="Calibri" w:cs="Calibri"/>
          <w:sz w:val="24"/>
          <w:szCs w:val="24"/>
        </w:rPr>
        <w:t xml:space="preserve"> of catalytic subunits</w:t>
      </w:r>
      <w:r w:rsidR="00E85994" w:rsidRPr="007411E8">
        <w:rPr>
          <w:rFonts w:ascii="Calibri" w:hAnsi="Calibri" w:cs="Calibri"/>
          <w:sz w:val="24"/>
          <w:szCs w:val="24"/>
        </w:rPr>
        <w:t xml:space="preserve">. Nascent proteins enter the ATPase complex as part of the hierarchical flagella assembly pathway. Rotor rotation is understood to unfold the nascent proteins to be transported, using </w:t>
      </w:r>
      <w:r w:rsidR="00531E29" w:rsidRPr="007411E8">
        <w:rPr>
          <w:rFonts w:ascii="Calibri" w:hAnsi="Calibri" w:cs="Calibri"/>
          <w:sz w:val="24"/>
          <w:szCs w:val="24"/>
        </w:rPr>
        <w:t xml:space="preserve">a </w:t>
      </w:r>
      <w:r w:rsidR="00E85994" w:rsidRPr="007411E8">
        <w:rPr>
          <w:rFonts w:ascii="Calibri" w:hAnsi="Calibri" w:cs="Calibri"/>
          <w:sz w:val="24"/>
          <w:szCs w:val="24"/>
        </w:rPr>
        <w:t>p</w:t>
      </w:r>
      <w:r w:rsidR="002C04AC" w:rsidRPr="007411E8">
        <w:rPr>
          <w:rFonts w:ascii="Calibri" w:hAnsi="Calibri" w:cs="Calibri"/>
          <w:sz w:val="24"/>
          <w:szCs w:val="24"/>
        </w:rPr>
        <w:t>erceived proton-protein antiporter</w:t>
      </w:r>
      <w:r w:rsidR="00E85994" w:rsidRPr="007411E8">
        <w:rPr>
          <w:rFonts w:ascii="Calibri" w:hAnsi="Calibri" w:cs="Calibri"/>
          <w:sz w:val="24"/>
          <w:szCs w:val="24"/>
        </w:rPr>
        <w:t>, for incorporation into the growing flagella</w:t>
      </w:r>
      <w:r w:rsidR="008C42DC" w:rsidRPr="007411E8">
        <w:rPr>
          <w:rFonts w:ascii="Calibri" w:hAnsi="Calibri" w:cs="Calibri"/>
          <w:sz w:val="24"/>
          <w:szCs w:val="24"/>
        </w:rPr>
        <w:t xml:space="preserve"> although there is a lack of information regarding these processes. </w:t>
      </w:r>
      <w:r w:rsidR="00E85994" w:rsidRPr="007411E8">
        <w:rPr>
          <w:rFonts w:ascii="Calibri" w:hAnsi="Calibri" w:cs="Calibri"/>
          <w:sz w:val="24"/>
          <w:szCs w:val="24"/>
        </w:rPr>
        <w:t xml:space="preserve"> </w:t>
      </w:r>
    </w:p>
    <w:p w14:paraId="6D081681" w14:textId="375A11E9" w:rsidR="00AF2949" w:rsidRPr="007411E8" w:rsidRDefault="00E85994" w:rsidP="00E85994">
      <w:pPr>
        <w:rPr>
          <w:rFonts w:ascii="Calibri" w:hAnsi="Calibri" w:cs="Calibri"/>
          <w:sz w:val="24"/>
          <w:szCs w:val="24"/>
        </w:rPr>
      </w:pPr>
      <w:r w:rsidRPr="007411E8">
        <w:rPr>
          <w:rFonts w:ascii="Calibri" w:hAnsi="Calibri" w:cs="Calibri"/>
          <w:sz w:val="24"/>
          <w:szCs w:val="24"/>
        </w:rPr>
        <w:t xml:space="preserve">Using a combination of experimental and computational methods, protein dynamics and molecular pathways of the T3SS ATPase </w:t>
      </w:r>
      <w:r w:rsidR="00D07D4C" w:rsidRPr="007411E8">
        <w:rPr>
          <w:rFonts w:ascii="Calibri" w:hAnsi="Calibri" w:cs="Calibri"/>
          <w:sz w:val="24"/>
          <w:szCs w:val="24"/>
        </w:rPr>
        <w:t>have been</w:t>
      </w:r>
      <w:r w:rsidRPr="007411E8">
        <w:rPr>
          <w:rFonts w:ascii="Calibri" w:hAnsi="Calibri" w:cs="Calibri"/>
          <w:sz w:val="24"/>
          <w:szCs w:val="24"/>
        </w:rPr>
        <w:t xml:space="preserve"> analysed to explain the molecular processes underpinning T3SS function.</w:t>
      </w:r>
      <w:r w:rsidR="00527504" w:rsidRPr="007411E8">
        <w:rPr>
          <w:rFonts w:ascii="Calibri" w:hAnsi="Calibri" w:cs="Calibri"/>
          <w:sz w:val="24"/>
          <w:szCs w:val="24"/>
        </w:rPr>
        <w:t xml:space="preserve"> This approach is used </w:t>
      </w:r>
      <w:r w:rsidR="00A706FD" w:rsidRPr="007411E8">
        <w:rPr>
          <w:rFonts w:ascii="Calibri" w:hAnsi="Calibri" w:cs="Calibri"/>
          <w:sz w:val="24"/>
          <w:szCs w:val="24"/>
        </w:rPr>
        <w:t xml:space="preserve">to </w:t>
      </w:r>
      <w:r w:rsidR="0005227E" w:rsidRPr="007411E8">
        <w:rPr>
          <w:rFonts w:ascii="Calibri" w:hAnsi="Calibri" w:cs="Calibri"/>
          <w:sz w:val="24"/>
          <w:szCs w:val="24"/>
        </w:rPr>
        <w:t>p</w:t>
      </w:r>
      <w:r w:rsidR="00A706FD" w:rsidRPr="007411E8">
        <w:rPr>
          <w:rFonts w:ascii="Calibri" w:hAnsi="Calibri" w:cs="Calibri"/>
          <w:sz w:val="24"/>
          <w:szCs w:val="24"/>
        </w:rPr>
        <w:t>henotypic</w:t>
      </w:r>
      <w:r w:rsidR="0005227E" w:rsidRPr="007411E8">
        <w:rPr>
          <w:rFonts w:ascii="Calibri" w:hAnsi="Calibri" w:cs="Calibri"/>
          <w:sz w:val="24"/>
          <w:szCs w:val="24"/>
        </w:rPr>
        <w:t>ally</w:t>
      </w:r>
      <w:r w:rsidR="00A706FD" w:rsidRPr="007411E8">
        <w:rPr>
          <w:rFonts w:ascii="Calibri" w:hAnsi="Calibri" w:cs="Calibri"/>
          <w:sz w:val="24"/>
          <w:szCs w:val="24"/>
        </w:rPr>
        <w:t xml:space="preserve"> characterise pseudorevertant (PR) </w:t>
      </w:r>
      <w:r w:rsidR="00A706FD" w:rsidRPr="007411E8">
        <w:rPr>
          <w:rFonts w:ascii="Calibri" w:hAnsi="Calibri" w:cs="Calibri"/>
          <w:i/>
          <w:iCs/>
          <w:sz w:val="24"/>
          <w:szCs w:val="24"/>
        </w:rPr>
        <w:t xml:space="preserve">Campylobacter jejuni </w:t>
      </w:r>
      <w:r w:rsidR="00A706FD" w:rsidRPr="007411E8">
        <w:rPr>
          <w:rFonts w:ascii="Calibri" w:hAnsi="Calibri" w:cs="Calibri"/>
          <w:sz w:val="24"/>
          <w:szCs w:val="24"/>
        </w:rPr>
        <w:t xml:space="preserve">strains and </w:t>
      </w:r>
      <w:r w:rsidR="00AD5C6F" w:rsidRPr="007411E8">
        <w:rPr>
          <w:rFonts w:ascii="Calibri" w:hAnsi="Calibri" w:cs="Calibri"/>
          <w:sz w:val="24"/>
          <w:szCs w:val="24"/>
        </w:rPr>
        <w:t>rationalise</w:t>
      </w:r>
      <w:r w:rsidR="00A706FD" w:rsidRPr="007411E8">
        <w:rPr>
          <w:rFonts w:ascii="Calibri" w:hAnsi="Calibri" w:cs="Calibri"/>
          <w:sz w:val="24"/>
          <w:szCs w:val="24"/>
        </w:rPr>
        <w:t xml:space="preserve"> these phenotypes</w:t>
      </w:r>
      <w:r w:rsidR="00AD5C6F" w:rsidRPr="007411E8">
        <w:rPr>
          <w:rFonts w:ascii="Calibri" w:hAnsi="Calibri" w:cs="Calibri"/>
          <w:sz w:val="24"/>
          <w:szCs w:val="24"/>
        </w:rPr>
        <w:t xml:space="preserve"> based on </w:t>
      </w:r>
      <w:r w:rsidR="00AE4D44" w:rsidRPr="007411E8">
        <w:rPr>
          <w:rFonts w:ascii="Calibri" w:hAnsi="Calibri" w:cs="Calibri"/>
          <w:sz w:val="24"/>
          <w:szCs w:val="24"/>
        </w:rPr>
        <w:t>molecular structure</w:t>
      </w:r>
      <w:r w:rsidR="00A706FD" w:rsidRPr="007411E8">
        <w:rPr>
          <w:rFonts w:ascii="Calibri" w:hAnsi="Calibri" w:cs="Calibri"/>
          <w:sz w:val="24"/>
          <w:szCs w:val="24"/>
        </w:rPr>
        <w:t>.</w:t>
      </w:r>
      <w:r w:rsidRPr="007411E8">
        <w:rPr>
          <w:rFonts w:ascii="Calibri" w:hAnsi="Calibri" w:cs="Calibri"/>
          <w:sz w:val="24"/>
          <w:szCs w:val="24"/>
        </w:rPr>
        <w:t xml:space="preserve"> </w:t>
      </w:r>
      <w:r w:rsidR="00A53628" w:rsidRPr="007411E8">
        <w:rPr>
          <w:rFonts w:ascii="Calibri" w:hAnsi="Calibri" w:cs="Calibri"/>
          <w:sz w:val="24"/>
          <w:szCs w:val="24"/>
        </w:rPr>
        <w:t>All</w:t>
      </w:r>
      <w:r w:rsidR="003F4A29" w:rsidRPr="007411E8">
        <w:rPr>
          <w:rFonts w:ascii="Calibri" w:hAnsi="Calibri" w:cs="Calibri"/>
          <w:sz w:val="24"/>
          <w:szCs w:val="24"/>
        </w:rPr>
        <w:t xml:space="preserve"> atom molecular dynamics (MD) simulations are </w:t>
      </w:r>
      <w:r w:rsidR="009C4CB0" w:rsidRPr="007411E8">
        <w:rPr>
          <w:rFonts w:ascii="Calibri" w:hAnsi="Calibri" w:cs="Calibri"/>
          <w:sz w:val="24"/>
          <w:szCs w:val="24"/>
        </w:rPr>
        <w:t>applied</w:t>
      </w:r>
      <w:r w:rsidR="003F4A29" w:rsidRPr="007411E8">
        <w:rPr>
          <w:rFonts w:ascii="Calibri" w:hAnsi="Calibri" w:cs="Calibri"/>
          <w:sz w:val="24"/>
          <w:szCs w:val="24"/>
        </w:rPr>
        <w:t xml:space="preserve"> to </w:t>
      </w:r>
      <w:r w:rsidR="00BC01FC" w:rsidRPr="007411E8">
        <w:rPr>
          <w:rFonts w:ascii="Calibri" w:hAnsi="Calibri" w:cs="Calibri"/>
          <w:sz w:val="24"/>
          <w:szCs w:val="24"/>
        </w:rPr>
        <w:t>examine</w:t>
      </w:r>
      <w:r w:rsidR="003F4A29" w:rsidRPr="007411E8">
        <w:rPr>
          <w:rFonts w:ascii="Calibri" w:hAnsi="Calibri" w:cs="Calibri"/>
          <w:sz w:val="24"/>
          <w:szCs w:val="24"/>
        </w:rPr>
        <w:t xml:space="preserve"> t</w:t>
      </w:r>
      <w:r w:rsidRPr="007411E8">
        <w:rPr>
          <w:rFonts w:ascii="Calibri" w:hAnsi="Calibri" w:cs="Calibri"/>
          <w:sz w:val="24"/>
          <w:szCs w:val="24"/>
        </w:rPr>
        <w:t xml:space="preserve">he T3SS in </w:t>
      </w:r>
      <w:r w:rsidR="0036467C" w:rsidRPr="007411E8">
        <w:rPr>
          <w:rFonts w:ascii="Calibri" w:hAnsi="Calibri" w:cs="Calibri"/>
          <w:sz w:val="24"/>
          <w:szCs w:val="24"/>
        </w:rPr>
        <w:t>extensive</w:t>
      </w:r>
      <w:r w:rsidRPr="007411E8">
        <w:rPr>
          <w:rFonts w:ascii="Calibri" w:hAnsi="Calibri" w:cs="Calibri"/>
          <w:sz w:val="24"/>
          <w:szCs w:val="24"/>
        </w:rPr>
        <w:t xml:space="preserve"> detail</w:t>
      </w:r>
      <w:r w:rsidR="00F933DA" w:rsidRPr="007411E8">
        <w:rPr>
          <w:rFonts w:ascii="Calibri" w:hAnsi="Calibri" w:cs="Calibri"/>
          <w:sz w:val="24"/>
          <w:szCs w:val="24"/>
        </w:rPr>
        <w:t xml:space="preserve"> </w:t>
      </w:r>
      <w:r w:rsidR="001F1ACF" w:rsidRPr="007411E8">
        <w:rPr>
          <w:rFonts w:ascii="Calibri" w:hAnsi="Calibri" w:cs="Calibri"/>
          <w:sz w:val="24"/>
          <w:szCs w:val="24"/>
        </w:rPr>
        <w:t>by using</w:t>
      </w:r>
      <w:r w:rsidR="00EE3AF1" w:rsidRPr="007411E8">
        <w:rPr>
          <w:rFonts w:ascii="Calibri" w:hAnsi="Calibri" w:cs="Calibri"/>
          <w:sz w:val="24"/>
          <w:szCs w:val="24"/>
        </w:rPr>
        <w:t xml:space="preserve"> </w:t>
      </w:r>
      <w:r w:rsidR="00AF2949" w:rsidRPr="007411E8">
        <w:rPr>
          <w:rFonts w:ascii="Calibri" w:hAnsi="Calibri" w:cs="Calibri"/>
          <w:sz w:val="24"/>
          <w:szCs w:val="24"/>
        </w:rPr>
        <w:t>enforced rotation</w:t>
      </w:r>
      <w:r w:rsidR="0005508D" w:rsidRPr="007411E8">
        <w:rPr>
          <w:rFonts w:ascii="Calibri" w:hAnsi="Calibri" w:cs="Calibri"/>
          <w:sz w:val="24"/>
          <w:szCs w:val="24"/>
        </w:rPr>
        <w:t xml:space="preserve"> to </w:t>
      </w:r>
      <w:r w:rsidR="008B413F" w:rsidRPr="007411E8">
        <w:rPr>
          <w:rFonts w:ascii="Calibri" w:hAnsi="Calibri" w:cs="Calibri"/>
          <w:sz w:val="24"/>
          <w:szCs w:val="24"/>
        </w:rPr>
        <w:t>characterise protein-protein</w:t>
      </w:r>
      <w:r w:rsidR="00A9263C" w:rsidRPr="007411E8">
        <w:rPr>
          <w:rFonts w:ascii="Calibri" w:hAnsi="Calibri" w:cs="Calibri"/>
          <w:sz w:val="24"/>
          <w:szCs w:val="24"/>
        </w:rPr>
        <w:t xml:space="preserve"> interactions</w:t>
      </w:r>
      <w:r w:rsidR="008B413F" w:rsidRPr="007411E8">
        <w:rPr>
          <w:rFonts w:ascii="Calibri" w:hAnsi="Calibri" w:cs="Calibri"/>
          <w:sz w:val="24"/>
          <w:szCs w:val="24"/>
        </w:rPr>
        <w:t xml:space="preserve"> </w:t>
      </w:r>
      <w:r w:rsidR="004B7DF2" w:rsidRPr="007411E8">
        <w:rPr>
          <w:rFonts w:ascii="Calibri" w:hAnsi="Calibri" w:cs="Calibri"/>
          <w:sz w:val="24"/>
          <w:szCs w:val="24"/>
        </w:rPr>
        <w:t>and</w:t>
      </w:r>
      <w:r w:rsidR="00947514" w:rsidRPr="007411E8">
        <w:rPr>
          <w:rFonts w:ascii="Calibri" w:hAnsi="Calibri" w:cs="Calibri"/>
          <w:sz w:val="24"/>
          <w:szCs w:val="24"/>
        </w:rPr>
        <w:t xml:space="preserve"> conventional MD simulations used for</w:t>
      </w:r>
      <w:r w:rsidR="004B7DF2" w:rsidRPr="007411E8">
        <w:rPr>
          <w:rFonts w:ascii="Calibri" w:hAnsi="Calibri" w:cs="Calibri"/>
          <w:sz w:val="24"/>
          <w:szCs w:val="24"/>
        </w:rPr>
        <w:t xml:space="preserve"> ligand-protein </w:t>
      </w:r>
      <w:r w:rsidR="008B413F" w:rsidRPr="007411E8">
        <w:rPr>
          <w:rFonts w:ascii="Calibri" w:hAnsi="Calibri" w:cs="Calibri"/>
          <w:sz w:val="24"/>
          <w:szCs w:val="24"/>
        </w:rPr>
        <w:t>interactions of the</w:t>
      </w:r>
      <w:r w:rsidR="00EE3AF1" w:rsidRPr="007411E8">
        <w:rPr>
          <w:rFonts w:ascii="Calibri" w:hAnsi="Calibri" w:cs="Calibri"/>
          <w:sz w:val="24"/>
          <w:szCs w:val="24"/>
        </w:rPr>
        <w:t xml:space="preserve"> </w:t>
      </w:r>
      <w:r w:rsidR="008B413F" w:rsidRPr="007411E8">
        <w:rPr>
          <w:rFonts w:ascii="Calibri" w:hAnsi="Calibri" w:cs="Calibri"/>
          <w:sz w:val="24"/>
          <w:szCs w:val="24"/>
        </w:rPr>
        <w:t>T</w:t>
      </w:r>
      <w:r w:rsidR="0034225C" w:rsidRPr="007411E8">
        <w:rPr>
          <w:rFonts w:ascii="Calibri" w:hAnsi="Calibri" w:cs="Calibri"/>
          <w:sz w:val="24"/>
          <w:szCs w:val="24"/>
        </w:rPr>
        <w:t>3SS.</w:t>
      </w:r>
      <w:r w:rsidR="00F921C8" w:rsidRPr="007411E8">
        <w:rPr>
          <w:rFonts w:ascii="Calibri" w:hAnsi="Calibri" w:cs="Calibri"/>
          <w:sz w:val="24"/>
          <w:szCs w:val="24"/>
        </w:rPr>
        <w:t xml:space="preserve"> </w:t>
      </w:r>
    </w:p>
    <w:p w14:paraId="08C053A2" w14:textId="3589A8BB" w:rsidR="00E85994" w:rsidRPr="007411E8" w:rsidRDefault="00E85994" w:rsidP="00E85994">
      <w:pPr>
        <w:rPr>
          <w:rFonts w:ascii="Calibri" w:hAnsi="Calibri" w:cs="Calibri"/>
          <w:sz w:val="24"/>
          <w:szCs w:val="24"/>
        </w:rPr>
      </w:pPr>
      <w:r w:rsidRPr="007411E8">
        <w:rPr>
          <w:rFonts w:ascii="Calibri" w:hAnsi="Calibri" w:cs="Calibri"/>
          <w:sz w:val="24"/>
          <w:szCs w:val="24"/>
        </w:rPr>
        <w:t>An improved understanding of the complexity surrounding the T3SS molecular dynamics and</w:t>
      </w:r>
      <w:r w:rsidR="00212FDA" w:rsidRPr="007411E8">
        <w:rPr>
          <w:rFonts w:ascii="Calibri" w:hAnsi="Calibri" w:cs="Calibri"/>
          <w:sz w:val="24"/>
          <w:szCs w:val="24"/>
        </w:rPr>
        <w:t xml:space="preserve"> pseudorever</w:t>
      </w:r>
      <w:r w:rsidR="00590E03" w:rsidRPr="007411E8">
        <w:rPr>
          <w:rFonts w:ascii="Calibri" w:hAnsi="Calibri" w:cs="Calibri"/>
          <w:sz w:val="24"/>
          <w:szCs w:val="24"/>
        </w:rPr>
        <w:t>tant</w:t>
      </w:r>
      <w:r w:rsidRPr="007411E8">
        <w:rPr>
          <w:rFonts w:ascii="Calibri" w:hAnsi="Calibri" w:cs="Calibri"/>
          <w:sz w:val="24"/>
          <w:szCs w:val="24"/>
        </w:rPr>
        <w:t xml:space="preserve"> formation </w:t>
      </w:r>
      <w:r w:rsidR="007423DE" w:rsidRPr="007411E8">
        <w:rPr>
          <w:rFonts w:ascii="Calibri" w:hAnsi="Calibri" w:cs="Calibri"/>
          <w:sz w:val="24"/>
          <w:szCs w:val="24"/>
        </w:rPr>
        <w:t>could</w:t>
      </w:r>
      <w:r w:rsidRPr="007411E8">
        <w:rPr>
          <w:rFonts w:ascii="Calibri" w:hAnsi="Calibri" w:cs="Calibri"/>
          <w:sz w:val="24"/>
          <w:szCs w:val="24"/>
        </w:rPr>
        <w:t xml:space="preserve"> provide avenues for antimicrobial application. </w:t>
      </w:r>
      <w:r w:rsidR="003F3A39">
        <w:rPr>
          <w:rFonts w:ascii="Calibri" w:hAnsi="Calibri" w:cs="Calibri"/>
          <w:sz w:val="24"/>
          <w:szCs w:val="24"/>
        </w:rPr>
        <w:t>U</w:t>
      </w:r>
      <w:r w:rsidR="00173A8E" w:rsidRPr="007411E8">
        <w:rPr>
          <w:rFonts w:ascii="Calibri" w:hAnsi="Calibri" w:cs="Calibri"/>
          <w:sz w:val="24"/>
          <w:szCs w:val="24"/>
        </w:rPr>
        <w:t>nique mechanics of these</w:t>
      </w:r>
      <w:r w:rsidRPr="007411E8">
        <w:rPr>
          <w:rFonts w:ascii="Calibri" w:hAnsi="Calibri" w:cs="Calibri"/>
          <w:sz w:val="24"/>
          <w:szCs w:val="24"/>
        </w:rPr>
        <w:t xml:space="preserve"> supramolecular motors could be adapted</w:t>
      </w:r>
      <w:r w:rsidR="001C435D" w:rsidRPr="007411E8">
        <w:rPr>
          <w:rFonts w:ascii="Calibri" w:hAnsi="Calibri" w:cs="Calibri"/>
          <w:sz w:val="24"/>
          <w:szCs w:val="24"/>
        </w:rPr>
        <w:t xml:space="preserve"> and</w:t>
      </w:r>
      <w:r w:rsidR="00FD40C4" w:rsidRPr="007411E8">
        <w:rPr>
          <w:rFonts w:ascii="Calibri" w:hAnsi="Calibri" w:cs="Calibri"/>
          <w:sz w:val="24"/>
          <w:szCs w:val="24"/>
        </w:rPr>
        <w:t xml:space="preserve"> applied</w:t>
      </w:r>
      <w:r w:rsidRPr="007411E8">
        <w:rPr>
          <w:rFonts w:ascii="Calibri" w:hAnsi="Calibri" w:cs="Calibri"/>
          <w:sz w:val="24"/>
          <w:szCs w:val="24"/>
        </w:rPr>
        <w:t xml:space="preserve"> for develop</w:t>
      </w:r>
      <w:r w:rsidR="00FD40C4" w:rsidRPr="007411E8">
        <w:rPr>
          <w:rFonts w:ascii="Calibri" w:hAnsi="Calibri" w:cs="Calibri"/>
          <w:sz w:val="24"/>
          <w:szCs w:val="24"/>
        </w:rPr>
        <w:t>ment</w:t>
      </w:r>
      <w:r w:rsidR="00717C10" w:rsidRPr="007411E8">
        <w:rPr>
          <w:rFonts w:ascii="Calibri" w:hAnsi="Calibri" w:cs="Calibri"/>
          <w:sz w:val="24"/>
          <w:szCs w:val="24"/>
        </w:rPr>
        <w:t xml:space="preserve"> of</w:t>
      </w:r>
      <w:r w:rsidRPr="007411E8">
        <w:rPr>
          <w:rFonts w:ascii="Calibri" w:hAnsi="Calibri" w:cs="Calibri"/>
          <w:sz w:val="24"/>
          <w:szCs w:val="24"/>
        </w:rPr>
        <w:t xml:space="preserve"> new biotechnologies and </w:t>
      </w:r>
      <w:r w:rsidR="003E5FC7" w:rsidRPr="007411E8">
        <w:rPr>
          <w:rFonts w:ascii="Calibri" w:hAnsi="Calibri" w:cs="Calibri"/>
          <w:sz w:val="24"/>
          <w:szCs w:val="24"/>
        </w:rPr>
        <w:t>add to the knowledge</w:t>
      </w:r>
      <w:r w:rsidR="00782CCF" w:rsidRPr="007411E8">
        <w:rPr>
          <w:rFonts w:ascii="Calibri" w:hAnsi="Calibri" w:cs="Calibri"/>
          <w:sz w:val="24"/>
          <w:szCs w:val="24"/>
        </w:rPr>
        <w:t xml:space="preserve"> </w:t>
      </w:r>
      <w:r w:rsidR="00C67671" w:rsidRPr="007411E8">
        <w:rPr>
          <w:rFonts w:ascii="Calibri" w:hAnsi="Calibri" w:cs="Calibri"/>
          <w:sz w:val="24"/>
          <w:szCs w:val="24"/>
        </w:rPr>
        <w:t>concerning</w:t>
      </w:r>
      <w:r w:rsidR="004A457B" w:rsidRPr="007411E8">
        <w:rPr>
          <w:rFonts w:ascii="Calibri" w:hAnsi="Calibri" w:cs="Calibri"/>
          <w:sz w:val="24"/>
          <w:szCs w:val="24"/>
        </w:rPr>
        <w:t xml:space="preserve"> biomolecular motor</w:t>
      </w:r>
      <w:r w:rsidR="00976149" w:rsidRPr="007411E8">
        <w:rPr>
          <w:rFonts w:ascii="Calibri" w:hAnsi="Calibri" w:cs="Calibri"/>
          <w:sz w:val="24"/>
          <w:szCs w:val="24"/>
        </w:rPr>
        <w:t xml:space="preserve"> function</w:t>
      </w:r>
      <w:r w:rsidRPr="007411E8">
        <w:rPr>
          <w:rFonts w:ascii="Calibri" w:hAnsi="Calibri" w:cs="Calibri"/>
          <w:sz w:val="24"/>
          <w:szCs w:val="24"/>
        </w:rPr>
        <w:t xml:space="preserve">. </w:t>
      </w:r>
    </w:p>
    <w:p w14:paraId="6716AD6B" w14:textId="77777777" w:rsidR="002F40A1" w:rsidRDefault="002F40A1"/>
    <w:sectPr w:rsidR="002F40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994"/>
    <w:rsid w:val="000473AF"/>
    <w:rsid w:val="0005227E"/>
    <w:rsid w:val="0005508D"/>
    <w:rsid w:val="000C1BE5"/>
    <w:rsid w:val="000F46AD"/>
    <w:rsid w:val="001433DC"/>
    <w:rsid w:val="00173A8E"/>
    <w:rsid w:val="001A7D77"/>
    <w:rsid w:val="001C435D"/>
    <w:rsid w:val="001C6987"/>
    <w:rsid w:val="001F1ACF"/>
    <w:rsid w:val="00210FFD"/>
    <w:rsid w:val="00212FDA"/>
    <w:rsid w:val="002331AC"/>
    <w:rsid w:val="002C04AC"/>
    <w:rsid w:val="002F40A1"/>
    <w:rsid w:val="00303206"/>
    <w:rsid w:val="00337EFA"/>
    <w:rsid w:val="0034225C"/>
    <w:rsid w:val="0036467C"/>
    <w:rsid w:val="00382AB8"/>
    <w:rsid w:val="003E5FC7"/>
    <w:rsid w:val="003F3A39"/>
    <w:rsid w:val="003F4A29"/>
    <w:rsid w:val="004A457B"/>
    <w:rsid w:val="004B7DF2"/>
    <w:rsid w:val="00527504"/>
    <w:rsid w:val="00531E29"/>
    <w:rsid w:val="0057780E"/>
    <w:rsid w:val="00590E03"/>
    <w:rsid w:val="005C36EA"/>
    <w:rsid w:val="006677C6"/>
    <w:rsid w:val="006E5FA8"/>
    <w:rsid w:val="006F53ED"/>
    <w:rsid w:val="00717C10"/>
    <w:rsid w:val="007411E8"/>
    <w:rsid w:val="007423DE"/>
    <w:rsid w:val="00765BF2"/>
    <w:rsid w:val="00782CCF"/>
    <w:rsid w:val="007C0438"/>
    <w:rsid w:val="00824B2D"/>
    <w:rsid w:val="00876EFC"/>
    <w:rsid w:val="008B413F"/>
    <w:rsid w:val="008C42DC"/>
    <w:rsid w:val="00904A5D"/>
    <w:rsid w:val="00947514"/>
    <w:rsid w:val="00955F06"/>
    <w:rsid w:val="00976149"/>
    <w:rsid w:val="009C4CB0"/>
    <w:rsid w:val="009C6597"/>
    <w:rsid w:val="00A53628"/>
    <w:rsid w:val="00A706FD"/>
    <w:rsid w:val="00A86ACF"/>
    <w:rsid w:val="00A9263C"/>
    <w:rsid w:val="00AC692E"/>
    <w:rsid w:val="00AD5C6F"/>
    <w:rsid w:val="00AE3970"/>
    <w:rsid w:val="00AE4D44"/>
    <w:rsid w:val="00AF2949"/>
    <w:rsid w:val="00B45886"/>
    <w:rsid w:val="00BC01FC"/>
    <w:rsid w:val="00C1483F"/>
    <w:rsid w:val="00C67671"/>
    <w:rsid w:val="00C74ABB"/>
    <w:rsid w:val="00D031DC"/>
    <w:rsid w:val="00D07D4C"/>
    <w:rsid w:val="00D57E88"/>
    <w:rsid w:val="00E56754"/>
    <w:rsid w:val="00E674E3"/>
    <w:rsid w:val="00E85994"/>
    <w:rsid w:val="00EA2D50"/>
    <w:rsid w:val="00ED61F9"/>
    <w:rsid w:val="00EE3AF1"/>
    <w:rsid w:val="00F37203"/>
    <w:rsid w:val="00F90F6F"/>
    <w:rsid w:val="00F921C8"/>
    <w:rsid w:val="00F933DA"/>
    <w:rsid w:val="00F94A3A"/>
    <w:rsid w:val="00FD4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9070F"/>
  <w15:chartTrackingRefBased/>
  <w15:docId w15:val="{F1CA8332-F69B-4180-BE9B-EDF307C10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5994"/>
  </w:style>
  <w:style w:type="paragraph" w:styleId="Heading1">
    <w:name w:val="heading 1"/>
    <w:basedOn w:val="Normal"/>
    <w:next w:val="Normal"/>
    <w:link w:val="Heading1Char"/>
    <w:uiPriority w:val="9"/>
    <w:qFormat/>
    <w:rsid w:val="00E859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59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59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59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59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59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59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59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59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59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59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59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599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599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59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59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59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59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59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59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59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59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59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59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59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59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59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59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59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DAVIES, THOMAS (PGR)</dc:creator>
  <cp:keywords/>
  <dc:description/>
  <cp:lastModifiedBy>DAVIES, THOMAS (PGR)</cp:lastModifiedBy>
  <cp:revision>76</cp:revision>
  <dcterms:created xsi:type="dcterms:W3CDTF">2024-04-17T16:44:00Z</dcterms:created>
  <dcterms:modified xsi:type="dcterms:W3CDTF">2024-04-25T10:33:00Z</dcterms:modified>
</cp:coreProperties>
</file>