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4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:lang w:val="en-US"/>
          <w14:textFill>
            <w14:solidFill>
              <w14:srgbClr w14:val="FFFFFF"/>
            </w14:solidFill>
          </w14:textFill>
        </w:rPr>
        <w:t>PhD position in Physics at Warwick University - Investigating</w:t>
      </w:r>
      <w:r>
        <w:rPr>
          <w:rFonts w:ascii="Times Roman" w:hAnsi="Times Roman" w:hint="default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:lang w:val="en-US"/>
          <w14:textFill>
            <w14:solidFill>
              <w14:srgbClr w14:val="FFFFFF"/>
            </w14:solidFill>
          </w14:textFill>
        </w:rPr>
        <w:t>the</w:t>
      </w:r>
      <w:r>
        <w:rPr>
          <w:rFonts w:ascii="Times Roman" w:hAnsi="Times Roman" w:hint="default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:lang w:val="en-US"/>
          <w14:textFill>
            <w14:solidFill>
              <w14:srgbClr w14:val="FFFFFF"/>
            </w14:solidFill>
          </w14:textFill>
        </w:rPr>
        <w:t>nature and origins</w:t>
      </w:r>
      <w:r>
        <w:rPr>
          <w:rFonts w:ascii="Times Roman" w:hAnsi="Times Roman" w:hint="default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:lang w:val="en-US"/>
          <w14:textFill>
            <w14:solidFill>
              <w14:srgbClr w14:val="FFFFFF"/>
            </w14:solidFill>
          </w14:textFill>
        </w:rPr>
        <w:t>of</w:t>
      </w:r>
      <w:r>
        <w:rPr>
          <w:rFonts w:ascii="Times Roman" w:hAnsi="Times Roman" w:hint="default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:lang w:val="en-US"/>
          <w14:textFill>
            <w14:solidFill>
              <w14:srgbClr w14:val="FFFFFF"/>
            </w14:solidFill>
          </w14:textFill>
        </w:rPr>
        <w:t>planets in</w:t>
      </w:r>
      <w:r>
        <w:rPr>
          <w:rFonts w:ascii="Times Roman" w:hAnsi="Times Roman" w:hint="default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:lang w:val="en-US"/>
          <w14:textFill>
            <w14:solidFill>
              <w14:srgbClr w14:val="FFFFFF"/>
            </w14:solidFill>
          </w14:textFill>
        </w:rPr>
        <w:t>the</w:t>
      </w:r>
      <w:r>
        <w:rPr>
          <w:rFonts w:ascii="Times Roman" w:hAnsi="Times Roman" w:hint="default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ffffff"/>
          <w:sz w:val="41"/>
          <w:szCs w:val="41"/>
          <w:shd w:val="clear" w:color="auto" w:fill="444444"/>
          <w:rtl w:val="0"/>
          <w14:textFill>
            <w14:solidFill>
              <w14:srgbClr w14:val="FFFFFF"/>
            </w14:solidFill>
          </w14:textFill>
        </w:rPr>
        <w:t>Neptunian Desert</w:t>
      </w:r>
    </w:p>
    <w:p>
      <w:pPr>
        <w:pStyle w:val="Default"/>
        <w:bidi w:val="0"/>
        <w:spacing w:before="0" w:after="120" w:line="4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ffff"/>
          <w:sz w:val="35"/>
          <w:szCs w:val="35"/>
          <w:shd w:val="clear" w:color="auto" w:fill="444444"/>
          <w:rtl w:val="0"/>
          <w14:textFill>
            <w14:solidFill>
              <w14:srgbClr w14:val="FFFFFF"/>
            </w14:solidFill>
          </w14:textFill>
        </w:rPr>
      </w:pPr>
    </w:p>
    <w:p>
      <w:pPr>
        <w:pStyle w:val="Default"/>
        <w:bidi w:val="0"/>
        <w:spacing w:before="0" w:after="120" w:line="420" w:lineRule="atLeast"/>
        <w:ind w:left="0" w:right="0" w:firstLine="0"/>
        <w:jc w:val="left"/>
        <w:rPr>
          <w:rFonts w:ascii="Times Roman" w:cs="Times Roman" w:hAnsi="Times Roman" w:eastAsia="Times Roman"/>
          <w:sz w:val="47"/>
          <w:szCs w:val="47"/>
          <w:shd w:val="clear" w:color="auto" w:fill="feffff"/>
          <w:rtl w:val="0"/>
        </w:rPr>
      </w:pPr>
      <w:r>
        <w:rPr>
          <w:rFonts w:ascii="Times Roman" w:hAnsi="Times Roman"/>
          <w:sz w:val="47"/>
          <w:szCs w:val="47"/>
          <w:shd w:val="clear" w:color="auto" w:fill="feffff"/>
          <w:rtl w:val="0"/>
        </w:rPr>
        <w:t>Dr David Armstrong</w:t>
      </w:r>
    </w:p>
    <w:p>
      <w:pPr>
        <w:pStyle w:val="Default"/>
        <w:bidi w:val="0"/>
        <w:spacing w:before="0" w:after="120" w:line="420" w:lineRule="atLeast"/>
        <w:ind w:left="0" w:right="0" w:firstLine="0"/>
        <w:jc w:val="left"/>
        <w:rPr>
          <w:rFonts w:ascii="Times Roman" w:cs="Times Roman" w:hAnsi="Times Roman" w:eastAsia="Times Roman"/>
          <w:sz w:val="35"/>
          <w:szCs w:val="35"/>
          <w:shd w:val="clear" w:color="auto" w:fill="fe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nl-NL"/>
          <w14:textFill>
            <w14:solidFill>
              <w14:srgbClr w14:val="212529"/>
            </w14:solidFill>
          </w14:textFill>
        </w:rPr>
        <w:t>Overview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We invite applications from outstanding and highly motivated students for the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 Warwick Prize Scholarships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in Astrophysics. The successful applicant will work with </w:t>
      </w:r>
      <w:r>
        <w:rPr>
          <w:rStyle w:val="Hyperlink.0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instrText xml:space="preserve"> HYPERLINK "https://warwick.ac.uk/fac/sci/physics/research/astro/people/armstrong/"</w:instrText>
      </w:r>
      <w:r>
        <w:rPr>
          <w:rStyle w:val="Hyperlink.0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Dr David Armstrong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 within 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instrText xml:space="preserve"> HYPERLINK "https://warwick.ac.uk/fac/sci/physics/research/astro/"</w:instrTex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/>
          <w:outline w:val="0"/>
          <w:color w:val="0e76bc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0E76BC"/>
            </w14:solidFill>
          </w14:textFill>
        </w:rPr>
        <w:t>Astronomy and Astrophysics group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in the Department of Physics at the University of Warwick.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b w:val="0"/>
          <w:bCs w:val="0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This project will explore</w:t>
      </w:r>
      <w:r>
        <w:rPr>
          <w:rFonts w:ascii="Times Roman" w:hAnsi="Times Roman" w:hint="default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fr-FR"/>
          <w14:textFill>
            <w14:solidFill>
              <w14:srgbClr w14:val="212529"/>
            </w14:solidFill>
          </w14:textFill>
        </w:rPr>
        <w:t>nature</w:t>
      </w:r>
      <w:r>
        <w:rPr>
          <w:rFonts w:ascii="Times Roman" w:hAnsi="Times Roman" w:hint="default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of</w:t>
      </w:r>
      <w:r>
        <w:rPr>
          <w:rFonts w:ascii="Times Roman" w:hAnsi="Times Roman" w:hint="default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rare, dense Neptune-sized planets found orbiting at extreme temperatures.</w:t>
      </w:r>
      <w:r>
        <w:rPr>
          <w:rFonts w:ascii="Times Roman" w:hAnsi="Times Roman" w:hint="default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Neptunian desert is a known feature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of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exoplanet population - Neptune-size and mass planets are not found orbiting close to their host stars. This is due to photo-evaporation and tidal disruption, where planets are evaporated by intense radiation or even completely disrupted by gravitational tides. Despite this,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NASA TESS mission has recently found several planets in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desert. These planets are abnormally dense, with densities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same and higher than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Earth despite being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size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of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Neptune. Understanding their origins requires a dedicated observational program, seeking to understand: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1) How common are these desert planets?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2) Are these outliers or a new population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of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previously unseen planets?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3) What processes lead to these planets. How do they form and evolve?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project 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is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 funded by a UK Frontier Research Grant (previously an ERC grant) and come with increased funding duration and travel allowance.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Warwick is an internationally recognised centre of research excellence. Our group takes leading roles in many major ground and space-based projects, including the Gravitational-wave Optical Transient Observer (GOTO), Next Generation Transit Survey (NGTS), PLAnetary Transits and Oscillations of stars (PLATO) telescope, Sloan Digital Sky Survey (SDSS), WHT Enhanced Area Velocity Explorer (WEAVE) spectrograph, 4-metre Multi-Object Spectrograph Telescope (4MOST), and Dark Energy Spectroscopic Instrument (DESI).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The Astronomy &amp; Astrophysics group is part of the Physics Department at Warwick; both the department and the university hold Athena SWAN Silver awards, a national initiative to promote gender equality for all staff and students. The Physics Department is also a Juno Champion, which is an award from the Institute of Physics to recognise our efforts to address the under-representation of women in university physics and to encourage better practice for all. The Astronomy &amp; Astrophysics group also hosts monthly </w:t>
      </w:r>
      <w:r>
        <w:rPr>
          <w:rStyle w:val="Hyperlink.0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instrText xml:space="preserve"> HYPERLINK "https://warwick.ac.uk/fac/sci/physics/research/astro/seminars/equitea/"</w:instrText>
      </w:r>
      <w:r>
        <w:rPr>
          <w:rStyle w:val="Hyperlink.0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pt-PT"/>
          <w14:textFill>
            <w14:solidFill>
              <w14:srgbClr w14:val="212529"/>
            </w14:solidFill>
          </w14:textFill>
        </w:rPr>
        <w:t>equitea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 forums to break down barriers faced by all under-represented groups in science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More details on PhD positions with the Astronomy and Astrophysics group at Warwick are available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instrText xml:space="preserve"> HYPERLINK "https://warwick.ac.uk/fac/sci/physics/research/astro/postgraduate_phd/"</w:instrTex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/>
          <w:outline w:val="0"/>
          <w:color w:val="0e76bc"/>
          <w:sz w:val="42"/>
          <w:szCs w:val="42"/>
          <w:shd w:val="clear" w:color="auto" w:fill="f9f9f9"/>
          <w:rtl w:val="0"/>
          <w:lang w:val="it-IT"/>
          <w14:textFill>
            <w14:solidFill>
              <w14:srgbClr w14:val="0E76BC"/>
            </w14:solidFill>
          </w14:textFill>
        </w:rPr>
        <w:t>here.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Start Date: October 202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3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Funding Duration: 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4.0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 years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fr-FR"/>
          <w14:textFill>
            <w14:solidFill>
              <w14:srgbClr w14:val="212529"/>
            </w14:solidFill>
          </w14:textFill>
        </w:rPr>
        <w:t>Applications due by: 1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0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 January 202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3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b w:val="0"/>
          <w:bCs w:val="0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it-IT"/>
          <w14:textFill>
            <w14:solidFill>
              <w14:srgbClr w14:val="212529"/>
            </w14:solidFill>
          </w14:textFill>
        </w:rPr>
        <w:t>Eligibility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You must have or expect a First or Upper second class MSci, MPhys or equivalent degree in Physics or a closely related discipline. Holders of BSc honours degrees are eligible but successful BSc applicants typically have substantial additional research experience. International equivalents are detailed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instrText xml:space="preserve"> HYPERLINK "https://warwick.ac.uk/study/international/admissions/entry-requirements/"</w:instrTex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/>
          <w:outline w:val="0"/>
          <w:color w:val="0e76bc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0E76BC"/>
            </w14:solidFill>
          </w14:textFill>
        </w:rPr>
        <w:t>here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For students whose first language is not English, we normally require a score of 6.5 in IELTS or equivalent. If your previous degree was taught in an English-speaking country this requirement may be waived.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The award is available to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home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and international applicants.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b w:val="0"/>
          <w:bCs w:val="0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How To Apply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You must apply through the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instrText xml:space="preserve"> HYPERLINK "https://warwick.ac.uk/study/postgraduate/apply/research/"</w:instrTex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/>
          <w:outline w:val="0"/>
          <w:color w:val="0e76bc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0E76BC"/>
            </w14:solidFill>
          </w14:textFill>
        </w:rPr>
        <w:t>University</w:t>
      </w:r>
      <w:r>
        <w:rPr>
          <w:rStyle w:val="Hyperlink.1"/>
          <w:rFonts w:ascii="Times Roman" w:hAnsi="Times Roman" w:hint="default"/>
          <w:outline w:val="0"/>
          <w:color w:val="0e76bc"/>
          <w:sz w:val="42"/>
          <w:szCs w:val="42"/>
          <w:shd w:val="clear" w:color="auto" w:fill="f9f9f9"/>
          <w:rtl w:val="1"/>
          <w14:textFill>
            <w14:solidFill>
              <w14:srgbClr w14:val="0E76BC"/>
            </w14:solidFill>
          </w14:textFill>
        </w:rPr>
        <w:t>’</w:t>
      </w:r>
      <w:r>
        <w:rPr>
          <w:rStyle w:val="Hyperlink.1"/>
          <w:rFonts w:ascii="Times Roman" w:hAnsi="Times Roman"/>
          <w:outline w:val="0"/>
          <w:color w:val="0e76bc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0E76BC"/>
            </w14:solidFill>
          </w14:textFill>
        </w:rPr>
        <w:t>s online application system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and follow the instructions. Use course code P-F3P0. Make sure to state an interest in the Astronomy and Astrophysics group. Please state 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1"/>
          <w14:textFill>
            <w14:solidFill>
              <w14:srgbClr w14:val="212529"/>
            </w14:solidFill>
          </w14:textFill>
        </w:rPr>
        <w:t>‘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Warwick Prize Scholarships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1"/>
          <w14:textFill>
            <w14:solidFill>
              <w14:srgbClr w14:val="212529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as the funding option. We encourage applicants to express interest in more than one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instrText xml:space="preserve"> HYPERLINK "https://warwick.ac.uk/fac/sci/physics/research/astro/postgraduate_phd/"</w:instrText>
      </w:r>
      <w:r>
        <w:rPr>
          <w:rStyle w:val="Hyperlink.1"/>
          <w:rFonts w:ascii="Times Roman" w:cs="Times Roman" w:hAnsi="Times Roman" w:eastAsia="Times Roman"/>
          <w:outline w:val="0"/>
          <w:color w:val="0e76bc"/>
          <w:sz w:val="42"/>
          <w:szCs w:val="42"/>
          <w:shd w:val="clear" w:color="auto" w:fill="f9f9f9"/>
          <w:rtl w:val="0"/>
          <w14:textFill>
            <w14:solidFill>
              <w14:srgbClr w14:val="0E76BC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/>
          <w:outline w:val="0"/>
          <w:color w:val="0e76bc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0E76BC"/>
            </w14:solidFill>
          </w14:textFill>
        </w:rPr>
        <w:t>available PhD project.</w:t>
      </w:r>
      <w:r>
        <w:rPr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240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</w:p>
    <w:p>
      <w:pPr>
        <w:pStyle w:val="Default"/>
        <w:bidi w:val="0"/>
        <w:spacing w:before="0" w:after="120" w:line="360" w:lineRule="atLeast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outline w:val="0"/>
          <w:color w:val="212529"/>
          <w:sz w:val="30"/>
          <w:szCs w:val="3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12529"/>
          <w:sz w:val="30"/>
          <w:szCs w:val="30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Funding Notes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 xml:space="preserve">The project will provide a full UK-standard annual tax-free stipend of </w:t>
      </w:r>
      <w:r>
        <w:rPr>
          <w:rFonts w:ascii="Times Roman" w:hAnsi="Times Roman" w:hint="default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£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1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8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14:textFill>
            <w14:solidFill>
              <w14:srgbClr w14:val="212529"/>
            </w14:solidFill>
          </w14:textFill>
        </w:rPr>
        <w:t>,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200</w:t>
      </w:r>
      <w:r>
        <w:rPr>
          <w:rFonts w:ascii="Times Roman" w:hAnsi="Times Roman"/>
          <w:outline w:val="0"/>
          <w:color w:val="212529"/>
          <w:sz w:val="42"/>
          <w:szCs w:val="42"/>
          <w:shd w:val="clear" w:color="auto" w:fill="f9f9f9"/>
          <w:rtl w:val="0"/>
          <w:lang w:val="en-US"/>
          <w14:textFill>
            <w14:solidFill>
              <w14:srgbClr w14:val="212529"/>
            </w14:solidFill>
          </w14:textFill>
        </w:rPr>
        <w:t>, rising with inflation, plus allocations for travel and computing.</w:t>
      </w:r>
      <w:r>
        <w:rPr>
          <w:rStyle w:val="None"/>
          <w:rFonts w:ascii="Times Roman" w:cs="Times Roman" w:hAnsi="Times Roman" w:eastAsia="Times Roman"/>
          <w:outline w:val="0"/>
          <w:color w:val="212529"/>
          <w:sz w:val="42"/>
          <w:szCs w:val="42"/>
          <w:shd w:val="clear" w:color="auto" w:fill="ffffff"/>
          <w:rtl w:val="0"/>
          <w14:textFill>
            <w14:solidFill>
              <w14:srgbClr w14:val="212529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e76bc"/>
      <w14:textFill>
        <w14:solidFill>
          <w14:srgbClr w14:val="0E76BC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