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36337E" w14:textId="591E113E" w:rsidR="00327EEF" w:rsidRPr="00014FA9" w:rsidRDefault="00327EEF" w:rsidP="00014FA9">
      <w:pPr>
        <w:spacing w:line="240" w:lineRule="auto"/>
        <w:rPr>
          <w:rFonts w:ascii="Helvetica" w:hAnsi="Helvetica" w:cs="Calibri"/>
          <w:b/>
          <w:bCs/>
          <w:color w:val="0370C0"/>
          <w:sz w:val="28"/>
          <w:szCs w:val="28"/>
        </w:rPr>
      </w:pPr>
      <w:r w:rsidRPr="00014FA9">
        <w:rPr>
          <w:rFonts w:ascii="Helvetica" w:hAnsi="Helvetica" w:cs="Calibri"/>
          <w:b/>
          <w:bCs/>
          <w:color w:val="0370C0"/>
          <w:sz w:val="28"/>
          <w:szCs w:val="28"/>
        </w:rPr>
        <w:t xml:space="preserve">Dimensional band engineering of artificial magnets  </w:t>
      </w:r>
    </w:p>
    <w:p w14:paraId="7891BB9B" w14:textId="68C17564" w:rsidR="00327EEF" w:rsidRPr="00014FA9" w:rsidRDefault="00327EEF" w:rsidP="00014FA9">
      <w:pPr>
        <w:spacing w:after="0" w:line="240" w:lineRule="auto"/>
        <w:rPr>
          <w:rFonts w:ascii="Helvetica" w:hAnsi="Helvetica" w:cs="Calibri"/>
          <w:b/>
          <w:bCs/>
          <w:color w:val="000000" w:themeColor="text1"/>
          <w:sz w:val="28"/>
          <w:szCs w:val="28"/>
        </w:rPr>
      </w:pPr>
      <w:r w:rsidRPr="00014FA9">
        <w:rPr>
          <w:rFonts w:ascii="Helvetica" w:hAnsi="Helvetica" w:cs="Calibri"/>
          <w:b/>
          <w:bCs/>
          <w:color w:val="000000" w:themeColor="text1"/>
          <w:sz w:val="28"/>
          <w:szCs w:val="28"/>
        </w:rPr>
        <w:t xml:space="preserve">Warwick Supervisor: </w:t>
      </w:r>
      <w:r w:rsidR="00735198">
        <w:rPr>
          <w:rFonts w:ascii="Helvetica" w:hAnsi="Helvetica" w:cs="Calibri"/>
          <w:b/>
          <w:bCs/>
          <w:color w:val="000000" w:themeColor="text1"/>
          <w:sz w:val="28"/>
          <w:szCs w:val="28"/>
        </w:rPr>
        <w:t xml:space="preserve">Prof. </w:t>
      </w:r>
      <w:r w:rsidRPr="00014FA9">
        <w:rPr>
          <w:rFonts w:ascii="Helvetica" w:hAnsi="Helvetica" w:cs="Calibri"/>
          <w:b/>
          <w:bCs/>
          <w:color w:val="000000" w:themeColor="text1"/>
          <w:sz w:val="28"/>
          <w:szCs w:val="28"/>
        </w:rPr>
        <w:t>Geetha Balakrishnan</w:t>
      </w:r>
    </w:p>
    <w:p w14:paraId="2E22D68D" w14:textId="5FE16903" w:rsidR="00327EEF" w:rsidRPr="00014FA9" w:rsidRDefault="00327EEF" w:rsidP="00014FA9">
      <w:pPr>
        <w:spacing w:after="0" w:line="240" w:lineRule="auto"/>
        <w:rPr>
          <w:rFonts w:ascii="Helvetica" w:hAnsi="Helvetica" w:cs="Calibri"/>
          <w:color w:val="000000" w:themeColor="text1"/>
          <w:sz w:val="28"/>
          <w:szCs w:val="28"/>
        </w:rPr>
      </w:pPr>
      <w:r w:rsidRPr="00014FA9">
        <w:rPr>
          <w:rFonts w:ascii="Helvetica" w:hAnsi="Helvetica" w:cs="Calibri"/>
          <w:color w:val="000000" w:themeColor="text1"/>
          <w:sz w:val="28"/>
          <w:szCs w:val="28"/>
        </w:rPr>
        <w:t>Superconductivity and Magnetism Group, Department of Physics</w:t>
      </w:r>
    </w:p>
    <w:p w14:paraId="3E07A68D" w14:textId="25B11342" w:rsidR="00014FA9" w:rsidRPr="00F00F8C" w:rsidRDefault="00966522" w:rsidP="00014FA9">
      <w:pPr>
        <w:spacing w:after="0" w:line="240" w:lineRule="auto"/>
        <w:rPr>
          <w:rFonts w:ascii="Helvetica" w:hAnsi="Helvetica" w:cs="Calibri"/>
          <w:color w:val="000000" w:themeColor="text1"/>
          <w:sz w:val="28"/>
          <w:szCs w:val="28"/>
        </w:rPr>
      </w:pPr>
      <w:r>
        <w:fldChar w:fldCharType="begin"/>
      </w:r>
      <w:r>
        <w:instrText xml:space="preserve"> INCLUDEPICTURE "https://cdn.theorg.com/874afdcb-b561-46d0-add4-ace69106f95a_medium.jpg" \* MERGEFORMATINET </w:instrText>
      </w:r>
      <w:r>
        <w:fldChar w:fldCharType="separate"/>
      </w:r>
      <w:r>
        <w:fldChar w:fldCharType="end"/>
      </w:r>
      <w:r w:rsidR="00327EEF" w:rsidRPr="00014FA9">
        <w:rPr>
          <w:rFonts w:ascii="Helvetica" w:hAnsi="Helvetica" w:cs="Calibri"/>
          <w:b/>
          <w:bCs/>
          <w:color w:val="000000" w:themeColor="text1"/>
          <w:sz w:val="28"/>
          <w:szCs w:val="28"/>
        </w:rPr>
        <w:t xml:space="preserve">External Supervisors: </w:t>
      </w:r>
      <w:r w:rsidR="00735198">
        <w:rPr>
          <w:rFonts w:ascii="Helvetica" w:hAnsi="Helvetica" w:cs="Calibri"/>
          <w:b/>
          <w:bCs/>
          <w:color w:val="000000" w:themeColor="text1"/>
          <w:sz w:val="28"/>
          <w:szCs w:val="28"/>
        </w:rPr>
        <w:t xml:space="preserve">Dr. </w:t>
      </w:r>
      <w:r w:rsidR="00327EEF" w:rsidRPr="00014FA9">
        <w:rPr>
          <w:rFonts w:ascii="Helvetica" w:hAnsi="Helvetica" w:cs="Calibri"/>
          <w:b/>
          <w:bCs/>
          <w:color w:val="000000" w:themeColor="text1"/>
          <w:sz w:val="28"/>
          <w:szCs w:val="28"/>
        </w:rPr>
        <w:t>Oliver Clark</w:t>
      </w:r>
      <w:r w:rsidR="00735198">
        <w:rPr>
          <w:rFonts w:ascii="Helvetica" w:hAnsi="Helvetica" w:cs="Calibri"/>
          <w:b/>
          <w:bCs/>
          <w:color w:val="000000" w:themeColor="text1"/>
          <w:sz w:val="28"/>
          <w:szCs w:val="28"/>
        </w:rPr>
        <w:t xml:space="preserve"> and Dr. </w:t>
      </w:r>
      <w:proofErr w:type="spellStart"/>
      <w:r w:rsidR="00327EEF" w:rsidRPr="00014FA9">
        <w:rPr>
          <w:rFonts w:ascii="Helvetica" w:hAnsi="Helvetica" w:cs="Calibri"/>
          <w:b/>
          <w:bCs/>
          <w:color w:val="000000" w:themeColor="text1"/>
          <w:sz w:val="28"/>
          <w:szCs w:val="28"/>
        </w:rPr>
        <w:t>Deepnarayan</w:t>
      </w:r>
      <w:proofErr w:type="spellEnd"/>
      <w:r w:rsidR="00327EEF" w:rsidRPr="00014FA9">
        <w:rPr>
          <w:rFonts w:ascii="Helvetica" w:hAnsi="Helvetica" w:cs="Calibri"/>
          <w:b/>
          <w:bCs/>
          <w:color w:val="000000" w:themeColor="text1"/>
          <w:sz w:val="28"/>
          <w:szCs w:val="28"/>
        </w:rPr>
        <w:t xml:space="preserve"> Biswas </w:t>
      </w:r>
    </w:p>
    <w:p w14:paraId="10085C85" w14:textId="79354F3E" w:rsidR="00327EEF" w:rsidRPr="00014FA9" w:rsidRDefault="00327EEF" w:rsidP="00014FA9">
      <w:pPr>
        <w:spacing w:after="0" w:line="240" w:lineRule="auto"/>
        <w:rPr>
          <w:rFonts w:ascii="Helvetica" w:hAnsi="Helvetica" w:cs="Calibri"/>
          <w:color w:val="000000" w:themeColor="text1"/>
          <w:sz w:val="28"/>
          <w:szCs w:val="28"/>
        </w:rPr>
      </w:pPr>
      <w:r w:rsidRPr="00014FA9">
        <w:rPr>
          <w:rFonts w:ascii="Helvetica" w:hAnsi="Helvetica" w:cs="Calibri"/>
          <w:color w:val="000000" w:themeColor="text1"/>
          <w:sz w:val="28"/>
          <w:szCs w:val="28"/>
        </w:rPr>
        <w:t xml:space="preserve">Structures and Surfaces Group, </w:t>
      </w:r>
      <w:r w:rsidRPr="003F3EED">
        <w:rPr>
          <w:rFonts w:ascii="Helvetica" w:hAnsi="Helvetica" w:cs="Calibri"/>
          <w:b/>
          <w:bCs/>
          <w:color w:val="000000" w:themeColor="text1"/>
          <w:sz w:val="28"/>
          <w:szCs w:val="28"/>
        </w:rPr>
        <w:t>Diamond Light Source Ltd</w:t>
      </w:r>
    </w:p>
    <w:p w14:paraId="3E5A4D22" w14:textId="23634FF2" w:rsidR="00014FA9" w:rsidRPr="00014FA9" w:rsidRDefault="00014FA9" w:rsidP="00014FA9">
      <w:pPr>
        <w:spacing w:after="0" w:line="240" w:lineRule="auto"/>
        <w:rPr>
          <w:rFonts w:ascii="Helvetica" w:hAnsi="Helvetica" w:cs="Calibri"/>
          <w:color w:val="000000" w:themeColor="text1"/>
          <w:sz w:val="28"/>
          <w:szCs w:val="28"/>
        </w:rPr>
      </w:pPr>
    </w:p>
    <w:p w14:paraId="2F9A1A50" w14:textId="420CF3FF" w:rsidR="00014FA9" w:rsidRPr="00014FA9" w:rsidRDefault="0090287C" w:rsidP="00327EEF">
      <w:pPr>
        <w:jc w:val="both"/>
        <w:rPr>
          <w:rFonts w:ascii="Helvetica" w:hAnsi="Helvetica" w:cs="Calibri"/>
          <w:color w:val="000000" w:themeColor="text1"/>
          <w:sz w:val="24"/>
          <w:szCs w:val="24"/>
        </w:rPr>
      </w:pPr>
      <w:r w:rsidRPr="00014FA9">
        <w:rPr>
          <w:rFonts w:ascii="Helvetica" w:hAnsi="Helvetica" w:cs="Calibri"/>
          <w:color w:val="000000" w:themeColor="text1"/>
          <w:sz w:val="24"/>
          <w:szCs w:val="24"/>
        </w:rPr>
        <w:t xml:space="preserve">‘2D’ materials like graphene and transition metal dichalcogenides (TMDs) possess a rich array of electronic properties, from superconductivity to non-trivial band topology. Their ‘2D’ nature originates from their weak bonding along the c-axis, which allows </w:t>
      </w:r>
      <w:r w:rsidR="00014FA9" w:rsidRPr="00014FA9">
        <w:rPr>
          <w:rFonts w:ascii="Helvetica" w:hAnsi="Helvetica" w:cs="Calibri"/>
          <w:color w:val="000000" w:themeColor="text1"/>
          <w:sz w:val="24"/>
          <w:szCs w:val="24"/>
        </w:rPr>
        <w:t>for the isolation of</w:t>
      </w:r>
      <w:r w:rsidRPr="00014FA9">
        <w:rPr>
          <w:rFonts w:ascii="Helvetica" w:hAnsi="Helvetica" w:cs="Calibri"/>
          <w:color w:val="000000" w:themeColor="text1"/>
          <w:sz w:val="24"/>
          <w:szCs w:val="24"/>
        </w:rPr>
        <w:t xml:space="preserve"> </w:t>
      </w:r>
      <w:r w:rsidR="00014FA9" w:rsidRPr="00014FA9">
        <w:rPr>
          <w:rFonts w:ascii="Helvetica" w:hAnsi="Helvetica" w:cs="Calibri"/>
          <w:color w:val="000000" w:themeColor="text1"/>
          <w:sz w:val="24"/>
          <w:szCs w:val="24"/>
        </w:rPr>
        <w:t xml:space="preserve">large-area </w:t>
      </w:r>
      <w:r w:rsidRPr="00014FA9">
        <w:rPr>
          <w:rFonts w:ascii="Helvetica" w:hAnsi="Helvetica" w:cs="Calibri"/>
          <w:color w:val="000000" w:themeColor="text1"/>
          <w:sz w:val="24"/>
          <w:szCs w:val="24"/>
        </w:rPr>
        <w:t>monolayer</w:t>
      </w:r>
      <w:r w:rsidR="00014FA9" w:rsidRPr="00014FA9">
        <w:rPr>
          <w:rFonts w:ascii="Helvetica" w:hAnsi="Helvetica" w:cs="Calibri"/>
          <w:color w:val="000000" w:themeColor="text1"/>
          <w:sz w:val="24"/>
          <w:szCs w:val="24"/>
        </w:rPr>
        <w:t xml:space="preserve"> sheets. Dissimilar monolayers can then be</w:t>
      </w:r>
      <w:r w:rsidRPr="00014FA9">
        <w:rPr>
          <w:rFonts w:ascii="Helvetica" w:hAnsi="Helvetica" w:cs="Calibri"/>
          <w:color w:val="000000" w:themeColor="text1"/>
          <w:sz w:val="24"/>
          <w:szCs w:val="24"/>
        </w:rPr>
        <w:t xml:space="preserve"> recombine</w:t>
      </w:r>
      <w:r w:rsidR="00014FA9" w:rsidRPr="00014FA9">
        <w:rPr>
          <w:rFonts w:ascii="Helvetica" w:hAnsi="Helvetica" w:cs="Calibri"/>
          <w:color w:val="000000" w:themeColor="text1"/>
          <w:sz w:val="24"/>
          <w:szCs w:val="24"/>
        </w:rPr>
        <w:t>d</w:t>
      </w:r>
      <w:r w:rsidRPr="00014FA9">
        <w:rPr>
          <w:rFonts w:ascii="Helvetica" w:hAnsi="Helvetica" w:cs="Calibri"/>
          <w:color w:val="000000" w:themeColor="text1"/>
          <w:sz w:val="24"/>
          <w:szCs w:val="24"/>
        </w:rPr>
        <w:t xml:space="preserve"> to create artificial heterostructures with </w:t>
      </w:r>
      <w:r w:rsidR="00014FA9" w:rsidRPr="00014FA9">
        <w:rPr>
          <w:rFonts w:ascii="Helvetica" w:hAnsi="Helvetica" w:cs="Calibri"/>
          <w:color w:val="000000" w:themeColor="text1"/>
          <w:sz w:val="24"/>
          <w:szCs w:val="24"/>
        </w:rPr>
        <w:t>rare electronic</w:t>
      </w:r>
      <w:r w:rsidRPr="00014FA9">
        <w:rPr>
          <w:rFonts w:ascii="Helvetica" w:hAnsi="Helvetica" w:cs="Calibri"/>
          <w:color w:val="000000" w:themeColor="text1"/>
          <w:sz w:val="24"/>
          <w:szCs w:val="24"/>
        </w:rPr>
        <w:t xml:space="preserve"> properties desirable for next-generation applications. </w:t>
      </w:r>
      <w:r w:rsidR="00327EEF" w:rsidRPr="00014FA9">
        <w:rPr>
          <w:rFonts w:ascii="Helvetica" w:hAnsi="Helvetica" w:cs="Calibri"/>
          <w:color w:val="000000" w:themeColor="text1"/>
          <w:sz w:val="24"/>
          <w:szCs w:val="24"/>
        </w:rPr>
        <w:t xml:space="preserve">Very recently, a new method of heterostructure engineering was identified that allows one to simply create new hybrid materials </w:t>
      </w:r>
      <w:r w:rsidR="00014FA9" w:rsidRPr="00014FA9">
        <w:rPr>
          <w:rFonts w:ascii="Helvetica" w:hAnsi="Helvetica" w:cs="Calibri"/>
          <w:color w:val="000000" w:themeColor="text1"/>
          <w:sz w:val="24"/>
          <w:szCs w:val="24"/>
        </w:rPr>
        <w:t xml:space="preserve">in the three-dimensional limit, which exhibit electronic band dispersions in </w:t>
      </w:r>
      <w:proofErr w:type="spellStart"/>
      <w:r w:rsidR="00014FA9" w:rsidRPr="00014FA9">
        <w:rPr>
          <w:rFonts w:ascii="Helvetica" w:hAnsi="Helvetica" w:cs="Calibri"/>
          <w:color w:val="000000" w:themeColor="text1"/>
          <w:sz w:val="24"/>
          <w:szCs w:val="24"/>
        </w:rPr>
        <w:t>k</w:t>
      </w:r>
      <w:r w:rsidR="00014FA9" w:rsidRPr="00014FA9">
        <w:rPr>
          <w:rFonts w:ascii="Helvetica" w:hAnsi="Helvetica" w:cs="Calibri"/>
          <w:color w:val="000000" w:themeColor="text1"/>
          <w:sz w:val="24"/>
          <w:szCs w:val="24"/>
          <w:vertAlign w:val="subscript"/>
        </w:rPr>
        <w:t>z</w:t>
      </w:r>
      <w:proofErr w:type="spellEnd"/>
      <w:r w:rsidR="00014FA9" w:rsidRPr="00014FA9">
        <w:rPr>
          <w:rFonts w:ascii="Helvetica" w:hAnsi="Helvetica" w:cs="Calibri"/>
          <w:color w:val="000000" w:themeColor="text1"/>
          <w:sz w:val="24"/>
          <w:szCs w:val="24"/>
        </w:rPr>
        <w:t xml:space="preserve">, as well as </w:t>
      </w:r>
      <w:proofErr w:type="spellStart"/>
      <w:r w:rsidR="00014FA9" w:rsidRPr="00014FA9">
        <w:rPr>
          <w:rFonts w:ascii="Helvetica" w:hAnsi="Helvetica" w:cs="Calibri"/>
          <w:color w:val="000000" w:themeColor="text1"/>
          <w:sz w:val="24"/>
          <w:szCs w:val="24"/>
        </w:rPr>
        <w:t>k</w:t>
      </w:r>
      <w:r w:rsidR="00014FA9" w:rsidRPr="00014FA9">
        <w:rPr>
          <w:rFonts w:ascii="Helvetica" w:hAnsi="Helvetica" w:cs="Calibri"/>
          <w:color w:val="000000" w:themeColor="text1"/>
          <w:sz w:val="24"/>
          <w:szCs w:val="24"/>
          <w:vertAlign w:val="subscript"/>
        </w:rPr>
        <w:t>x</w:t>
      </w:r>
      <w:proofErr w:type="spellEnd"/>
      <w:r w:rsidR="00014FA9" w:rsidRPr="00014FA9">
        <w:rPr>
          <w:rFonts w:ascii="Helvetica" w:hAnsi="Helvetica" w:cs="Calibri"/>
          <w:color w:val="000000" w:themeColor="text1"/>
          <w:sz w:val="24"/>
          <w:szCs w:val="24"/>
        </w:rPr>
        <w:t xml:space="preserve"> and </w:t>
      </w:r>
      <w:proofErr w:type="spellStart"/>
      <w:r w:rsidR="00014FA9" w:rsidRPr="00014FA9">
        <w:rPr>
          <w:rFonts w:ascii="Helvetica" w:hAnsi="Helvetica" w:cs="Calibri"/>
          <w:color w:val="000000" w:themeColor="text1"/>
          <w:sz w:val="24"/>
          <w:szCs w:val="24"/>
        </w:rPr>
        <w:t>k</w:t>
      </w:r>
      <w:r w:rsidR="00014FA9" w:rsidRPr="00014FA9">
        <w:rPr>
          <w:rFonts w:ascii="Helvetica" w:hAnsi="Helvetica" w:cs="Calibri"/>
          <w:color w:val="000000" w:themeColor="text1"/>
          <w:sz w:val="24"/>
          <w:szCs w:val="24"/>
          <w:vertAlign w:val="subscript"/>
        </w:rPr>
        <w:t>y</w:t>
      </w:r>
      <w:r w:rsidR="00014FA9" w:rsidRPr="00014FA9">
        <w:rPr>
          <w:rFonts w:ascii="Helvetica" w:hAnsi="Helvetica" w:cs="Calibri"/>
          <w:color w:val="000000" w:themeColor="text1"/>
          <w:sz w:val="24"/>
          <w:szCs w:val="24"/>
        </w:rPr>
        <w:t>.</w:t>
      </w:r>
      <w:proofErr w:type="spellEnd"/>
    </w:p>
    <w:p w14:paraId="61BA453B" w14:textId="0F370955" w:rsidR="00327EEF" w:rsidRPr="00014FA9" w:rsidRDefault="0090287C" w:rsidP="00327EEF">
      <w:pPr>
        <w:jc w:val="both"/>
        <w:rPr>
          <w:rFonts w:ascii="Helvetica" w:hAnsi="Helvetica" w:cs="Calibri"/>
          <w:color w:val="000000" w:themeColor="text1"/>
          <w:sz w:val="24"/>
          <w:szCs w:val="24"/>
        </w:rPr>
      </w:pPr>
      <w:r w:rsidRPr="00014FA9">
        <w:rPr>
          <w:rFonts w:ascii="Helvetica" w:hAnsi="Helvetica" w:cs="Calibri"/>
          <w:color w:val="000000" w:themeColor="text1"/>
          <w:sz w:val="24"/>
          <w:szCs w:val="24"/>
        </w:rPr>
        <w:t xml:space="preserve">A </w:t>
      </w:r>
      <w:r w:rsidR="00327EEF" w:rsidRPr="00014FA9">
        <w:rPr>
          <w:rFonts w:ascii="Helvetica" w:hAnsi="Helvetica" w:cs="Calibri"/>
          <w:color w:val="000000" w:themeColor="text1"/>
          <w:sz w:val="24"/>
          <w:szCs w:val="24"/>
        </w:rPr>
        <w:t xml:space="preserve">3.5-year </w:t>
      </w:r>
      <w:r w:rsidRPr="00014FA9">
        <w:rPr>
          <w:rFonts w:ascii="Helvetica" w:hAnsi="Helvetica" w:cs="Calibri"/>
          <w:color w:val="000000" w:themeColor="text1"/>
          <w:sz w:val="24"/>
          <w:szCs w:val="24"/>
        </w:rPr>
        <w:t xml:space="preserve">PhD studentship is available starting from October 2026 to </w:t>
      </w:r>
      <w:r w:rsidR="00327EEF" w:rsidRPr="00014FA9">
        <w:rPr>
          <w:rFonts w:ascii="Helvetica" w:hAnsi="Helvetica" w:cs="Calibri"/>
          <w:color w:val="000000" w:themeColor="text1"/>
          <w:sz w:val="24"/>
          <w:szCs w:val="24"/>
        </w:rPr>
        <w:t xml:space="preserve">use these new methods to </w:t>
      </w:r>
      <w:r w:rsidRPr="00014FA9">
        <w:rPr>
          <w:rFonts w:ascii="Helvetica" w:hAnsi="Helvetica" w:cs="Calibri"/>
          <w:color w:val="000000" w:themeColor="text1"/>
          <w:sz w:val="24"/>
          <w:szCs w:val="24"/>
        </w:rPr>
        <w:t xml:space="preserve">engineer artificial </w:t>
      </w:r>
      <w:r w:rsidR="00327EEF" w:rsidRPr="00014FA9">
        <w:rPr>
          <w:rFonts w:ascii="Helvetica" w:hAnsi="Helvetica" w:cs="Calibri"/>
          <w:color w:val="000000" w:themeColor="text1"/>
          <w:sz w:val="24"/>
          <w:szCs w:val="24"/>
        </w:rPr>
        <w:t xml:space="preserve">magnetic </w:t>
      </w:r>
      <w:r w:rsidRPr="00014FA9">
        <w:rPr>
          <w:rFonts w:ascii="Helvetica" w:hAnsi="Helvetica" w:cs="Calibri"/>
          <w:color w:val="000000" w:themeColor="text1"/>
          <w:sz w:val="24"/>
          <w:szCs w:val="24"/>
        </w:rPr>
        <w:t>heterostructures</w:t>
      </w:r>
      <w:r w:rsidR="008C3043" w:rsidRPr="00014FA9">
        <w:rPr>
          <w:rFonts w:ascii="Helvetica" w:hAnsi="Helvetica" w:cs="Calibri"/>
          <w:color w:val="000000" w:themeColor="text1"/>
          <w:sz w:val="24"/>
          <w:szCs w:val="24"/>
        </w:rPr>
        <w:t xml:space="preserve">. </w:t>
      </w:r>
      <w:r w:rsidRPr="00192912">
        <w:rPr>
          <w:rFonts w:ascii="Helvetica" w:hAnsi="Helvetica" w:cs="Calibri"/>
          <w:b/>
          <w:bCs/>
          <w:color w:val="000000" w:themeColor="text1"/>
          <w:sz w:val="24"/>
          <w:szCs w:val="24"/>
        </w:rPr>
        <w:t xml:space="preserve">This is a joint </w:t>
      </w:r>
      <w:r w:rsidR="00F00F8C">
        <w:rPr>
          <w:rFonts w:ascii="Helvetica" w:hAnsi="Helvetica" w:cs="Calibri"/>
          <w:b/>
          <w:bCs/>
          <w:color w:val="000000" w:themeColor="text1"/>
          <w:sz w:val="24"/>
          <w:szCs w:val="24"/>
        </w:rPr>
        <w:t xml:space="preserve">studentship </w:t>
      </w:r>
      <w:r w:rsidRPr="00192912">
        <w:rPr>
          <w:rFonts w:ascii="Helvetica" w:hAnsi="Helvetica" w:cs="Calibri"/>
          <w:b/>
          <w:bCs/>
          <w:color w:val="000000" w:themeColor="text1"/>
          <w:sz w:val="24"/>
          <w:szCs w:val="24"/>
        </w:rPr>
        <w:t xml:space="preserve">between the </w:t>
      </w:r>
      <w:r w:rsidRPr="003F3EED">
        <w:rPr>
          <w:rFonts w:ascii="Helvetica" w:hAnsi="Helvetica" w:cs="Calibri"/>
          <w:b/>
          <w:bCs/>
          <w:i/>
          <w:iCs/>
          <w:color w:val="000000" w:themeColor="text1"/>
          <w:sz w:val="24"/>
          <w:szCs w:val="24"/>
        </w:rPr>
        <w:t>University of Warwick</w:t>
      </w:r>
      <w:r w:rsidRPr="00192912">
        <w:rPr>
          <w:rFonts w:ascii="Helvetica" w:hAnsi="Helvetica" w:cs="Calibri"/>
          <w:b/>
          <w:bCs/>
          <w:color w:val="000000" w:themeColor="text1"/>
          <w:sz w:val="24"/>
          <w:szCs w:val="24"/>
        </w:rPr>
        <w:t xml:space="preserve"> and </w:t>
      </w:r>
      <w:r w:rsidRPr="003F3EED">
        <w:rPr>
          <w:rFonts w:ascii="Helvetica" w:hAnsi="Helvetica" w:cs="Calibri"/>
          <w:b/>
          <w:bCs/>
          <w:i/>
          <w:iCs/>
          <w:color w:val="000000" w:themeColor="text1"/>
          <w:sz w:val="24"/>
          <w:szCs w:val="24"/>
        </w:rPr>
        <w:t>Diamond Light Source (DL</w:t>
      </w:r>
      <w:r w:rsidRPr="00192912">
        <w:rPr>
          <w:rFonts w:ascii="Helvetica" w:hAnsi="Helvetica" w:cs="Calibri"/>
          <w:b/>
          <w:bCs/>
          <w:color w:val="000000" w:themeColor="text1"/>
          <w:sz w:val="24"/>
          <w:szCs w:val="24"/>
        </w:rPr>
        <w:t>S), the UK’s national synchrotron facility based in Oxfordshire</w:t>
      </w:r>
      <w:r w:rsidRPr="00014FA9">
        <w:rPr>
          <w:rFonts w:ascii="Helvetica" w:hAnsi="Helvetica" w:cs="Calibri"/>
          <w:color w:val="000000" w:themeColor="text1"/>
          <w:sz w:val="24"/>
          <w:szCs w:val="24"/>
        </w:rPr>
        <w:t xml:space="preserve">. In the first part of the project, under the supervision of Prof. Geetha Balakrishnan at the University of Warwick, layered single crystals </w:t>
      </w:r>
      <w:r w:rsidR="008C3043" w:rsidRPr="00014FA9">
        <w:rPr>
          <w:rFonts w:ascii="Helvetica" w:hAnsi="Helvetica" w:cs="Calibri"/>
          <w:color w:val="000000" w:themeColor="text1"/>
          <w:sz w:val="24"/>
          <w:szCs w:val="24"/>
        </w:rPr>
        <w:t xml:space="preserve">with magnetic properties </w:t>
      </w:r>
      <w:r w:rsidRPr="00014FA9">
        <w:rPr>
          <w:rFonts w:ascii="Helvetica" w:hAnsi="Helvetica" w:cs="Calibri"/>
          <w:color w:val="000000" w:themeColor="text1"/>
          <w:sz w:val="24"/>
          <w:szCs w:val="24"/>
        </w:rPr>
        <w:t>will be grown and characterized</w:t>
      </w:r>
      <w:r w:rsidR="00F00F8C">
        <w:rPr>
          <w:rFonts w:ascii="Helvetica" w:hAnsi="Helvetica" w:cs="Calibri"/>
          <w:color w:val="000000" w:themeColor="text1"/>
          <w:sz w:val="24"/>
          <w:szCs w:val="24"/>
        </w:rPr>
        <w:t xml:space="preserve"> in the state</w:t>
      </w:r>
      <w:r w:rsidR="003F3EED">
        <w:rPr>
          <w:rFonts w:ascii="Helvetica" w:hAnsi="Helvetica" w:cs="Calibri"/>
          <w:color w:val="000000" w:themeColor="text1"/>
          <w:sz w:val="24"/>
          <w:szCs w:val="24"/>
        </w:rPr>
        <w:t>-</w:t>
      </w:r>
      <w:r w:rsidR="00F00F8C">
        <w:rPr>
          <w:rFonts w:ascii="Helvetica" w:hAnsi="Helvetica" w:cs="Calibri"/>
          <w:color w:val="000000" w:themeColor="text1"/>
          <w:sz w:val="24"/>
          <w:szCs w:val="24"/>
        </w:rPr>
        <w:t>of</w:t>
      </w:r>
      <w:r w:rsidR="003F3EED">
        <w:rPr>
          <w:rFonts w:ascii="Helvetica" w:hAnsi="Helvetica" w:cs="Calibri"/>
          <w:color w:val="000000" w:themeColor="text1"/>
          <w:sz w:val="24"/>
          <w:szCs w:val="24"/>
        </w:rPr>
        <w:t>-</w:t>
      </w:r>
      <w:r w:rsidR="00F00F8C">
        <w:rPr>
          <w:rFonts w:ascii="Helvetica" w:hAnsi="Helvetica" w:cs="Calibri"/>
          <w:color w:val="000000" w:themeColor="text1"/>
          <w:sz w:val="24"/>
          <w:szCs w:val="24"/>
        </w:rPr>
        <w:t>art laboratories at Warwick</w:t>
      </w:r>
      <w:r w:rsidR="003F3EED">
        <w:rPr>
          <w:rFonts w:ascii="Helvetica" w:hAnsi="Helvetica" w:cs="Calibri"/>
          <w:color w:val="000000" w:themeColor="text1"/>
          <w:sz w:val="24"/>
          <w:szCs w:val="24"/>
        </w:rPr>
        <w:t xml:space="preserve">. </w:t>
      </w:r>
      <w:r w:rsidR="00F00F8C">
        <w:rPr>
          <w:rFonts w:ascii="Helvetica" w:hAnsi="Helvetica" w:cs="Calibri"/>
          <w:color w:val="000000" w:themeColor="text1"/>
          <w:sz w:val="24"/>
          <w:szCs w:val="24"/>
        </w:rPr>
        <w:t>T</w:t>
      </w:r>
      <w:r w:rsidRPr="00014FA9">
        <w:rPr>
          <w:rFonts w:ascii="Helvetica" w:hAnsi="Helvetica" w:cs="Calibri"/>
          <w:color w:val="000000" w:themeColor="text1"/>
          <w:sz w:val="24"/>
          <w:szCs w:val="24"/>
        </w:rPr>
        <w:t xml:space="preserve">he second part </w:t>
      </w:r>
      <w:r w:rsidR="00F00F8C">
        <w:rPr>
          <w:rFonts w:ascii="Helvetica" w:hAnsi="Helvetica" w:cs="Calibri"/>
          <w:color w:val="000000" w:themeColor="text1"/>
          <w:sz w:val="24"/>
          <w:szCs w:val="24"/>
        </w:rPr>
        <w:t xml:space="preserve">will be </w:t>
      </w:r>
      <w:r w:rsidRPr="00014FA9">
        <w:rPr>
          <w:rFonts w:ascii="Helvetica" w:hAnsi="Helvetica" w:cs="Calibri"/>
          <w:color w:val="000000" w:themeColor="text1"/>
          <w:sz w:val="24"/>
          <w:szCs w:val="24"/>
        </w:rPr>
        <w:t>based at the i05 and i09 beamlines of D</w:t>
      </w:r>
      <w:r w:rsidR="00327EEF" w:rsidRPr="00014FA9">
        <w:rPr>
          <w:rFonts w:ascii="Helvetica" w:hAnsi="Helvetica" w:cs="Calibri"/>
          <w:color w:val="000000" w:themeColor="text1"/>
          <w:sz w:val="24"/>
          <w:szCs w:val="24"/>
        </w:rPr>
        <w:t>LS</w:t>
      </w:r>
      <w:r w:rsidRPr="00014FA9">
        <w:rPr>
          <w:rFonts w:ascii="Helvetica" w:hAnsi="Helvetica" w:cs="Calibri"/>
          <w:color w:val="000000" w:themeColor="text1"/>
          <w:sz w:val="24"/>
          <w:szCs w:val="24"/>
        </w:rPr>
        <w:t xml:space="preserve">, </w:t>
      </w:r>
      <w:r w:rsidR="00F00F8C">
        <w:rPr>
          <w:rFonts w:ascii="Helvetica" w:hAnsi="Helvetica" w:cs="Calibri"/>
          <w:color w:val="000000" w:themeColor="text1"/>
          <w:sz w:val="24"/>
          <w:szCs w:val="24"/>
        </w:rPr>
        <w:t xml:space="preserve">where </w:t>
      </w:r>
      <w:r w:rsidRPr="00014FA9">
        <w:rPr>
          <w:rFonts w:ascii="Helvetica" w:hAnsi="Helvetica" w:cs="Calibri"/>
          <w:color w:val="000000" w:themeColor="text1"/>
          <w:sz w:val="24"/>
          <w:szCs w:val="24"/>
        </w:rPr>
        <w:t>these layered magnets will be thinned down and incorporated into simple two-component heterostructures alongside other layered materials</w:t>
      </w:r>
      <w:r w:rsidR="00327EEF" w:rsidRPr="00014FA9">
        <w:rPr>
          <w:rFonts w:ascii="Helvetica" w:hAnsi="Helvetica" w:cs="Calibri"/>
          <w:color w:val="000000" w:themeColor="text1"/>
          <w:sz w:val="24"/>
          <w:szCs w:val="24"/>
        </w:rPr>
        <w:t xml:space="preserve">. </w:t>
      </w:r>
    </w:p>
    <w:p w14:paraId="52DE1BFD" w14:textId="24DAD572" w:rsidR="00F00F8C" w:rsidRDefault="00327EEF" w:rsidP="00327EEF">
      <w:pPr>
        <w:jc w:val="both"/>
        <w:rPr>
          <w:rFonts w:ascii="Helvetica" w:hAnsi="Helvetica" w:cs="Calibri"/>
          <w:color w:val="000000" w:themeColor="text1"/>
          <w:sz w:val="24"/>
          <w:szCs w:val="24"/>
        </w:rPr>
      </w:pPr>
      <w:r w:rsidRPr="00014FA9">
        <w:rPr>
          <w:rFonts w:ascii="Helvetica" w:hAnsi="Helvetica" w:cs="Calibri"/>
          <w:color w:val="000000" w:themeColor="text1"/>
          <w:sz w:val="24"/>
          <w:szCs w:val="24"/>
        </w:rPr>
        <w:t xml:space="preserve">This approach could drive the overlap of exotic materials properties that do not normally coexist. </w:t>
      </w:r>
      <w:r w:rsidR="0090287C" w:rsidRPr="00014FA9">
        <w:rPr>
          <w:rFonts w:ascii="Helvetica" w:hAnsi="Helvetica" w:cs="Calibri"/>
          <w:color w:val="000000" w:themeColor="text1"/>
          <w:sz w:val="24"/>
          <w:szCs w:val="24"/>
        </w:rPr>
        <w:t>For example, the combination of a layered 2D magnet like CrGeTe</w:t>
      </w:r>
      <w:r w:rsidR="0090287C" w:rsidRPr="00014FA9">
        <w:rPr>
          <w:rFonts w:ascii="Helvetica" w:hAnsi="Helvetica" w:cs="Calibri"/>
          <w:color w:val="000000" w:themeColor="text1"/>
          <w:sz w:val="24"/>
          <w:szCs w:val="24"/>
          <w:vertAlign w:val="subscript"/>
        </w:rPr>
        <w:t xml:space="preserve">3 </w:t>
      </w:r>
      <w:r w:rsidR="0090287C" w:rsidRPr="00014FA9">
        <w:rPr>
          <w:rFonts w:ascii="Helvetica" w:hAnsi="Helvetica" w:cs="Calibri"/>
          <w:color w:val="000000" w:themeColor="text1"/>
          <w:sz w:val="24"/>
          <w:szCs w:val="24"/>
        </w:rPr>
        <w:t>and a topological metal like NiTe</w:t>
      </w:r>
      <w:r w:rsidR="0090287C" w:rsidRPr="00014FA9">
        <w:rPr>
          <w:rFonts w:ascii="Helvetica" w:hAnsi="Helvetica" w:cs="Calibri"/>
          <w:color w:val="000000" w:themeColor="text1"/>
          <w:sz w:val="24"/>
          <w:szCs w:val="24"/>
          <w:vertAlign w:val="subscript"/>
        </w:rPr>
        <w:t xml:space="preserve">2 </w:t>
      </w:r>
      <w:r w:rsidR="0090287C" w:rsidRPr="00014FA9">
        <w:rPr>
          <w:rFonts w:ascii="Helvetica" w:hAnsi="Helvetica" w:cs="Calibri"/>
          <w:color w:val="000000" w:themeColor="text1"/>
          <w:sz w:val="24"/>
          <w:szCs w:val="24"/>
        </w:rPr>
        <w:t xml:space="preserve">could produce a topological magnet exhibiting anomalous quantum Hall effects. The electronic and magnetic properties of both the raw single crystal materials and the artificial heterostructures will be characterised using </w:t>
      </w:r>
      <w:r w:rsidR="0090287C" w:rsidRPr="003F3EED">
        <w:rPr>
          <w:rFonts w:ascii="Helvetica" w:hAnsi="Helvetica" w:cs="Calibri"/>
          <w:i/>
          <w:iCs/>
          <w:color w:val="000000" w:themeColor="text1"/>
          <w:sz w:val="24"/>
          <w:szCs w:val="24"/>
        </w:rPr>
        <w:t>angle-resolved photoemission spectroscopy</w:t>
      </w:r>
      <w:r w:rsidR="0090287C" w:rsidRPr="00014FA9">
        <w:rPr>
          <w:rFonts w:ascii="Helvetica" w:hAnsi="Helvetica" w:cs="Calibri"/>
          <w:color w:val="000000" w:themeColor="text1"/>
          <w:sz w:val="24"/>
          <w:szCs w:val="24"/>
        </w:rPr>
        <w:t xml:space="preserve"> (ARPES) at DLS and occasionally at other </w:t>
      </w:r>
      <w:r w:rsidR="003F3EED">
        <w:rPr>
          <w:rFonts w:ascii="Helvetica" w:hAnsi="Helvetica" w:cs="Calibri"/>
          <w:color w:val="000000" w:themeColor="text1"/>
          <w:sz w:val="24"/>
          <w:szCs w:val="24"/>
        </w:rPr>
        <w:t xml:space="preserve">international </w:t>
      </w:r>
      <w:r w:rsidR="0090287C" w:rsidRPr="00014FA9">
        <w:rPr>
          <w:rFonts w:ascii="Helvetica" w:hAnsi="Helvetica" w:cs="Calibri"/>
          <w:color w:val="000000" w:themeColor="text1"/>
          <w:sz w:val="24"/>
          <w:szCs w:val="24"/>
        </w:rPr>
        <w:t>synchrotron facilities in the EU and USA.</w:t>
      </w:r>
    </w:p>
    <w:p w14:paraId="5F4BE799" w14:textId="475EFE17" w:rsidR="0090287C" w:rsidRPr="00014FA9" w:rsidRDefault="0090287C" w:rsidP="00327EEF">
      <w:pPr>
        <w:jc w:val="both"/>
        <w:rPr>
          <w:rFonts w:ascii="Helvetica" w:hAnsi="Helvetica" w:cs="Calibri"/>
          <w:color w:val="000000" w:themeColor="text1"/>
          <w:sz w:val="24"/>
          <w:szCs w:val="24"/>
        </w:rPr>
      </w:pPr>
      <w:r w:rsidRPr="00014FA9">
        <w:rPr>
          <w:rFonts w:ascii="Helvetica" w:hAnsi="Helvetica" w:cs="Calibri"/>
          <w:color w:val="000000" w:themeColor="text1"/>
          <w:sz w:val="24"/>
          <w:szCs w:val="24"/>
        </w:rPr>
        <w:t xml:space="preserve">This is an open-ended, ambitious project but with well-defined milestones and outcomes, suited for a strong and enthusiastic student. </w:t>
      </w:r>
    </w:p>
    <w:p w14:paraId="095B74F7" w14:textId="2246992A" w:rsidR="0090287C" w:rsidRPr="00014FA9" w:rsidRDefault="00F30570" w:rsidP="00327EEF">
      <w:pPr>
        <w:jc w:val="both"/>
        <w:rPr>
          <w:rFonts w:ascii="Helvetica" w:hAnsi="Helvetica" w:cs="AppleSystemUIFont"/>
          <w:sz w:val="26"/>
          <w:szCs w:val="26"/>
          <w14:ligatures w14:val="standardContextual"/>
        </w:rPr>
      </w:pPr>
      <w:r w:rsidRPr="00014FA9">
        <w:rPr>
          <w:rFonts w:ascii="Helvetica" w:hAnsi="Helvetica" w:cs="Calibri"/>
          <w:b/>
          <w:bCs/>
          <w:noProof/>
          <w:color w:val="000000" w:themeColor="text1"/>
          <w:sz w:val="24"/>
          <w:szCs w:val="24"/>
        </w:rPr>
        <w:drawing>
          <wp:anchor distT="0" distB="0" distL="114300" distR="114300" simplePos="0" relativeHeight="251658240" behindDoc="1" locked="0" layoutInCell="1" allowOverlap="1" wp14:anchorId="7E40DB24" wp14:editId="3EBF981D">
            <wp:simplePos x="0" y="0"/>
            <wp:positionH relativeFrom="column">
              <wp:posOffset>4140867</wp:posOffset>
            </wp:positionH>
            <wp:positionV relativeFrom="paragraph">
              <wp:posOffset>131767</wp:posOffset>
            </wp:positionV>
            <wp:extent cx="2178050" cy="615950"/>
            <wp:effectExtent l="0" t="0" r="6350" b="6350"/>
            <wp:wrapTight wrapText="bothSides">
              <wp:wrapPolygon edited="0">
                <wp:start x="0" y="0"/>
                <wp:lineTo x="0" y="21377"/>
                <wp:lineTo x="21537" y="21377"/>
                <wp:lineTo x="21537" y="0"/>
                <wp:lineTo x="0" y="0"/>
              </wp:wrapPolygon>
            </wp:wrapTight>
            <wp:docPr id="7" name="Picture 2" descr="Diamond Light Source - Harwell Campus">
              <a:extLst xmlns:a="http://schemas.openxmlformats.org/drawingml/2006/main">
                <a:ext uri="{FF2B5EF4-FFF2-40B4-BE49-F238E27FC236}">
                  <a16:creationId xmlns:a16="http://schemas.microsoft.com/office/drawing/2014/main" id="{3AFB8974-89D3-B22B-808F-54F22151B10B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2" descr="Diamond Light Source - Harwell Campus">
                      <a:extLst>
                        <a:ext uri="{FF2B5EF4-FFF2-40B4-BE49-F238E27FC236}">
                          <a16:creationId xmlns:a16="http://schemas.microsoft.com/office/drawing/2014/main" id="{3AFB8974-89D3-B22B-808F-54F22151B10B}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78050" cy="6159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90287C" w:rsidRPr="00014FA9">
        <w:rPr>
          <w:rFonts w:ascii="Helvetica" w:hAnsi="Helvetica" w:cs="Calibri"/>
          <w:b/>
          <w:bCs/>
          <w:color w:val="000000" w:themeColor="text1"/>
          <w:sz w:val="24"/>
          <w:szCs w:val="24"/>
        </w:rPr>
        <w:t>Further reading:</w:t>
      </w:r>
      <w:r w:rsidR="00014FA9" w:rsidRPr="00014FA9">
        <w:rPr>
          <w:rFonts w:ascii="Helvetica" w:hAnsi="Helvetica" w:cs="Calibri"/>
          <w:color w:val="000000" w:themeColor="text1"/>
          <w:sz w:val="24"/>
          <w:szCs w:val="24"/>
        </w:rPr>
        <w:t xml:space="preserve"> </w:t>
      </w:r>
      <w:r w:rsidR="00014FA9" w:rsidRPr="003F3EED">
        <w:rPr>
          <w:rFonts w:ascii="Helvetica" w:hAnsi="Helvetica" w:cs="AppleSystemUIFont"/>
          <w:i/>
          <w:iCs/>
          <w:sz w:val="26"/>
          <w:szCs w:val="26"/>
          <w14:ligatures w14:val="standardContextual"/>
        </w:rPr>
        <w:t>arXiv:2503.17947, arXiv:2509.14937</w:t>
      </w:r>
    </w:p>
    <w:p w14:paraId="1DEB3210" w14:textId="7290809F" w:rsidR="00014FA9" w:rsidRPr="00014FA9" w:rsidRDefault="00014FA9" w:rsidP="00014FA9">
      <w:pPr>
        <w:jc w:val="both"/>
        <w:rPr>
          <w:rFonts w:ascii="Helvetica" w:hAnsi="Helvetica" w:cs="Calibri"/>
          <w:color w:val="0370C0"/>
          <w:sz w:val="24"/>
          <w:szCs w:val="24"/>
        </w:rPr>
      </w:pPr>
      <w:r w:rsidRPr="00014FA9">
        <w:rPr>
          <w:rFonts w:ascii="Helvetica" w:hAnsi="Helvetica" w:cs="AppleSystemUIFont"/>
          <w:b/>
          <w:bCs/>
          <w:sz w:val="26"/>
          <w:szCs w:val="26"/>
          <w14:ligatures w14:val="standardContextual"/>
        </w:rPr>
        <w:t>Contact:</w:t>
      </w:r>
      <w:r w:rsidRPr="00014FA9">
        <w:rPr>
          <w:rFonts w:ascii="Helvetica" w:hAnsi="Helvetica" w:cs="AppleSystemUIFont"/>
          <w:sz w:val="26"/>
          <w:szCs w:val="26"/>
          <w14:ligatures w14:val="standardContextual"/>
        </w:rPr>
        <w:t xml:space="preserve"> </w:t>
      </w:r>
      <w:hyperlink r:id="rId5" w:history="1">
        <w:r w:rsidRPr="0090287C">
          <w:rPr>
            <w:rStyle w:val="Hyperlink"/>
            <w:rFonts w:ascii="Helvetica" w:hAnsi="Helvetica" w:cs="Calibri"/>
            <w:i/>
            <w:iCs/>
            <w:color w:val="0370C0"/>
            <w:sz w:val="24"/>
            <w:szCs w:val="24"/>
          </w:rPr>
          <w:t>G.Balakrishnan@warwick.ac.uk</w:t>
        </w:r>
      </w:hyperlink>
    </w:p>
    <w:p w14:paraId="1ED4A45B" w14:textId="630FC338" w:rsidR="0090287C" w:rsidRDefault="00014FA9" w:rsidP="00014FA9">
      <w:pPr>
        <w:jc w:val="both"/>
        <w:rPr>
          <w:rFonts w:ascii="Helvetica" w:hAnsi="Helvetica" w:cs="Calibri"/>
          <w:color w:val="000000" w:themeColor="text1"/>
          <w:sz w:val="24"/>
          <w:szCs w:val="24"/>
        </w:rPr>
      </w:pPr>
      <w:hyperlink r:id="rId6" w:history="1">
        <w:r w:rsidRPr="00014FA9">
          <w:rPr>
            <w:rStyle w:val="Hyperlink"/>
            <w:rFonts w:ascii="Helvetica" w:hAnsi="Helvetica" w:cs="Calibri"/>
            <w:i/>
            <w:iCs/>
            <w:color w:val="0370C0"/>
            <w:sz w:val="24"/>
            <w:szCs w:val="24"/>
          </w:rPr>
          <w:t>http://go.warwick.ac.uk/supermag</w:t>
        </w:r>
      </w:hyperlink>
      <w:r w:rsidR="00192912" w:rsidRPr="00192912">
        <w:rPr>
          <w:rFonts w:ascii="Helvetica" w:hAnsi="Helvetica" w:cs="Calibri"/>
          <w:color w:val="000000" w:themeColor="text1"/>
          <w:sz w:val="24"/>
          <w:szCs w:val="24"/>
        </w:rPr>
        <w:t xml:space="preserve"> </w:t>
      </w:r>
    </w:p>
    <w:p w14:paraId="1E677231" w14:textId="53BEFDCF" w:rsidR="00F00F8C" w:rsidRPr="00014FA9" w:rsidRDefault="00F00F8C" w:rsidP="00F00F8C">
      <w:pPr>
        <w:ind w:firstLine="720"/>
        <w:jc w:val="both"/>
        <w:rPr>
          <w:rFonts w:ascii="Helvetica" w:hAnsi="Helvetica" w:cs="Calibri"/>
          <w:i/>
          <w:iCs/>
          <w:color w:val="0370C0"/>
          <w:sz w:val="24"/>
          <w:szCs w:val="24"/>
        </w:rPr>
      </w:pPr>
    </w:p>
    <w:sectPr w:rsidR="00F00F8C" w:rsidRPr="00014FA9" w:rsidSect="00192912">
      <w:pgSz w:w="11906" w:h="16838"/>
      <w:pgMar w:top="1134" w:right="1077" w:bottom="1134" w:left="107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ppleSystemUIFont">
    <w:altName w:val="Calibri"/>
    <w:panose1 w:val="020B0604020202020204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E0D34"/>
    <w:rsid w:val="00014FA9"/>
    <w:rsid w:val="00125454"/>
    <w:rsid w:val="00192912"/>
    <w:rsid w:val="002E0D34"/>
    <w:rsid w:val="00327EEF"/>
    <w:rsid w:val="003F3EED"/>
    <w:rsid w:val="004B4C0D"/>
    <w:rsid w:val="006856DB"/>
    <w:rsid w:val="0072177B"/>
    <w:rsid w:val="00735198"/>
    <w:rsid w:val="008A18BC"/>
    <w:rsid w:val="008C3043"/>
    <w:rsid w:val="0090287C"/>
    <w:rsid w:val="00934C16"/>
    <w:rsid w:val="00966522"/>
    <w:rsid w:val="00BB1600"/>
    <w:rsid w:val="00F00F8C"/>
    <w:rsid w:val="00F305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E7C046A"/>
  <w15:chartTrackingRefBased/>
  <w15:docId w15:val="{12BB0917-F622-7F4E-B7DD-B28B33284F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0287C"/>
    <w:pPr>
      <w:spacing w:after="160" w:line="259" w:lineRule="auto"/>
    </w:pPr>
    <w:rPr>
      <w:kern w:val="0"/>
      <w:sz w:val="22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2E0D34"/>
    <w:pPr>
      <w:keepNext/>
      <w:keepLines/>
      <w:spacing w:before="360" w:after="80" w:line="240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E0D34"/>
    <w:pPr>
      <w:keepNext/>
      <w:keepLines/>
      <w:spacing w:before="160" w:after="80" w:line="240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E0D34"/>
    <w:pPr>
      <w:keepNext/>
      <w:keepLines/>
      <w:spacing w:before="160" w:after="80" w:line="240" w:lineRule="auto"/>
      <w:outlineLvl w:val="2"/>
    </w:pPr>
    <w:rPr>
      <w:rFonts w:eastAsiaTheme="majorEastAsia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E0D34"/>
    <w:pPr>
      <w:keepNext/>
      <w:keepLines/>
      <w:spacing w:before="80" w:after="40" w:line="240" w:lineRule="auto"/>
      <w:outlineLvl w:val="3"/>
    </w:pPr>
    <w:rPr>
      <w:rFonts w:eastAsiaTheme="majorEastAsia" w:cstheme="majorBidi"/>
      <w:i/>
      <w:iCs/>
      <w:color w:val="0F4761" w:themeColor="accent1" w:themeShade="BF"/>
      <w:kern w:val="2"/>
      <w:sz w:val="24"/>
      <w:szCs w:val="24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E0D34"/>
    <w:pPr>
      <w:keepNext/>
      <w:keepLines/>
      <w:spacing w:before="80" w:after="40" w:line="240" w:lineRule="auto"/>
      <w:outlineLvl w:val="4"/>
    </w:pPr>
    <w:rPr>
      <w:rFonts w:eastAsiaTheme="majorEastAsia" w:cstheme="majorBidi"/>
      <w:color w:val="0F4761" w:themeColor="accent1" w:themeShade="BF"/>
      <w:kern w:val="2"/>
      <w:sz w:val="24"/>
      <w:szCs w:val="24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E0D34"/>
    <w:pPr>
      <w:keepNext/>
      <w:keepLines/>
      <w:spacing w:before="40" w:after="0" w:line="240" w:lineRule="auto"/>
      <w:outlineLvl w:val="5"/>
    </w:pPr>
    <w:rPr>
      <w:rFonts w:eastAsiaTheme="majorEastAsia" w:cstheme="majorBidi"/>
      <w:i/>
      <w:iCs/>
      <w:color w:val="595959" w:themeColor="text1" w:themeTint="A6"/>
      <w:kern w:val="2"/>
      <w:sz w:val="24"/>
      <w:szCs w:val="24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E0D34"/>
    <w:pPr>
      <w:keepNext/>
      <w:keepLines/>
      <w:spacing w:before="40" w:after="0" w:line="240" w:lineRule="auto"/>
      <w:outlineLvl w:val="6"/>
    </w:pPr>
    <w:rPr>
      <w:rFonts w:eastAsiaTheme="majorEastAsia" w:cstheme="majorBidi"/>
      <w:color w:val="595959" w:themeColor="text1" w:themeTint="A6"/>
      <w:kern w:val="2"/>
      <w:sz w:val="24"/>
      <w:szCs w:val="24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E0D34"/>
    <w:pPr>
      <w:keepNext/>
      <w:keepLines/>
      <w:spacing w:after="0" w:line="240" w:lineRule="auto"/>
      <w:outlineLvl w:val="7"/>
    </w:pPr>
    <w:rPr>
      <w:rFonts w:eastAsiaTheme="majorEastAsia" w:cstheme="majorBidi"/>
      <w:i/>
      <w:iCs/>
      <w:color w:val="272727" w:themeColor="text1" w:themeTint="D8"/>
      <w:kern w:val="2"/>
      <w:sz w:val="24"/>
      <w:szCs w:val="24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E0D34"/>
    <w:pPr>
      <w:keepNext/>
      <w:keepLines/>
      <w:spacing w:after="0" w:line="240" w:lineRule="auto"/>
      <w:outlineLvl w:val="8"/>
    </w:pPr>
    <w:rPr>
      <w:rFonts w:eastAsiaTheme="majorEastAsia" w:cstheme="majorBidi"/>
      <w:color w:val="272727" w:themeColor="text1" w:themeTint="D8"/>
      <w:kern w:val="2"/>
      <w:sz w:val="24"/>
      <w:szCs w:val="24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E0D3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E0D3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E0D3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E0D34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E0D34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E0D3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E0D3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E0D3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E0D3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E0D3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2E0D3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E0D34"/>
    <w:pPr>
      <w:numPr>
        <w:ilvl w:val="1"/>
      </w:numPr>
      <w:spacing w:line="240" w:lineRule="auto"/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2E0D3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E0D34"/>
    <w:pPr>
      <w:spacing w:before="160" w:line="240" w:lineRule="auto"/>
      <w:jc w:val="center"/>
    </w:pPr>
    <w:rPr>
      <w:i/>
      <w:iCs/>
      <w:color w:val="404040" w:themeColor="text1" w:themeTint="BF"/>
      <w:kern w:val="2"/>
      <w:sz w:val="24"/>
      <w:szCs w:val="24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2E0D3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2E0D34"/>
    <w:pPr>
      <w:spacing w:after="0" w:line="240" w:lineRule="auto"/>
      <w:ind w:left="720"/>
      <w:contextualSpacing/>
    </w:pPr>
    <w:rPr>
      <w:kern w:val="2"/>
      <w:sz w:val="24"/>
      <w:szCs w:val="24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2E0D34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E0D3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40" w:lineRule="auto"/>
      <w:ind w:left="864" w:right="864"/>
      <w:jc w:val="center"/>
    </w:pPr>
    <w:rPr>
      <w:i/>
      <w:iCs/>
      <w:color w:val="0F4761" w:themeColor="accent1" w:themeShade="BF"/>
      <w:kern w:val="2"/>
      <w:sz w:val="24"/>
      <w:szCs w:val="24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E0D34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E0D34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90287C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90287C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90287C"/>
    <w:rPr>
      <w:color w:val="96607D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go.warwick.ac.uk/supermag" TargetMode="External"/><Relationship Id="rId5" Type="http://schemas.openxmlformats.org/officeDocument/2006/relationships/hyperlink" Target="mailto:G.Balakrishnan@warwick.ac.uk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412</Words>
  <Characters>2350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Clark, Oliver (DLSLtd,RAL,SCI)</dc:creator>
  <cp:keywords/>
  <dc:description/>
  <cp:lastModifiedBy>Balakrishnan, Geetha</cp:lastModifiedBy>
  <cp:revision>2</cp:revision>
  <dcterms:created xsi:type="dcterms:W3CDTF">2025-11-14T14:27:00Z</dcterms:created>
  <dcterms:modified xsi:type="dcterms:W3CDTF">2025-11-14T14:27:00Z</dcterms:modified>
</cp:coreProperties>
</file>