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3233374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7030A0"/>
          <w:sz w:val="28"/>
          <w:szCs w:val="24"/>
        </w:rPr>
      </w:sdtEndPr>
      <w:sdtContent>
        <w:p w14:paraId="127FF7D5" w14:textId="77777777" w:rsidR="005C092B" w:rsidRPr="003D0144" w:rsidRDefault="00C04697">
          <w:pPr>
            <w:rPr>
              <w:rFonts w:ascii="Arial" w:hAnsi="Arial" w:cs="Arial"/>
              <w:b/>
              <w:color w:val="7030A0"/>
              <w:sz w:val="28"/>
              <w:szCs w:val="24"/>
            </w:rPr>
          </w:pPr>
          <w:r w:rsidRPr="003D0144">
            <w:rPr>
              <w:b/>
              <w:color w:val="7030A0"/>
              <w:sz w:val="24"/>
            </w:rPr>
            <w:t xml:space="preserve">Risk Assessment Form </w:t>
          </w:r>
        </w:p>
      </w:sdtContent>
    </w:sdt>
    <w:tbl>
      <w:tblPr>
        <w:tblStyle w:val="TableGrid"/>
        <w:tblW w:w="14544" w:type="dxa"/>
        <w:tblLook w:val="04A0" w:firstRow="1" w:lastRow="0" w:firstColumn="1" w:lastColumn="0" w:noHBand="0" w:noVBand="1"/>
      </w:tblPr>
      <w:tblGrid>
        <w:gridCol w:w="2920"/>
        <w:gridCol w:w="2898"/>
        <w:gridCol w:w="1561"/>
        <w:gridCol w:w="1835"/>
        <w:gridCol w:w="2432"/>
        <w:gridCol w:w="2898"/>
      </w:tblGrid>
      <w:tr w:rsidR="00C04697" w14:paraId="259CAFCE" w14:textId="77777777" w:rsidTr="00EE56F7">
        <w:trPr>
          <w:trHeight w:val="404"/>
        </w:trPr>
        <w:tc>
          <w:tcPr>
            <w:tcW w:w="2920" w:type="dxa"/>
            <w:tcBorders>
              <w:top w:val="nil"/>
              <w:left w:val="nil"/>
              <w:bottom w:val="nil"/>
            </w:tcBorders>
          </w:tcPr>
          <w:p w14:paraId="5253671E" w14:textId="77777777" w:rsidR="00C04697" w:rsidRDefault="00C04697" w:rsidP="006B0388">
            <w:pPr>
              <w:jc w:val="right"/>
            </w:pPr>
            <w:r>
              <w:t>Title of</w:t>
            </w:r>
            <w:r w:rsidR="006B0388">
              <w:t xml:space="preserve"> Risk </w:t>
            </w:r>
            <w:r>
              <w:t>Assessment</w:t>
            </w:r>
          </w:p>
        </w:tc>
        <w:tc>
          <w:tcPr>
            <w:tcW w:w="6294" w:type="dxa"/>
            <w:gridSpan w:val="3"/>
          </w:tcPr>
          <w:p w14:paraId="64A7C156" w14:textId="3CCB7863" w:rsidR="00C04697" w:rsidRDefault="00815D46" w:rsidP="00CF010C">
            <w:r>
              <w:t>Risk Assessment for Superconductivity and Magnetism Group Labs</w:t>
            </w:r>
          </w:p>
        </w:tc>
        <w:tc>
          <w:tcPr>
            <w:tcW w:w="243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B0FF79" w14:textId="77777777" w:rsidR="00C04697" w:rsidRDefault="00C04697" w:rsidP="00CF010C">
            <w:pPr>
              <w:jc w:val="right"/>
            </w:pPr>
            <w:r>
              <w:t>Date of assessment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88C5" w14:textId="456FD6EA" w:rsidR="00C04697" w:rsidRDefault="00EE4CB9" w:rsidP="00267D13">
            <w:r>
              <w:t>1</w:t>
            </w:r>
            <w:r w:rsidR="001F585A">
              <w:t>3</w:t>
            </w:r>
            <w:r w:rsidR="005B38A1">
              <w:t>/10/202</w:t>
            </w:r>
            <w:r w:rsidR="00992C55">
              <w:t>1</w:t>
            </w:r>
          </w:p>
        </w:tc>
      </w:tr>
      <w:tr w:rsidR="00C04697" w14:paraId="40A690C0" w14:textId="77777777" w:rsidTr="00EE56F7">
        <w:trPr>
          <w:trHeight w:val="1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14:paraId="07113B32" w14:textId="77777777" w:rsidR="00C04697" w:rsidRDefault="00C04697" w:rsidP="00CF010C">
            <w:pPr>
              <w:jc w:val="right"/>
            </w:pPr>
          </w:p>
        </w:tc>
        <w:tc>
          <w:tcPr>
            <w:tcW w:w="28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B1899F9" w14:textId="77777777" w:rsidR="00C04697" w:rsidRDefault="00C04697" w:rsidP="00CF010C"/>
        </w:tc>
        <w:tc>
          <w:tcPr>
            <w:tcW w:w="339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39D7B0C3" w14:textId="77777777" w:rsidR="00C04697" w:rsidRDefault="00C04697" w:rsidP="00CF010C"/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4F15F" w14:textId="77777777" w:rsidR="00C04697" w:rsidRDefault="00C04697" w:rsidP="00E53423">
            <w:pPr>
              <w:jc w:val="right"/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CC9CC2" w14:textId="77777777" w:rsidR="00C04697" w:rsidRDefault="00C04697" w:rsidP="00CF010C">
            <w:pPr>
              <w:jc w:val="center"/>
            </w:pPr>
          </w:p>
        </w:tc>
      </w:tr>
      <w:tr w:rsidR="00C04697" w14:paraId="17280E72" w14:textId="77777777" w:rsidTr="00EE56F7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10BDA29" w14:textId="77777777" w:rsidR="00C04697" w:rsidRDefault="00C04697" w:rsidP="00CF010C">
            <w:pPr>
              <w:jc w:val="right"/>
            </w:pPr>
            <w:r>
              <w:t>Department</w:t>
            </w:r>
          </w:p>
        </w:tc>
        <w:tc>
          <w:tcPr>
            <w:tcW w:w="62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D2A84" w14:textId="7DFAE475" w:rsidR="00C04697" w:rsidRDefault="00815D46" w:rsidP="00CF010C">
            <w:r>
              <w:t>Physics</w:t>
            </w:r>
          </w:p>
        </w:tc>
        <w:tc>
          <w:tcPr>
            <w:tcW w:w="2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14:paraId="4A14D8B4" w14:textId="77777777" w:rsidR="00C04697" w:rsidRDefault="00E12A81" w:rsidP="006B0388">
            <w:pPr>
              <w:jc w:val="right"/>
            </w:pPr>
            <w:r>
              <w:t>Date review</w:t>
            </w:r>
            <w:r w:rsidR="006B0388">
              <w:t xml:space="preserve"> due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4790" w14:textId="4F3367A6" w:rsidR="00C04697" w:rsidRDefault="00815D46" w:rsidP="00267D13">
            <w:r>
              <w:t>Continuous</w:t>
            </w:r>
          </w:p>
        </w:tc>
      </w:tr>
      <w:tr w:rsidR="00C04697" w14:paraId="598BC537" w14:textId="77777777" w:rsidTr="00EE56F7">
        <w:trPr>
          <w:trHeight w:val="1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14:paraId="76BEE88D" w14:textId="77777777" w:rsidR="00C04697" w:rsidRDefault="00C04697" w:rsidP="00CF010C">
            <w:pPr>
              <w:jc w:val="right"/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14EC71D2" w14:textId="77777777" w:rsidR="00C04697" w:rsidRDefault="00C04697" w:rsidP="00CF010C"/>
        </w:tc>
        <w:tc>
          <w:tcPr>
            <w:tcW w:w="3396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14:paraId="4DD73DDC" w14:textId="77777777" w:rsidR="00C04697" w:rsidRDefault="00C04697" w:rsidP="00CF010C"/>
        </w:tc>
        <w:tc>
          <w:tcPr>
            <w:tcW w:w="2432" w:type="dxa"/>
            <w:tcBorders>
              <w:top w:val="nil"/>
              <w:left w:val="nil"/>
              <w:right w:val="nil"/>
            </w:tcBorders>
            <w:vAlign w:val="center"/>
          </w:tcPr>
          <w:p w14:paraId="556D0014" w14:textId="77777777" w:rsidR="00C04697" w:rsidRDefault="00C04697" w:rsidP="00CF010C">
            <w:pPr>
              <w:jc w:val="right"/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8F354" w14:textId="77777777" w:rsidR="00C04697" w:rsidRDefault="00C04697" w:rsidP="00CF010C">
            <w:pPr>
              <w:jc w:val="right"/>
            </w:pPr>
          </w:p>
        </w:tc>
      </w:tr>
      <w:tr w:rsidR="00C04697" w14:paraId="034DDDE5" w14:textId="77777777" w:rsidTr="00EE56F7">
        <w:trPr>
          <w:trHeight w:val="720"/>
        </w:trPr>
        <w:tc>
          <w:tcPr>
            <w:tcW w:w="2920" w:type="dxa"/>
            <w:tcBorders>
              <w:top w:val="nil"/>
              <w:left w:val="nil"/>
              <w:bottom w:val="nil"/>
            </w:tcBorders>
          </w:tcPr>
          <w:p w14:paraId="6219B7CE" w14:textId="77777777" w:rsidR="00C04697" w:rsidRDefault="00267D13" w:rsidP="00E12A81">
            <w:pPr>
              <w:jc w:val="right"/>
            </w:pPr>
            <w:r>
              <w:t>Description of Task/Process</w:t>
            </w:r>
          </w:p>
        </w:tc>
        <w:tc>
          <w:tcPr>
            <w:tcW w:w="11624" w:type="dxa"/>
            <w:gridSpan w:val="5"/>
          </w:tcPr>
          <w:p w14:paraId="0FAD3819" w14:textId="7BD7FE80" w:rsidR="00E12A81" w:rsidRDefault="00815D46" w:rsidP="00E53423">
            <w:r>
              <w:t>General risk assessment for the work relating to the PhD</w:t>
            </w:r>
            <w:r w:rsidR="007C04FE">
              <w:t xml:space="preserve"> project</w:t>
            </w:r>
            <w:r>
              <w:t xml:space="preserve"> of David Jonas</w:t>
            </w:r>
          </w:p>
        </w:tc>
      </w:tr>
      <w:tr w:rsidR="00C53A0F" w14:paraId="5241BC04" w14:textId="77777777" w:rsidTr="00EE56F7">
        <w:trPr>
          <w:trHeight w:val="1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14:paraId="5D464041" w14:textId="77777777" w:rsidR="00C53A0F" w:rsidRDefault="00C53A0F" w:rsidP="00CF010C">
            <w:pPr>
              <w:jc w:val="right"/>
            </w:pPr>
          </w:p>
        </w:tc>
        <w:tc>
          <w:tcPr>
            <w:tcW w:w="44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B1BE1F1" w14:textId="77777777" w:rsidR="00C53A0F" w:rsidRDefault="00C53A0F" w:rsidP="00CF010C"/>
        </w:tc>
        <w:tc>
          <w:tcPr>
            <w:tcW w:w="7165" w:type="dxa"/>
            <w:gridSpan w:val="3"/>
            <w:tcBorders>
              <w:left w:val="nil"/>
              <w:bottom w:val="nil"/>
              <w:right w:val="nil"/>
            </w:tcBorders>
          </w:tcPr>
          <w:p w14:paraId="27B7D3B6" w14:textId="77777777" w:rsidR="00C53A0F" w:rsidRDefault="00C53A0F" w:rsidP="00CF010C"/>
        </w:tc>
      </w:tr>
      <w:tr w:rsidR="00C04697" w14:paraId="48797BD8" w14:textId="77777777" w:rsidTr="00EE56F7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</w:tcBorders>
          </w:tcPr>
          <w:p w14:paraId="3ED6C98F" w14:textId="77777777" w:rsidR="00C04697" w:rsidRDefault="00C04697" w:rsidP="00CF010C">
            <w:pPr>
              <w:jc w:val="right"/>
            </w:pPr>
            <w:r>
              <w:t>Assessment carried out by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4033" w14:textId="48609619" w:rsidR="00C04697" w:rsidRDefault="00815D46" w:rsidP="00CF010C">
            <w:r>
              <w:t>David Jonas</w:t>
            </w:r>
          </w:p>
        </w:tc>
        <w:tc>
          <w:tcPr>
            <w:tcW w:w="71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EC8C7" w14:textId="77777777" w:rsidR="00C04697" w:rsidRDefault="00C04697" w:rsidP="00CF010C"/>
        </w:tc>
      </w:tr>
      <w:tr w:rsidR="00C04697" w14:paraId="1DC5DE3A" w14:textId="77777777" w:rsidTr="00EE56F7">
        <w:trPr>
          <w:trHeight w:val="1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14:paraId="7790E98D" w14:textId="77777777" w:rsidR="00C04697" w:rsidRDefault="00C04697" w:rsidP="00CF010C">
            <w:pPr>
              <w:jc w:val="right"/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CCF7F" w14:textId="77777777" w:rsidR="00C04697" w:rsidRDefault="00C04697" w:rsidP="00CF010C"/>
        </w:tc>
        <w:tc>
          <w:tcPr>
            <w:tcW w:w="7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0E59F" w14:textId="77777777" w:rsidR="00C04697" w:rsidRDefault="00C04697" w:rsidP="00CF010C"/>
        </w:tc>
      </w:tr>
      <w:tr w:rsidR="00C53A0F" w14:paraId="21635399" w14:textId="77777777" w:rsidTr="00EE56F7">
        <w:trPr>
          <w:trHeight w:val="3312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B2C43" w14:textId="77777777" w:rsidR="00C53A0F" w:rsidRPr="00C53A0F" w:rsidRDefault="00C53A0F" w:rsidP="00CF010C">
            <w:pPr>
              <w:jc w:val="right"/>
              <w:rPr>
                <w:b/>
              </w:rPr>
            </w:pPr>
            <w:r w:rsidRPr="00C53A0F">
              <w:rPr>
                <w:rFonts w:cs="Arial"/>
                <w:b/>
              </w:rPr>
              <w:t>Additional information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F456" w14:textId="66A1CEA4" w:rsidR="00C53A0F" w:rsidRDefault="00815D46" w:rsidP="00CF010C">
            <w:r>
              <w:t>Other users of the Superconductivity and Magnetism Group Labs are affected by this risk assessment.</w:t>
            </w:r>
          </w:p>
        </w:tc>
      </w:tr>
    </w:tbl>
    <w:p w14:paraId="7A8ACB93" w14:textId="77777777" w:rsidR="00C04697" w:rsidRDefault="00C04697" w:rsidP="00C04697"/>
    <w:tbl>
      <w:tblPr>
        <w:tblW w:w="145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696"/>
        <w:gridCol w:w="3237"/>
        <w:gridCol w:w="1381"/>
        <w:gridCol w:w="2963"/>
        <w:gridCol w:w="1716"/>
        <w:gridCol w:w="1280"/>
      </w:tblGrid>
      <w:tr w:rsidR="00331250" w:rsidRPr="000A10B3" w14:paraId="1AD964E9" w14:textId="77777777" w:rsidTr="00331250">
        <w:trPr>
          <w:cantSplit/>
          <w:trHeight w:val="945"/>
          <w:tblHeader/>
        </w:trPr>
        <w:tc>
          <w:tcPr>
            <w:tcW w:w="2292" w:type="dxa"/>
            <w:shd w:val="clear" w:color="auto" w:fill="auto"/>
            <w:vAlign w:val="center"/>
            <w:hideMark/>
          </w:tcPr>
          <w:p w14:paraId="39B0D30B" w14:textId="77777777" w:rsidR="003D0144" w:rsidRPr="000A10B3" w:rsidRDefault="002F7108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hyperlink r:id="rId9" w:history="1">
              <w:r w:rsidR="003D0144" w:rsidRPr="00A2690B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Hazard</w:t>
              </w:r>
              <w:r w:rsidR="00A2690B" w:rsidRPr="00A2690B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s and how they may cause harm</w:t>
              </w:r>
            </w:hyperlink>
          </w:p>
        </w:tc>
        <w:tc>
          <w:tcPr>
            <w:tcW w:w="1696" w:type="dxa"/>
            <w:vAlign w:val="center"/>
          </w:tcPr>
          <w:p w14:paraId="4F9D2496" w14:textId="77777777" w:rsidR="003D0144" w:rsidRPr="000A10B3" w:rsidRDefault="002F7108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hyperlink r:id="rId10" w:history="1">
              <w:r w:rsidR="00A2690B" w:rsidRPr="00CF010C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Who may be</w:t>
              </w:r>
              <w:r w:rsidR="003D0144" w:rsidRPr="00CF010C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 xml:space="preserve"> at Risk</w:t>
              </w:r>
              <w:r w:rsidR="00A2690B" w:rsidRPr="00CF010C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?</w:t>
              </w:r>
            </w:hyperlink>
          </w:p>
        </w:tc>
        <w:tc>
          <w:tcPr>
            <w:tcW w:w="3237" w:type="dxa"/>
            <w:shd w:val="clear" w:color="auto" w:fill="auto"/>
            <w:vAlign w:val="center"/>
            <w:hideMark/>
          </w:tcPr>
          <w:p w14:paraId="5A91754B" w14:textId="77777777" w:rsidR="003D0144" w:rsidRPr="000A10B3" w:rsidRDefault="003D0144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 xml:space="preserve">Existing </w:t>
            </w:r>
            <w:hyperlink r:id="rId11" w:history="1">
              <w:r w:rsidR="009D6A65" w:rsidRPr="00307801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C</w:t>
              </w:r>
              <w:r w:rsidRPr="00307801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 xml:space="preserve">ontrol </w:t>
              </w:r>
              <w:r w:rsidR="009D6A65" w:rsidRPr="00307801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M</w:t>
              </w:r>
              <w:r w:rsidRPr="00307801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easures</w:t>
              </w:r>
            </w:hyperlink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194DA02E" w14:textId="77777777" w:rsidR="00CF010C" w:rsidRDefault="00CF010C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Current </w:t>
            </w:r>
          </w:p>
          <w:p w14:paraId="5206C7B2" w14:textId="77777777" w:rsidR="009D6A65" w:rsidRPr="00CF010C" w:rsidRDefault="002F7108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563C1" w:themeColor="hyperlink"/>
                <w:u w:val="single"/>
              </w:rPr>
            </w:pPr>
            <w:hyperlink r:id="rId12" w:history="1">
              <w:r w:rsidR="009D6A65" w:rsidRPr="00307801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R</w:t>
              </w:r>
              <w:r w:rsidR="003D0144" w:rsidRPr="00307801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isk</w:t>
              </w:r>
              <w:r w:rsidR="00CF010C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 xml:space="preserve"> </w:t>
              </w:r>
              <w:r w:rsidR="009D6A65" w:rsidRPr="00307801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Level</w:t>
              </w:r>
            </w:hyperlink>
          </w:p>
          <w:p w14:paraId="6927E056" w14:textId="77777777" w:rsidR="003D0144" w:rsidRPr="000A10B3" w:rsidRDefault="003D0144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D6A65">
              <w:rPr>
                <w:rFonts w:ascii="Calibri" w:eastAsia="Times New Roman" w:hAnsi="Calibri" w:cs="Times New Roman"/>
                <w:bCs/>
                <w:sz w:val="20"/>
              </w:rPr>
              <w:t>(</w:t>
            </w:r>
            <w:r w:rsidRPr="00CF010C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</w:rPr>
              <w:t>VL</w:t>
            </w:r>
            <w:r w:rsidRPr="00CF010C">
              <w:rPr>
                <w:rFonts w:ascii="Calibri" w:eastAsia="Times New Roman" w:hAnsi="Calibri" w:cs="Times New Roman"/>
                <w:b/>
                <w:bCs/>
                <w:sz w:val="20"/>
              </w:rPr>
              <w:t>,</w:t>
            </w:r>
            <w:r w:rsidRPr="00CF010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20"/>
              </w:rPr>
              <w:t>L</w:t>
            </w:r>
            <w:r w:rsidRPr="00CF010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,</w:t>
            </w:r>
            <w:r w:rsidRPr="00CF010C">
              <w:rPr>
                <w:rFonts w:ascii="Arial" w:eastAsia="Times New Roman" w:hAnsi="Arial" w:cs="Arial"/>
                <w:b/>
                <w:bCs/>
                <w:color w:val="FFC000"/>
                <w:sz w:val="18"/>
                <w:szCs w:val="20"/>
              </w:rPr>
              <w:t>M</w:t>
            </w:r>
            <w:r w:rsidRPr="00CF010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,</w:t>
            </w:r>
            <w:r w:rsidRPr="00CF010C">
              <w:rPr>
                <w:rFonts w:ascii="Arial" w:eastAsia="Times New Roman" w:hAnsi="Arial" w:cs="Arial"/>
                <w:b/>
                <w:bCs/>
                <w:color w:val="ED7D31" w:themeColor="accent2"/>
                <w:sz w:val="18"/>
                <w:szCs w:val="20"/>
              </w:rPr>
              <w:t>H</w:t>
            </w:r>
            <w:r w:rsidRPr="00CF010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,</w:t>
            </w:r>
            <w:r w:rsidRPr="00CF010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</w:rPr>
              <w:t>VH</w:t>
            </w:r>
            <w:r w:rsidRPr="009D6A6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14:paraId="39D639EE" w14:textId="77777777" w:rsidR="003D0144" w:rsidRPr="009B0500" w:rsidRDefault="009B0500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B0500">
              <w:rPr>
                <w:rFonts w:ascii="Calibri" w:eastAsia="Times New Roman" w:hAnsi="Calibri" w:cs="Times New Roman"/>
                <w:b/>
                <w:bCs/>
                <w:sz w:val="20"/>
              </w:rPr>
              <w:t>Where current risk is</w:t>
            </w:r>
            <w:r>
              <w:rPr>
                <w:rFonts w:ascii="Calibri" w:eastAsia="Times New Roman" w:hAnsi="Calibri" w:cs="Times New Roman"/>
                <w:bCs/>
                <w:sz w:val="20"/>
              </w:rPr>
              <w:t xml:space="preserve"> </w:t>
            </w:r>
            <w:r w:rsidRPr="00CF010C">
              <w:rPr>
                <w:rFonts w:ascii="Arial" w:eastAsia="Times New Roman" w:hAnsi="Arial" w:cs="Arial"/>
                <w:b/>
                <w:bCs/>
                <w:color w:val="FFC000"/>
                <w:sz w:val="18"/>
                <w:szCs w:val="20"/>
              </w:rPr>
              <w:t>M</w:t>
            </w:r>
            <w:r w:rsidRPr="00CF010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,</w:t>
            </w:r>
            <w:r w:rsidRPr="00CF010C">
              <w:rPr>
                <w:rFonts w:ascii="Arial" w:eastAsia="Times New Roman" w:hAnsi="Arial" w:cs="Arial"/>
                <w:b/>
                <w:bCs/>
                <w:color w:val="B00000"/>
                <w:sz w:val="18"/>
                <w:szCs w:val="20"/>
              </w:rPr>
              <w:t xml:space="preserve"> </w:t>
            </w:r>
            <w:r w:rsidRPr="00CF010C">
              <w:rPr>
                <w:rFonts w:ascii="Arial" w:eastAsia="Times New Roman" w:hAnsi="Arial" w:cs="Arial"/>
                <w:b/>
                <w:bCs/>
                <w:color w:val="ED7D31" w:themeColor="accent2"/>
                <w:sz w:val="18"/>
                <w:szCs w:val="20"/>
              </w:rPr>
              <w:t>H</w:t>
            </w:r>
            <w:r w:rsidRPr="00CF010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 xml:space="preserve"> or</w:t>
            </w:r>
            <w:r w:rsidRPr="00CF010C">
              <w:rPr>
                <w:rFonts w:ascii="Arial" w:eastAsia="Times New Roman" w:hAnsi="Arial" w:cs="Arial"/>
                <w:b/>
                <w:bCs/>
                <w:color w:val="B00000"/>
                <w:sz w:val="18"/>
                <w:szCs w:val="20"/>
              </w:rPr>
              <w:t xml:space="preserve"> </w:t>
            </w:r>
            <w:r w:rsidRPr="00CF010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</w:rPr>
              <w:t>VH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, what additional </w:t>
            </w:r>
            <w:hyperlink r:id="rId13" w:history="1">
              <w:r w:rsidRPr="00CF010C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Control Measures</w:t>
              </w:r>
            </w:hyperlink>
            <w:r>
              <w:rPr>
                <w:rFonts w:ascii="Calibri" w:eastAsia="Times New Roman" w:hAnsi="Calibri" w:cs="Times New Roman"/>
                <w:b/>
                <w:bCs/>
              </w:rPr>
              <w:t xml:space="preserve"> are </w:t>
            </w:r>
            <w:r w:rsidR="00CF010C">
              <w:rPr>
                <w:rFonts w:ascii="Calibri" w:eastAsia="Times New Roman" w:hAnsi="Calibri" w:cs="Times New Roman"/>
                <w:b/>
                <w:bCs/>
              </w:rPr>
              <w:t>required?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6A792E82" w14:textId="77777777" w:rsidR="003D0144" w:rsidRPr="000A10B3" w:rsidRDefault="00CF010C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Action required b</w:t>
            </w:r>
            <w:r w:rsidR="003D0144" w:rsidRPr="000A10B3">
              <w:rPr>
                <w:rFonts w:ascii="Calibri" w:eastAsia="Times New Roman" w:hAnsi="Calibri" w:cs="Times New Roman"/>
                <w:b/>
                <w:bCs/>
              </w:rPr>
              <w:t xml:space="preserve">y whom &amp;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by </w:t>
            </w:r>
            <w:r w:rsidR="003D0144" w:rsidRPr="000A10B3">
              <w:rPr>
                <w:rFonts w:ascii="Calibri" w:eastAsia="Times New Roman" w:hAnsi="Calibri" w:cs="Times New Roman"/>
                <w:b/>
                <w:bCs/>
              </w:rPr>
              <w:t>when</w:t>
            </w:r>
            <w:r>
              <w:rPr>
                <w:rFonts w:ascii="Calibri" w:eastAsia="Times New Roman" w:hAnsi="Calibri" w:cs="Times New Roman"/>
                <w:b/>
                <w:bCs/>
              </w:rPr>
              <w:t>?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45FA2344" w14:textId="77777777" w:rsidR="00CF010C" w:rsidRDefault="009D6A65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Final</w:t>
            </w:r>
          </w:p>
          <w:p w14:paraId="2827D314" w14:textId="77777777" w:rsidR="003D0144" w:rsidRPr="00CF010C" w:rsidRDefault="002F7108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563C1" w:themeColor="hyperlink"/>
                <w:u w:val="single"/>
              </w:rPr>
            </w:pPr>
            <w:hyperlink r:id="rId14" w:history="1">
              <w:r w:rsidR="003D0144" w:rsidRPr="00307801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Risk</w:t>
              </w:r>
              <w:r w:rsidR="00CF010C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 xml:space="preserve"> </w:t>
              </w:r>
              <w:r w:rsidR="009D6A65" w:rsidRPr="00307801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Level</w:t>
              </w:r>
            </w:hyperlink>
          </w:p>
        </w:tc>
      </w:tr>
      <w:tr w:rsidR="006F4FD1" w:rsidRPr="006F523D" w14:paraId="400764CB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7DD57C39" w14:textId="70B722C2" w:rsidR="006F4FD1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COVID-19 – Risk of contracting</w:t>
            </w:r>
            <w:r w:rsidR="00D41713">
              <w:rPr>
                <w:rFonts w:ascii="Calibri" w:hAnsi="Calibri"/>
                <w:b/>
                <w:bCs/>
                <w:color w:val="000099"/>
              </w:rPr>
              <w:t xml:space="preserve"> or spreading</w:t>
            </w:r>
            <w:r>
              <w:rPr>
                <w:rFonts w:ascii="Calibri" w:hAnsi="Calibri"/>
                <w:b/>
                <w:bCs/>
                <w:color w:val="000099"/>
              </w:rPr>
              <w:t xml:space="preserve"> the virus</w:t>
            </w:r>
          </w:p>
        </w:tc>
        <w:tc>
          <w:tcPr>
            <w:tcW w:w="1696" w:type="dxa"/>
          </w:tcPr>
          <w:p w14:paraId="020B86BB" w14:textId="79C8B84A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 users of the laboratory</w:t>
            </w:r>
          </w:p>
        </w:tc>
        <w:tc>
          <w:tcPr>
            <w:tcW w:w="3237" w:type="dxa"/>
            <w:shd w:val="clear" w:color="auto" w:fill="auto"/>
          </w:tcPr>
          <w:p w14:paraId="0F3C5654" w14:textId="46E6BDC6" w:rsidR="006F4FD1" w:rsidRPr="009E584E" w:rsidRDefault="006F4FD1" w:rsidP="00D417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Maximum occupancies of each room have been implemented to minimise contact with other users, and risk assessments have been updated. </w:t>
            </w:r>
            <w:r w:rsidR="00D41713">
              <w:rPr>
                <w:rFonts w:ascii="Calibri" w:eastAsia="Times New Roman" w:hAnsi="Calibri" w:cs="Times New Roman"/>
              </w:rPr>
              <w:t>Social</w:t>
            </w:r>
            <w:r>
              <w:rPr>
                <w:rFonts w:ascii="Calibri" w:eastAsia="Times New Roman" w:hAnsi="Calibri" w:cs="Times New Roman"/>
              </w:rPr>
              <w:t xml:space="preserve"> distance when possible</w:t>
            </w:r>
            <w:r w:rsidR="00D41713">
              <w:rPr>
                <w:rFonts w:ascii="Calibri" w:eastAsia="Times New Roman" w:hAnsi="Calibri" w:cs="Times New Roman"/>
              </w:rPr>
              <w:t xml:space="preserve">, </w:t>
            </w:r>
            <w:r>
              <w:rPr>
                <w:rFonts w:ascii="Calibri" w:eastAsia="Times New Roman" w:hAnsi="Calibri" w:cs="Times New Roman"/>
              </w:rPr>
              <w:t>and wear a face mask at all times unless medically exempt.</w:t>
            </w:r>
            <w:r w:rsidR="00D41713">
              <w:rPr>
                <w:rFonts w:ascii="Calibri" w:eastAsia="Times New Roman" w:hAnsi="Calibri" w:cs="Times New Roman"/>
              </w:rPr>
              <w:t xml:space="preserve"> Before entering any rooms, wash hands thoroughly. Wipe down or wash any equipment with allocated ethanol spray prior to use. Work from home when possible, and self-assess for COVID symptoms before travelling onto campus.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8C8964F" w14:textId="32167B23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F0"/>
              </w:rPr>
              <w:t>L</w:t>
            </w:r>
          </w:p>
        </w:tc>
        <w:tc>
          <w:tcPr>
            <w:tcW w:w="2963" w:type="dxa"/>
            <w:shd w:val="clear" w:color="auto" w:fill="auto"/>
          </w:tcPr>
          <w:p w14:paraId="623B0B3F" w14:textId="237EAB9C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716" w:type="dxa"/>
            <w:shd w:val="clear" w:color="auto" w:fill="auto"/>
          </w:tcPr>
          <w:p w14:paraId="0E2B52B8" w14:textId="4D8A3FFF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F1126B9" w14:textId="4BC6044C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F0"/>
              </w:rPr>
              <w:t>L</w:t>
            </w:r>
          </w:p>
        </w:tc>
      </w:tr>
      <w:tr w:rsidR="006F4FD1" w:rsidRPr="006F523D" w14:paraId="179444CC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2100EC6E" w14:textId="410A1B4A" w:rsidR="006F4FD1" w:rsidRPr="006F523D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Use of Rooms – Cuts from broken glassware</w:t>
            </w:r>
          </w:p>
        </w:tc>
        <w:tc>
          <w:tcPr>
            <w:tcW w:w="1696" w:type="dxa"/>
          </w:tcPr>
          <w:p w14:paraId="3B7AEAC3" w14:textId="48470D7F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 glassware user and others present in the laboratory</w:t>
            </w:r>
          </w:p>
        </w:tc>
        <w:tc>
          <w:tcPr>
            <w:tcW w:w="3237" w:type="dxa"/>
            <w:shd w:val="clear" w:color="auto" w:fill="auto"/>
          </w:tcPr>
          <w:p w14:paraId="758D1A85" w14:textId="4C4D4DF8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584E">
              <w:rPr>
                <w:rFonts w:ascii="Calibri" w:eastAsia="Times New Roman" w:hAnsi="Calibri" w:cs="Times New Roman"/>
              </w:rPr>
              <w:t>Wear PPE</w:t>
            </w:r>
            <w:r>
              <w:rPr>
                <w:rFonts w:ascii="Calibri" w:eastAsia="Times New Roman" w:hAnsi="Calibri" w:cs="Times New Roman"/>
              </w:rPr>
              <w:t xml:space="preserve"> (eyewear, lab coat, gloves)</w:t>
            </w:r>
            <w:r w:rsidRPr="009E584E">
              <w:rPr>
                <w:rFonts w:ascii="Calibri" w:eastAsia="Times New Roman" w:hAnsi="Calibri" w:cs="Times New Roman"/>
              </w:rPr>
              <w:t xml:space="preserve"> when handling chemicals and glassware. Dispose of any broken glassware by putting it in the specified bins.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13F5ECC" w14:textId="51775CE9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50"/>
              </w:rPr>
              <w:t>VL</w:t>
            </w:r>
          </w:p>
        </w:tc>
        <w:tc>
          <w:tcPr>
            <w:tcW w:w="2963" w:type="dxa"/>
            <w:shd w:val="clear" w:color="auto" w:fill="auto"/>
          </w:tcPr>
          <w:p w14:paraId="372482F7" w14:textId="6DDB47AC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716" w:type="dxa"/>
            <w:shd w:val="clear" w:color="auto" w:fill="auto"/>
          </w:tcPr>
          <w:p w14:paraId="0EC102D1" w14:textId="229E3832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D95D189" w14:textId="0E1F7A71" w:rsidR="006F4FD1" w:rsidRPr="006F523D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50"/>
              </w:rPr>
              <w:t>VL</w:t>
            </w:r>
          </w:p>
        </w:tc>
      </w:tr>
      <w:tr w:rsidR="006F4FD1" w:rsidRPr="006F523D" w14:paraId="25563D05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2E1FF949" w14:textId="5746F6FD" w:rsidR="006F4FD1" w:rsidRPr="006F523D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Use of Rooms – Burns or electrocution from mains electricity or wires</w:t>
            </w:r>
          </w:p>
        </w:tc>
        <w:tc>
          <w:tcPr>
            <w:tcW w:w="1696" w:type="dxa"/>
          </w:tcPr>
          <w:p w14:paraId="1BAB41AF" w14:textId="797A8B7F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 users of the laboratories</w:t>
            </w:r>
          </w:p>
        </w:tc>
        <w:tc>
          <w:tcPr>
            <w:tcW w:w="3237" w:type="dxa"/>
            <w:shd w:val="clear" w:color="auto" w:fill="auto"/>
          </w:tcPr>
          <w:p w14:paraId="14039A16" w14:textId="349446A9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0FE5">
              <w:rPr>
                <w:rFonts w:ascii="Calibri" w:eastAsia="Times New Roman" w:hAnsi="Calibri" w:cs="Times New Roman"/>
              </w:rPr>
              <w:t>Do not tamper with the apparatus in the room.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93B0AB7" w14:textId="25C532F6" w:rsidR="006F4FD1" w:rsidRPr="00D346F6" w:rsidRDefault="001F585A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F010C">
              <w:rPr>
                <w:rFonts w:ascii="Arial" w:eastAsia="Times New Roman" w:hAnsi="Arial" w:cs="Arial"/>
                <w:b/>
                <w:bCs/>
                <w:color w:val="FFC000"/>
                <w:sz w:val="18"/>
                <w:szCs w:val="20"/>
              </w:rPr>
              <w:t>M</w:t>
            </w:r>
          </w:p>
        </w:tc>
        <w:tc>
          <w:tcPr>
            <w:tcW w:w="2963" w:type="dxa"/>
            <w:shd w:val="clear" w:color="auto" w:fill="auto"/>
          </w:tcPr>
          <w:p w14:paraId="19170EAF" w14:textId="064781FE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Perform regular checks on circuitry and apparatus.</w:t>
            </w:r>
          </w:p>
        </w:tc>
        <w:tc>
          <w:tcPr>
            <w:tcW w:w="1716" w:type="dxa"/>
            <w:shd w:val="clear" w:color="auto" w:fill="auto"/>
          </w:tcPr>
          <w:p w14:paraId="249B2140" w14:textId="044938DA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E574746" w14:textId="36CA98EB" w:rsidR="006F4FD1" w:rsidRPr="006F523D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F0"/>
              </w:rPr>
              <w:t>L</w:t>
            </w:r>
          </w:p>
        </w:tc>
      </w:tr>
      <w:tr w:rsidR="006F4FD1" w:rsidRPr="006F523D" w14:paraId="6F63AD07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786FB491" w14:textId="0E0A749B" w:rsidR="006F4FD1" w:rsidRPr="006F523D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lastRenderedPageBreak/>
              <w:t>Use of Rooms – Chemical hazards from handling chemicals, particularly poisoning from harmful chemicals</w:t>
            </w:r>
          </w:p>
        </w:tc>
        <w:tc>
          <w:tcPr>
            <w:tcW w:w="1696" w:type="dxa"/>
          </w:tcPr>
          <w:p w14:paraId="706F1104" w14:textId="6D796E5E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 users of chemicals in the laboratories</w:t>
            </w:r>
          </w:p>
        </w:tc>
        <w:tc>
          <w:tcPr>
            <w:tcW w:w="3237" w:type="dxa"/>
            <w:shd w:val="clear" w:color="auto" w:fill="auto"/>
          </w:tcPr>
          <w:p w14:paraId="6FECA77C" w14:textId="7C8DE8F6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Wear PPE (lab coat,</w:t>
            </w:r>
            <w:r w:rsidRPr="00C20FE5">
              <w:rPr>
                <w:rFonts w:ascii="Calibri" w:eastAsia="Times New Roman" w:hAnsi="Calibri" w:cs="Times New Roman"/>
              </w:rPr>
              <w:t xml:space="preserve"> gloves</w:t>
            </w:r>
            <w:r>
              <w:rPr>
                <w:rFonts w:ascii="Calibri" w:eastAsia="Times New Roman" w:hAnsi="Calibri" w:cs="Times New Roman"/>
              </w:rPr>
              <w:t>)</w:t>
            </w:r>
            <w:r w:rsidRPr="00C20FE5">
              <w:rPr>
                <w:rFonts w:ascii="Calibri" w:eastAsia="Times New Roman" w:hAnsi="Calibri" w:cs="Times New Roman"/>
              </w:rPr>
              <w:t xml:space="preserve">. </w:t>
            </w:r>
            <w:r>
              <w:rPr>
                <w:rFonts w:ascii="Calibri" w:eastAsia="Times New Roman" w:hAnsi="Calibri" w:cs="Times New Roman"/>
              </w:rPr>
              <w:t>Consult COSHH (</w:t>
            </w:r>
            <w:r w:rsidRPr="00810FA3">
              <w:rPr>
                <w:rFonts w:ascii="Calibri" w:eastAsia="Times New Roman" w:hAnsi="Calibri" w:cs="Times New Roman"/>
              </w:rPr>
              <w:t>Control of Substances Hazardous to Health</w:t>
            </w:r>
            <w:r>
              <w:rPr>
                <w:rFonts w:ascii="Calibri" w:eastAsia="Times New Roman" w:hAnsi="Calibri" w:cs="Times New Roman"/>
              </w:rPr>
              <w:t xml:space="preserve">) to be aware of potential hazards. </w:t>
            </w:r>
            <w:r w:rsidRPr="00C20FE5">
              <w:rPr>
                <w:rFonts w:ascii="Calibri" w:eastAsia="Times New Roman" w:hAnsi="Calibri" w:cs="Times New Roman"/>
              </w:rPr>
              <w:t>Wash hands after handling chemicals.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4E22293" w14:textId="445FD0D4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50"/>
              </w:rPr>
              <w:t>VL</w:t>
            </w:r>
          </w:p>
        </w:tc>
        <w:tc>
          <w:tcPr>
            <w:tcW w:w="2963" w:type="dxa"/>
            <w:shd w:val="clear" w:color="auto" w:fill="auto"/>
          </w:tcPr>
          <w:p w14:paraId="52555C36" w14:textId="6C591FE9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716" w:type="dxa"/>
            <w:shd w:val="clear" w:color="auto" w:fill="auto"/>
          </w:tcPr>
          <w:p w14:paraId="2FBF524B" w14:textId="145F0FEA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9C4D672" w14:textId="1EA21F8C" w:rsidR="006F4FD1" w:rsidRPr="006F523D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50"/>
              </w:rPr>
              <w:t>VL</w:t>
            </w:r>
          </w:p>
        </w:tc>
      </w:tr>
      <w:tr w:rsidR="006F4FD1" w:rsidRPr="006F523D" w14:paraId="6280A136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5DF1C8AC" w14:textId="7F2EA677" w:rsidR="006F4FD1" w:rsidRPr="006F523D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Use of Rooms – Eye or skin irritation or poisoning from chemical residues in dirty glassware</w:t>
            </w:r>
          </w:p>
        </w:tc>
        <w:tc>
          <w:tcPr>
            <w:tcW w:w="1696" w:type="dxa"/>
          </w:tcPr>
          <w:p w14:paraId="1FAC5450" w14:textId="48E84DEA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 users of chemicals in the laboratories</w:t>
            </w:r>
          </w:p>
        </w:tc>
        <w:tc>
          <w:tcPr>
            <w:tcW w:w="3237" w:type="dxa"/>
            <w:shd w:val="clear" w:color="auto" w:fill="auto"/>
          </w:tcPr>
          <w:p w14:paraId="312B5522" w14:textId="67D6E7E0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Wear PPE (</w:t>
            </w:r>
            <w:r w:rsidRPr="00C20FE5">
              <w:rPr>
                <w:rFonts w:ascii="Calibri" w:eastAsia="Times New Roman" w:hAnsi="Calibri" w:cs="Times New Roman"/>
              </w:rPr>
              <w:t>eyewear</w:t>
            </w:r>
            <w:r>
              <w:rPr>
                <w:rFonts w:ascii="Calibri" w:eastAsia="Times New Roman" w:hAnsi="Calibri" w:cs="Times New Roman"/>
              </w:rPr>
              <w:t xml:space="preserve">, lab coat, </w:t>
            </w:r>
            <w:r w:rsidRPr="00C20FE5">
              <w:rPr>
                <w:rFonts w:ascii="Calibri" w:eastAsia="Times New Roman" w:hAnsi="Calibri" w:cs="Times New Roman"/>
              </w:rPr>
              <w:t>gloves</w:t>
            </w:r>
            <w:r>
              <w:rPr>
                <w:rFonts w:ascii="Calibri" w:eastAsia="Times New Roman" w:hAnsi="Calibri" w:cs="Times New Roman"/>
              </w:rPr>
              <w:t>).</w:t>
            </w:r>
            <w:r w:rsidRPr="00C20FE5">
              <w:rPr>
                <w:rFonts w:ascii="Calibri" w:eastAsia="Times New Roman" w:hAnsi="Calibri" w:cs="Times New Roman"/>
              </w:rPr>
              <w:t xml:space="preserve"> Clean glassware </w:t>
            </w:r>
            <w:r>
              <w:rPr>
                <w:rFonts w:ascii="Calibri" w:eastAsia="Times New Roman" w:hAnsi="Calibri" w:cs="Times New Roman"/>
              </w:rPr>
              <w:t xml:space="preserve">with isopropanol and acetone </w:t>
            </w:r>
            <w:r w:rsidRPr="00C20FE5">
              <w:rPr>
                <w:rFonts w:ascii="Calibri" w:eastAsia="Times New Roman" w:hAnsi="Calibri" w:cs="Times New Roman"/>
              </w:rPr>
              <w:t>before and after use.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66DCB8C" w14:textId="2ADB2FC1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50"/>
              </w:rPr>
              <w:t>VL</w:t>
            </w:r>
          </w:p>
        </w:tc>
        <w:tc>
          <w:tcPr>
            <w:tcW w:w="2963" w:type="dxa"/>
            <w:shd w:val="clear" w:color="auto" w:fill="auto"/>
          </w:tcPr>
          <w:p w14:paraId="1D269DAB" w14:textId="706CC009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716" w:type="dxa"/>
            <w:shd w:val="clear" w:color="auto" w:fill="auto"/>
          </w:tcPr>
          <w:p w14:paraId="6D7B5A7F" w14:textId="5D5543CE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04BAEE0" w14:textId="599B90C5" w:rsidR="006F4FD1" w:rsidRPr="006F523D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50"/>
              </w:rPr>
              <w:t>VL</w:t>
            </w:r>
          </w:p>
        </w:tc>
      </w:tr>
      <w:tr w:rsidR="006F4FD1" w:rsidRPr="006F523D" w14:paraId="6D1F8A28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7BB58CA6" w14:textId="3F72A74B" w:rsidR="006F4FD1" w:rsidRPr="006F523D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Use of Rooms – Exposure to chemical fumes</w:t>
            </w:r>
          </w:p>
        </w:tc>
        <w:tc>
          <w:tcPr>
            <w:tcW w:w="1696" w:type="dxa"/>
          </w:tcPr>
          <w:p w14:paraId="7EE1BC0E" w14:textId="68F69668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 users of the laboratories</w:t>
            </w:r>
          </w:p>
        </w:tc>
        <w:tc>
          <w:tcPr>
            <w:tcW w:w="3237" w:type="dxa"/>
            <w:shd w:val="clear" w:color="auto" w:fill="auto"/>
          </w:tcPr>
          <w:p w14:paraId="34F859C0" w14:textId="55F373F0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0FE5">
              <w:rPr>
                <w:rFonts w:ascii="Calibri" w:eastAsia="Times New Roman" w:hAnsi="Calibri" w:cs="Times New Roman"/>
              </w:rPr>
              <w:t>Wear PPE</w:t>
            </w:r>
            <w:r>
              <w:rPr>
                <w:rFonts w:ascii="Calibri" w:eastAsia="Times New Roman" w:hAnsi="Calibri" w:cs="Times New Roman"/>
              </w:rPr>
              <w:t xml:space="preserve"> (face mask, </w:t>
            </w:r>
            <w:r w:rsidRPr="00C20FE5">
              <w:rPr>
                <w:rFonts w:ascii="Calibri" w:eastAsia="Times New Roman" w:hAnsi="Calibri" w:cs="Times New Roman"/>
              </w:rPr>
              <w:t>gloves</w:t>
            </w:r>
            <w:r>
              <w:rPr>
                <w:rFonts w:ascii="Calibri" w:eastAsia="Times New Roman" w:hAnsi="Calibri" w:cs="Times New Roman"/>
              </w:rPr>
              <w:t>)</w:t>
            </w:r>
            <w:r w:rsidRPr="00C20FE5">
              <w:rPr>
                <w:rFonts w:ascii="Calibri" w:eastAsia="Times New Roman" w:hAnsi="Calibri" w:cs="Times New Roman"/>
              </w:rPr>
              <w:t xml:space="preserve">. </w:t>
            </w:r>
            <w:r>
              <w:rPr>
                <w:rFonts w:ascii="Calibri" w:eastAsia="Times New Roman" w:hAnsi="Calibri" w:cs="Times New Roman"/>
              </w:rPr>
              <w:t>Consult COSHH to be aware of potential hazards and u</w:t>
            </w:r>
            <w:r w:rsidRPr="00C20FE5">
              <w:rPr>
                <w:rFonts w:ascii="Calibri" w:eastAsia="Times New Roman" w:hAnsi="Calibri" w:cs="Times New Roman"/>
              </w:rPr>
              <w:t>se a fume cupboard whe</w:t>
            </w:r>
            <w:r>
              <w:rPr>
                <w:rFonts w:ascii="Calibri" w:eastAsia="Times New Roman" w:hAnsi="Calibri" w:cs="Times New Roman"/>
              </w:rPr>
              <w:t>re</w:t>
            </w:r>
            <w:r w:rsidRPr="00C20FE5">
              <w:rPr>
                <w:rFonts w:ascii="Calibri" w:eastAsia="Times New Roman" w:hAnsi="Calibri" w:cs="Times New Roman"/>
              </w:rPr>
              <w:t xml:space="preserve"> appropriate.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697ED8C" w14:textId="35C3D7AE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F0"/>
              </w:rPr>
              <w:t>L</w:t>
            </w:r>
          </w:p>
        </w:tc>
        <w:tc>
          <w:tcPr>
            <w:tcW w:w="2963" w:type="dxa"/>
            <w:shd w:val="clear" w:color="auto" w:fill="auto"/>
          </w:tcPr>
          <w:p w14:paraId="7D80E2AE" w14:textId="335E9C5E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716" w:type="dxa"/>
            <w:shd w:val="clear" w:color="auto" w:fill="auto"/>
          </w:tcPr>
          <w:p w14:paraId="548530B6" w14:textId="04FB7552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4AA8791" w14:textId="69062F54" w:rsidR="006F4FD1" w:rsidRPr="006F523D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F0"/>
              </w:rPr>
              <w:t>L</w:t>
            </w:r>
          </w:p>
        </w:tc>
      </w:tr>
      <w:tr w:rsidR="006F4FD1" w:rsidRPr="006F523D" w14:paraId="03BD7A9E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514BAEFE" w14:textId="3E56F2B7" w:rsidR="006F4FD1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Use of Rooms – Contamination of food and drink</w:t>
            </w:r>
          </w:p>
        </w:tc>
        <w:tc>
          <w:tcPr>
            <w:tcW w:w="1696" w:type="dxa"/>
          </w:tcPr>
          <w:p w14:paraId="5F851FE3" w14:textId="06636267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 users of the laboratories</w:t>
            </w:r>
          </w:p>
        </w:tc>
        <w:tc>
          <w:tcPr>
            <w:tcW w:w="3237" w:type="dxa"/>
            <w:shd w:val="clear" w:color="auto" w:fill="auto"/>
          </w:tcPr>
          <w:p w14:paraId="11252A99" w14:textId="3B1E06C6" w:rsidR="006F4FD1" w:rsidRPr="00C20FE5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 not eat or drink in the laboratories. After working in the laboratories, thoroughly wash hands before eating or drinking.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9DFEEF8" w14:textId="492F527B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50"/>
              </w:rPr>
              <w:t>VL</w:t>
            </w:r>
          </w:p>
        </w:tc>
        <w:tc>
          <w:tcPr>
            <w:tcW w:w="2963" w:type="dxa"/>
            <w:shd w:val="clear" w:color="auto" w:fill="auto"/>
          </w:tcPr>
          <w:p w14:paraId="7EDF938E" w14:textId="377C0E41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716" w:type="dxa"/>
            <w:shd w:val="clear" w:color="auto" w:fill="auto"/>
          </w:tcPr>
          <w:p w14:paraId="622CAB44" w14:textId="2D3B97B9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6B33322" w14:textId="62387251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50"/>
              </w:rPr>
              <w:t>VL</w:t>
            </w:r>
          </w:p>
        </w:tc>
      </w:tr>
      <w:tr w:rsidR="006F4FD1" w:rsidRPr="006F523D" w14:paraId="03CD147B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09A2494C" w14:textId="408D3B32" w:rsidR="006F4FD1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Use of Rooms – Wet floors leading to a trip hazard</w:t>
            </w:r>
          </w:p>
        </w:tc>
        <w:tc>
          <w:tcPr>
            <w:tcW w:w="1696" w:type="dxa"/>
          </w:tcPr>
          <w:p w14:paraId="31E29365" w14:textId="111E1277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 users of the laboratories</w:t>
            </w:r>
          </w:p>
        </w:tc>
        <w:tc>
          <w:tcPr>
            <w:tcW w:w="3237" w:type="dxa"/>
            <w:shd w:val="clear" w:color="auto" w:fill="auto"/>
          </w:tcPr>
          <w:p w14:paraId="5C3D58AA" w14:textId="0555F9D7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0FE5">
              <w:rPr>
                <w:rFonts w:ascii="Calibri" w:eastAsia="Times New Roman" w:hAnsi="Calibri" w:cs="Times New Roman"/>
              </w:rPr>
              <w:t>Be aware of a potential hazard. Dry the floor if wet.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87F5CD5" w14:textId="3535FC83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50"/>
              </w:rPr>
              <w:t>VL</w:t>
            </w:r>
          </w:p>
        </w:tc>
        <w:tc>
          <w:tcPr>
            <w:tcW w:w="2963" w:type="dxa"/>
            <w:shd w:val="clear" w:color="auto" w:fill="auto"/>
          </w:tcPr>
          <w:p w14:paraId="09192083" w14:textId="3DD07A98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716" w:type="dxa"/>
            <w:shd w:val="clear" w:color="auto" w:fill="auto"/>
          </w:tcPr>
          <w:p w14:paraId="2400FFDB" w14:textId="01FBEEB7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5644C39" w14:textId="2D52A021" w:rsidR="006F4FD1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50"/>
              </w:rPr>
              <w:t>VL</w:t>
            </w:r>
          </w:p>
        </w:tc>
      </w:tr>
      <w:tr w:rsidR="006F4FD1" w:rsidRPr="006F523D" w14:paraId="19B846EB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1E0A8518" w14:textId="37D9FC01" w:rsidR="006F4FD1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Use of Rooms – Obstructed walkways leading to a trip hazard</w:t>
            </w:r>
          </w:p>
        </w:tc>
        <w:tc>
          <w:tcPr>
            <w:tcW w:w="1696" w:type="dxa"/>
          </w:tcPr>
          <w:p w14:paraId="14A09F85" w14:textId="49B7248A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 users of the laboratories</w:t>
            </w:r>
          </w:p>
        </w:tc>
        <w:tc>
          <w:tcPr>
            <w:tcW w:w="3237" w:type="dxa"/>
            <w:shd w:val="clear" w:color="auto" w:fill="auto"/>
          </w:tcPr>
          <w:p w14:paraId="711474D3" w14:textId="3A9A265D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0FE5">
              <w:rPr>
                <w:rFonts w:ascii="Calibri" w:eastAsia="Times New Roman" w:hAnsi="Calibri" w:cs="Times New Roman"/>
              </w:rPr>
              <w:t>Be aware of a potential hazard. Do not block the walkways.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8D2B5BE" w14:textId="7325004F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50"/>
              </w:rPr>
              <w:t>VL</w:t>
            </w:r>
          </w:p>
        </w:tc>
        <w:tc>
          <w:tcPr>
            <w:tcW w:w="2963" w:type="dxa"/>
            <w:shd w:val="clear" w:color="auto" w:fill="auto"/>
          </w:tcPr>
          <w:p w14:paraId="069313DE" w14:textId="39019F9F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716" w:type="dxa"/>
            <w:shd w:val="clear" w:color="auto" w:fill="auto"/>
          </w:tcPr>
          <w:p w14:paraId="536DD6F5" w14:textId="0E557900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7DC4E65" w14:textId="55D5DA11" w:rsidR="006F4FD1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50"/>
              </w:rPr>
              <w:t>VL</w:t>
            </w:r>
          </w:p>
        </w:tc>
      </w:tr>
      <w:tr w:rsidR="006F4FD1" w:rsidRPr="006F523D" w14:paraId="74EF8CC6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5306FC36" w14:textId="5F2B94D2" w:rsidR="006F4FD1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lastRenderedPageBreak/>
              <w:t>Use of Rooms – Going up and down stairs leading to a potential fall</w:t>
            </w:r>
          </w:p>
        </w:tc>
        <w:tc>
          <w:tcPr>
            <w:tcW w:w="1696" w:type="dxa"/>
          </w:tcPr>
          <w:p w14:paraId="4E0677B0" w14:textId="12019CA6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 users of the laboratories</w:t>
            </w:r>
          </w:p>
        </w:tc>
        <w:tc>
          <w:tcPr>
            <w:tcW w:w="3237" w:type="dxa"/>
            <w:shd w:val="clear" w:color="auto" w:fill="auto"/>
          </w:tcPr>
          <w:p w14:paraId="692A6D22" w14:textId="27266DF1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0FE5">
              <w:rPr>
                <w:rFonts w:ascii="Calibri" w:eastAsia="Times New Roman" w:hAnsi="Calibri" w:cs="Times New Roman"/>
              </w:rPr>
              <w:t>Be aware of a potential hazard. Be careful when using the stairs.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BA99529" w14:textId="6D89C4EB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50"/>
              </w:rPr>
              <w:t>VL</w:t>
            </w:r>
          </w:p>
        </w:tc>
        <w:tc>
          <w:tcPr>
            <w:tcW w:w="2963" w:type="dxa"/>
            <w:shd w:val="clear" w:color="auto" w:fill="auto"/>
          </w:tcPr>
          <w:p w14:paraId="53CBF745" w14:textId="723273D6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716" w:type="dxa"/>
            <w:shd w:val="clear" w:color="auto" w:fill="auto"/>
          </w:tcPr>
          <w:p w14:paraId="52DA06CE" w14:textId="000F9E24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143E687" w14:textId="081BB457" w:rsidR="006F4FD1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50"/>
              </w:rPr>
              <w:t>VL</w:t>
            </w:r>
          </w:p>
        </w:tc>
      </w:tr>
      <w:tr w:rsidR="006F4FD1" w:rsidRPr="006F523D" w14:paraId="2C50753A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700D1D05" w14:textId="4EBCC893" w:rsidR="006F4FD1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Use of Rooms – Cables on the floor leading to a trip hazard</w:t>
            </w:r>
          </w:p>
        </w:tc>
        <w:tc>
          <w:tcPr>
            <w:tcW w:w="1696" w:type="dxa"/>
          </w:tcPr>
          <w:p w14:paraId="421F456C" w14:textId="62E34FF7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 users of the laboratories</w:t>
            </w:r>
          </w:p>
        </w:tc>
        <w:tc>
          <w:tcPr>
            <w:tcW w:w="3237" w:type="dxa"/>
            <w:shd w:val="clear" w:color="auto" w:fill="auto"/>
          </w:tcPr>
          <w:p w14:paraId="44B71CC5" w14:textId="6C138099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0FE5">
              <w:rPr>
                <w:rFonts w:ascii="Calibri" w:eastAsia="Times New Roman" w:hAnsi="Calibri" w:cs="Times New Roman"/>
              </w:rPr>
              <w:t>Be aware of a potential hazard. Do not step on the cables.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FD797EB" w14:textId="59544CB4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50"/>
              </w:rPr>
              <w:t>VL</w:t>
            </w:r>
          </w:p>
        </w:tc>
        <w:tc>
          <w:tcPr>
            <w:tcW w:w="2963" w:type="dxa"/>
            <w:shd w:val="clear" w:color="auto" w:fill="auto"/>
          </w:tcPr>
          <w:p w14:paraId="4CEBF0DB" w14:textId="1492D1C1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716" w:type="dxa"/>
            <w:shd w:val="clear" w:color="auto" w:fill="auto"/>
          </w:tcPr>
          <w:p w14:paraId="1283DD46" w14:textId="5F85A7B6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7CC867E" w14:textId="29E2323E" w:rsidR="006F4FD1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50"/>
              </w:rPr>
              <w:t>VL</w:t>
            </w:r>
          </w:p>
        </w:tc>
      </w:tr>
      <w:tr w:rsidR="006F4FD1" w:rsidRPr="006F523D" w14:paraId="691D7EF7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24B0F2B1" w14:textId="62080048" w:rsidR="006F4FD1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Use of Rooms and High Vacuum Furnace – Chemical hazards from escaped chemical gases, such as asphyxiation or poisoning</w:t>
            </w:r>
          </w:p>
        </w:tc>
        <w:tc>
          <w:tcPr>
            <w:tcW w:w="1696" w:type="dxa"/>
          </w:tcPr>
          <w:p w14:paraId="335B46D8" w14:textId="5F96FEE0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 high vacuum furnace user and others present in the laboratory</w:t>
            </w:r>
          </w:p>
        </w:tc>
        <w:tc>
          <w:tcPr>
            <w:tcW w:w="3237" w:type="dxa"/>
            <w:shd w:val="clear" w:color="auto" w:fill="auto"/>
          </w:tcPr>
          <w:p w14:paraId="4FB99E71" w14:textId="3352BDB1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2934">
              <w:rPr>
                <w:rFonts w:ascii="Calibri" w:eastAsia="Times New Roman" w:hAnsi="Calibri" w:cs="Times New Roman"/>
              </w:rPr>
              <w:t>Do not tamper with the gas ventilation systems. Indicate on the furnace user sheet the nature of the samples. Be aware of hazards from other samples placed in other furnaces.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F0023F4" w14:textId="16006C6C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F0"/>
              </w:rPr>
              <w:t>L</w:t>
            </w:r>
          </w:p>
        </w:tc>
        <w:tc>
          <w:tcPr>
            <w:tcW w:w="2963" w:type="dxa"/>
            <w:shd w:val="clear" w:color="auto" w:fill="auto"/>
          </w:tcPr>
          <w:p w14:paraId="63700561" w14:textId="1DB0D623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716" w:type="dxa"/>
            <w:shd w:val="clear" w:color="auto" w:fill="auto"/>
          </w:tcPr>
          <w:p w14:paraId="5B8B4DDA" w14:textId="2413D090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A368874" w14:textId="65AE36AF" w:rsidR="006F4FD1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F0"/>
              </w:rPr>
              <w:t>L</w:t>
            </w:r>
          </w:p>
        </w:tc>
      </w:tr>
      <w:tr w:rsidR="006F4FD1" w:rsidRPr="006F523D" w14:paraId="3699B082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7E34B0EA" w14:textId="7A2A3EDA" w:rsidR="006F4FD1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High Vacuum Furnace and Arc Furnace – Fire or burns from the furnace</w:t>
            </w:r>
          </w:p>
        </w:tc>
        <w:tc>
          <w:tcPr>
            <w:tcW w:w="1696" w:type="dxa"/>
          </w:tcPr>
          <w:p w14:paraId="4673F67F" w14:textId="3788A494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 high vacuum furnace user</w:t>
            </w:r>
          </w:p>
        </w:tc>
        <w:tc>
          <w:tcPr>
            <w:tcW w:w="3237" w:type="dxa"/>
            <w:shd w:val="clear" w:color="auto" w:fill="auto"/>
          </w:tcPr>
          <w:p w14:paraId="69C438C8" w14:textId="3A1E7620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74BE">
              <w:rPr>
                <w:rFonts w:ascii="Calibri" w:eastAsia="Times New Roman" w:hAnsi="Calibri" w:cs="Times New Roman"/>
              </w:rPr>
              <w:t>Wear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7674BE">
              <w:rPr>
                <w:rFonts w:ascii="Calibri" w:eastAsia="Times New Roman" w:hAnsi="Calibri" w:cs="Times New Roman"/>
              </w:rPr>
              <w:t>PPE</w:t>
            </w:r>
            <w:r>
              <w:rPr>
                <w:rFonts w:ascii="Calibri" w:eastAsia="Times New Roman" w:hAnsi="Calibri" w:cs="Times New Roman"/>
              </w:rPr>
              <w:t xml:space="preserve"> (welding gloves, nitrile gloves, lab coat)</w:t>
            </w:r>
            <w:r w:rsidRPr="007674BE">
              <w:rPr>
                <w:rFonts w:ascii="Calibri" w:eastAsia="Times New Roman" w:hAnsi="Calibri" w:cs="Times New Roman"/>
              </w:rPr>
              <w:t>. Do not open furnaces unless they are cool. Do not touch hot surfaces.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7C337E9" w14:textId="6EBE88ED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674BE">
              <w:rPr>
                <w:rFonts w:ascii="Calibri" w:eastAsia="Times New Roman" w:hAnsi="Calibri" w:cs="Times New Roman"/>
                <w:b/>
                <w:bCs/>
                <w:color w:val="FFC000"/>
              </w:rPr>
              <w:t>M</w:t>
            </w:r>
          </w:p>
        </w:tc>
        <w:tc>
          <w:tcPr>
            <w:tcW w:w="2963" w:type="dxa"/>
            <w:shd w:val="clear" w:color="auto" w:fill="auto"/>
          </w:tcPr>
          <w:p w14:paraId="0744A4AA" w14:textId="6A34CCF3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Training is required for use.</w:t>
            </w:r>
          </w:p>
        </w:tc>
        <w:tc>
          <w:tcPr>
            <w:tcW w:w="1716" w:type="dxa"/>
            <w:shd w:val="clear" w:color="auto" w:fill="auto"/>
          </w:tcPr>
          <w:p w14:paraId="6F6DB804" w14:textId="216D96BB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None. Previously trained by Dr Martin Lees prior to use.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F395C60" w14:textId="6774C052" w:rsidR="006F4FD1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F0"/>
              </w:rPr>
              <w:t>L</w:t>
            </w:r>
          </w:p>
        </w:tc>
      </w:tr>
      <w:tr w:rsidR="006F4FD1" w:rsidRPr="006F523D" w14:paraId="3724A7AD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78ECFBF6" w14:textId="336D5599" w:rsidR="006F4FD1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Use of Cryogenic Liquids – Cold burns and/or frostbite</w:t>
            </w:r>
          </w:p>
        </w:tc>
        <w:tc>
          <w:tcPr>
            <w:tcW w:w="1696" w:type="dxa"/>
          </w:tcPr>
          <w:p w14:paraId="368B0F0B" w14:textId="351FA0B0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 user of the cryogenic liquids and others present in the laboratory</w:t>
            </w:r>
          </w:p>
        </w:tc>
        <w:tc>
          <w:tcPr>
            <w:tcW w:w="3237" w:type="dxa"/>
            <w:shd w:val="clear" w:color="auto" w:fill="auto"/>
          </w:tcPr>
          <w:p w14:paraId="0FCCEA72" w14:textId="0E5DA794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Wear PPE (eyewear, insulating gloves).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34ADBE6" w14:textId="6626E14A" w:rsidR="006F4FD1" w:rsidRPr="00D346F6" w:rsidRDefault="001F585A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F010C">
              <w:rPr>
                <w:rFonts w:ascii="Arial" w:eastAsia="Times New Roman" w:hAnsi="Arial" w:cs="Arial"/>
                <w:b/>
                <w:bCs/>
                <w:color w:val="FFC000"/>
                <w:sz w:val="18"/>
                <w:szCs w:val="20"/>
              </w:rPr>
              <w:t>M</w:t>
            </w:r>
          </w:p>
        </w:tc>
        <w:tc>
          <w:tcPr>
            <w:tcW w:w="2963" w:type="dxa"/>
            <w:shd w:val="clear" w:color="auto" w:fill="auto"/>
          </w:tcPr>
          <w:p w14:paraId="29E2E125" w14:textId="4F03D189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Training is required for use.</w:t>
            </w:r>
          </w:p>
        </w:tc>
        <w:tc>
          <w:tcPr>
            <w:tcW w:w="1716" w:type="dxa"/>
            <w:shd w:val="clear" w:color="auto" w:fill="auto"/>
          </w:tcPr>
          <w:p w14:paraId="7FE41311" w14:textId="51797DC3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None. Previously trained by Tom Orton prior to use.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BBC7014" w14:textId="05030773" w:rsidR="006F4FD1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F0"/>
              </w:rPr>
              <w:t>L</w:t>
            </w:r>
          </w:p>
        </w:tc>
      </w:tr>
      <w:tr w:rsidR="006F4FD1" w:rsidRPr="006F523D" w14:paraId="0B835067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55B317A6" w14:textId="04799911" w:rsidR="006F4FD1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lastRenderedPageBreak/>
              <w:t>Use of Cryogenic Liquid Nitrogen – Asphyxiation</w:t>
            </w:r>
          </w:p>
        </w:tc>
        <w:tc>
          <w:tcPr>
            <w:tcW w:w="1696" w:type="dxa"/>
          </w:tcPr>
          <w:p w14:paraId="529F2853" w14:textId="2A6B75CD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 user of the cryogenic liquid nitrogen and others present in the laboratory</w:t>
            </w:r>
          </w:p>
        </w:tc>
        <w:tc>
          <w:tcPr>
            <w:tcW w:w="3237" w:type="dxa"/>
            <w:shd w:val="clear" w:color="auto" w:fill="auto"/>
          </w:tcPr>
          <w:p w14:paraId="3EDADD02" w14:textId="01AE6978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Nitrogen is filled in an area with oxygen detectors or outside. All laboratory rooms that use liquid nitrogen are well ventilated. Wear PPE (eyewear, insulating gloves).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D5D5BEF" w14:textId="4C293552" w:rsidR="006F4FD1" w:rsidRPr="00D346F6" w:rsidRDefault="001F585A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F010C">
              <w:rPr>
                <w:rFonts w:ascii="Arial" w:eastAsia="Times New Roman" w:hAnsi="Arial" w:cs="Arial"/>
                <w:b/>
                <w:bCs/>
                <w:color w:val="FFC000"/>
                <w:sz w:val="18"/>
                <w:szCs w:val="20"/>
              </w:rPr>
              <w:t>M</w:t>
            </w:r>
          </w:p>
        </w:tc>
        <w:tc>
          <w:tcPr>
            <w:tcW w:w="2963" w:type="dxa"/>
            <w:shd w:val="clear" w:color="auto" w:fill="auto"/>
          </w:tcPr>
          <w:p w14:paraId="319CC13B" w14:textId="22417C5D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Training is required for use.</w:t>
            </w:r>
          </w:p>
        </w:tc>
        <w:tc>
          <w:tcPr>
            <w:tcW w:w="1716" w:type="dxa"/>
            <w:shd w:val="clear" w:color="auto" w:fill="auto"/>
          </w:tcPr>
          <w:p w14:paraId="65ADD35E" w14:textId="2C749396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None. Previously trained by Tom Orton prior to use.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8929C4E" w14:textId="60416B57" w:rsidR="006F4FD1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F0"/>
              </w:rPr>
              <w:t>L</w:t>
            </w:r>
          </w:p>
        </w:tc>
      </w:tr>
      <w:tr w:rsidR="006F4FD1" w:rsidRPr="006F523D" w14:paraId="2F2E9E9F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7ACAA86A" w14:textId="253494EF" w:rsidR="006F4FD1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Use of Cryogenic Liquid Helium – Overly pressurized storage apparatus</w:t>
            </w:r>
          </w:p>
        </w:tc>
        <w:tc>
          <w:tcPr>
            <w:tcW w:w="1696" w:type="dxa"/>
          </w:tcPr>
          <w:p w14:paraId="4BABED08" w14:textId="3D31BCA8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 user of the cryogenic liquid helium and others present in the laboratory</w:t>
            </w:r>
          </w:p>
        </w:tc>
        <w:tc>
          <w:tcPr>
            <w:tcW w:w="3237" w:type="dxa"/>
            <w:shd w:val="clear" w:color="auto" w:fill="auto"/>
          </w:tcPr>
          <w:p w14:paraId="1DB135EF" w14:textId="7D83A2E1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31250">
              <w:rPr>
                <w:rFonts w:ascii="Calibri" w:eastAsia="Times New Roman" w:hAnsi="Calibri" w:cs="Times New Roman"/>
              </w:rPr>
              <w:t>Do not leave apparatus open to the atmosphere. Make sure all safety valves are open.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26EC620" w14:textId="258E81FC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C061C">
              <w:rPr>
                <w:rFonts w:ascii="Calibri" w:eastAsia="Times New Roman" w:hAnsi="Calibri" w:cs="Times New Roman"/>
                <w:b/>
                <w:bCs/>
                <w:color w:val="FFC000"/>
              </w:rPr>
              <w:t>M</w:t>
            </w:r>
          </w:p>
        </w:tc>
        <w:tc>
          <w:tcPr>
            <w:tcW w:w="2963" w:type="dxa"/>
            <w:shd w:val="clear" w:color="auto" w:fill="auto"/>
          </w:tcPr>
          <w:p w14:paraId="5EB38B38" w14:textId="20C6C366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Training is required for use.</w:t>
            </w:r>
          </w:p>
        </w:tc>
        <w:tc>
          <w:tcPr>
            <w:tcW w:w="1716" w:type="dxa"/>
            <w:shd w:val="clear" w:color="auto" w:fill="auto"/>
          </w:tcPr>
          <w:p w14:paraId="28F0DC21" w14:textId="577E9FB1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None. Previously trained by Tom Orton prior to use.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B39B056" w14:textId="48BFDB05" w:rsidR="006F4FD1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F0"/>
              </w:rPr>
              <w:t>L</w:t>
            </w:r>
          </w:p>
        </w:tc>
      </w:tr>
      <w:tr w:rsidR="006F4FD1" w:rsidRPr="006F523D" w14:paraId="4C15FECA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7E7375CF" w14:textId="62C359DC" w:rsidR="006F4FD1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Use of High Magnetic Fields – Damaged from impact of a magnetized object</w:t>
            </w:r>
          </w:p>
        </w:tc>
        <w:tc>
          <w:tcPr>
            <w:tcW w:w="1696" w:type="dxa"/>
          </w:tcPr>
          <w:p w14:paraId="2E7B789E" w14:textId="0A0221D5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 user of the high magnetic fields and others present in the laboratory</w:t>
            </w:r>
          </w:p>
        </w:tc>
        <w:tc>
          <w:tcPr>
            <w:tcW w:w="3237" w:type="dxa"/>
            <w:shd w:val="clear" w:color="auto" w:fill="auto"/>
          </w:tcPr>
          <w:p w14:paraId="51CF06F6" w14:textId="34531F41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Ensure that no magnetizable objects come near the high magnetic fields.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E4AE2BD" w14:textId="73E2DF2C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C061C">
              <w:rPr>
                <w:rFonts w:ascii="Calibri" w:eastAsia="Times New Roman" w:hAnsi="Calibri" w:cs="Times New Roman"/>
                <w:b/>
                <w:bCs/>
                <w:color w:val="00B0F0"/>
              </w:rPr>
              <w:t>L</w:t>
            </w:r>
          </w:p>
        </w:tc>
        <w:tc>
          <w:tcPr>
            <w:tcW w:w="2963" w:type="dxa"/>
            <w:shd w:val="clear" w:color="auto" w:fill="auto"/>
          </w:tcPr>
          <w:p w14:paraId="69E91831" w14:textId="2BC5F6E5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716" w:type="dxa"/>
            <w:shd w:val="clear" w:color="auto" w:fill="auto"/>
          </w:tcPr>
          <w:p w14:paraId="2E51FE19" w14:textId="0EF849E2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A8DC6F2" w14:textId="034236AC" w:rsidR="006F4FD1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50"/>
              </w:rPr>
              <w:t>VL</w:t>
            </w:r>
          </w:p>
        </w:tc>
      </w:tr>
      <w:tr w:rsidR="006F4FD1" w:rsidRPr="006F523D" w14:paraId="5278A51E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6E04217B" w14:textId="286B4F45" w:rsidR="006F4FD1" w:rsidRPr="006F523D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Evacuable Pellet Die – Ingestion of fine powders used to make samples, leading to poisoning from harmful chemicals</w:t>
            </w:r>
          </w:p>
        </w:tc>
        <w:tc>
          <w:tcPr>
            <w:tcW w:w="1696" w:type="dxa"/>
          </w:tcPr>
          <w:p w14:paraId="2F855CC0" w14:textId="15520806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 evacuable pellet die user and others present in the laboratory</w:t>
            </w:r>
          </w:p>
        </w:tc>
        <w:tc>
          <w:tcPr>
            <w:tcW w:w="3237" w:type="dxa"/>
            <w:shd w:val="clear" w:color="auto" w:fill="auto"/>
          </w:tcPr>
          <w:p w14:paraId="2A440F56" w14:textId="4CE05A42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C061C">
              <w:rPr>
                <w:rFonts w:ascii="Calibri" w:eastAsia="Times New Roman" w:hAnsi="Calibri" w:cs="Times New Roman"/>
              </w:rPr>
              <w:t>Wear PPE</w:t>
            </w:r>
            <w:r>
              <w:rPr>
                <w:rFonts w:ascii="Calibri" w:eastAsia="Times New Roman" w:hAnsi="Calibri" w:cs="Times New Roman"/>
              </w:rPr>
              <w:t xml:space="preserve"> (eyewear, lab coat, gloves,</w:t>
            </w:r>
            <w:r w:rsidRPr="00BC061C">
              <w:rPr>
                <w:rFonts w:ascii="Calibri" w:eastAsia="Times New Roman" w:hAnsi="Calibri" w:cs="Times New Roman"/>
              </w:rPr>
              <w:t xml:space="preserve"> face mask</w:t>
            </w:r>
            <w:r>
              <w:rPr>
                <w:rFonts w:ascii="Calibri" w:eastAsia="Times New Roman" w:hAnsi="Calibri" w:cs="Times New Roman"/>
              </w:rPr>
              <w:t>)</w:t>
            </w:r>
            <w:r w:rsidRPr="00BC061C">
              <w:rPr>
                <w:rFonts w:ascii="Calibri" w:eastAsia="Times New Roman" w:hAnsi="Calibri" w:cs="Times New Roman"/>
              </w:rPr>
              <w:t xml:space="preserve"> when using the pellet die, and clean the workstation after use.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00D2B10" w14:textId="54BA524D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C061C">
              <w:rPr>
                <w:rFonts w:ascii="Calibri" w:eastAsia="Times New Roman" w:hAnsi="Calibri" w:cs="Times New Roman"/>
                <w:b/>
                <w:bCs/>
                <w:color w:val="00B0F0"/>
              </w:rPr>
              <w:t>L</w:t>
            </w:r>
          </w:p>
        </w:tc>
        <w:tc>
          <w:tcPr>
            <w:tcW w:w="2963" w:type="dxa"/>
            <w:shd w:val="clear" w:color="auto" w:fill="auto"/>
          </w:tcPr>
          <w:p w14:paraId="6439CFF7" w14:textId="210BBE3E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716" w:type="dxa"/>
            <w:shd w:val="clear" w:color="auto" w:fill="auto"/>
          </w:tcPr>
          <w:p w14:paraId="18EC17B1" w14:textId="224BC2BD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455966D" w14:textId="6791DA56" w:rsidR="006F4FD1" w:rsidRPr="006F523D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F0"/>
              </w:rPr>
              <w:t>L</w:t>
            </w:r>
          </w:p>
        </w:tc>
      </w:tr>
      <w:tr w:rsidR="006F4FD1" w:rsidRPr="006F523D" w14:paraId="04A861B1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796361B6" w14:textId="205F6CAB" w:rsidR="006F4FD1" w:rsidRPr="006F523D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lastRenderedPageBreak/>
              <w:t>Evacuable Pellet Die – Damage to the apparatus due to the failure of a component</w:t>
            </w:r>
          </w:p>
        </w:tc>
        <w:tc>
          <w:tcPr>
            <w:tcW w:w="1696" w:type="dxa"/>
          </w:tcPr>
          <w:p w14:paraId="74A87FF2" w14:textId="4C7A8215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 evacuable pellet die user and others present in the laboratory</w:t>
            </w:r>
          </w:p>
        </w:tc>
        <w:tc>
          <w:tcPr>
            <w:tcW w:w="3237" w:type="dxa"/>
            <w:shd w:val="clear" w:color="auto" w:fill="auto"/>
          </w:tcPr>
          <w:p w14:paraId="7F41586D" w14:textId="1D835189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C061C">
              <w:rPr>
                <w:rFonts w:ascii="Calibri" w:eastAsia="Times New Roman" w:hAnsi="Calibri" w:cs="Times New Roman"/>
              </w:rPr>
              <w:t>Do not tamper with the apparatus. If unsure, ask for help.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8EA54FF" w14:textId="51DBC398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C061C">
              <w:rPr>
                <w:rFonts w:ascii="Calibri" w:eastAsia="Times New Roman" w:hAnsi="Calibri" w:cs="Times New Roman"/>
                <w:b/>
                <w:bCs/>
                <w:color w:val="FFC000"/>
              </w:rPr>
              <w:t>M</w:t>
            </w:r>
          </w:p>
        </w:tc>
        <w:tc>
          <w:tcPr>
            <w:tcW w:w="2963" w:type="dxa"/>
            <w:shd w:val="clear" w:color="auto" w:fill="auto"/>
          </w:tcPr>
          <w:p w14:paraId="20CB76CE" w14:textId="6091B568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Training is required for use. A user manual will be followed when used.</w:t>
            </w:r>
          </w:p>
        </w:tc>
        <w:tc>
          <w:tcPr>
            <w:tcW w:w="1716" w:type="dxa"/>
            <w:shd w:val="clear" w:color="auto" w:fill="auto"/>
          </w:tcPr>
          <w:p w14:paraId="38999135" w14:textId="468A72AE" w:rsidR="006F4FD1" w:rsidRPr="001A2CC3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None. Previously trained by Dr Martin Lees prior to use.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66465F5" w14:textId="6BA2E227" w:rsidR="006F4FD1" w:rsidRPr="006F523D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D346F6">
              <w:rPr>
                <w:rFonts w:ascii="Calibri" w:eastAsia="Times New Roman" w:hAnsi="Calibri" w:cs="Times New Roman"/>
                <w:b/>
                <w:bCs/>
                <w:color w:val="00B050"/>
              </w:rPr>
              <w:t>VL</w:t>
            </w:r>
          </w:p>
        </w:tc>
      </w:tr>
      <w:tr w:rsidR="006F4FD1" w:rsidRPr="006F523D" w14:paraId="4366BD1C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34B60D8E" w14:textId="5C041642" w:rsidR="006F4FD1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 w:rsidRPr="00F72F80">
              <w:rPr>
                <w:rFonts w:ascii="Calibri" w:hAnsi="Calibri"/>
                <w:b/>
                <w:bCs/>
                <w:color w:val="000099"/>
              </w:rPr>
              <w:t xml:space="preserve">Arc </w:t>
            </w:r>
            <w:r>
              <w:rPr>
                <w:rFonts w:ascii="Calibri" w:hAnsi="Calibri"/>
                <w:b/>
                <w:bCs/>
                <w:color w:val="000099"/>
              </w:rPr>
              <w:t>F</w:t>
            </w:r>
            <w:r w:rsidRPr="00F72F80">
              <w:rPr>
                <w:rFonts w:ascii="Calibri" w:hAnsi="Calibri"/>
                <w:b/>
                <w:bCs/>
                <w:color w:val="000099"/>
              </w:rPr>
              <w:t>urnace</w:t>
            </w:r>
            <w:r>
              <w:rPr>
                <w:rFonts w:ascii="Calibri" w:hAnsi="Calibri"/>
                <w:b/>
                <w:bCs/>
                <w:color w:val="000099"/>
              </w:rPr>
              <w:t xml:space="preserve"> – </w:t>
            </w:r>
            <w:r w:rsidRPr="00F72F80">
              <w:rPr>
                <w:rFonts w:ascii="Calibri" w:hAnsi="Calibri"/>
                <w:b/>
                <w:bCs/>
                <w:color w:val="000099"/>
              </w:rPr>
              <w:t>looking directly at the electrical arc can cause damage to eyes from burning to blindness</w:t>
            </w:r>
          </w:p>
        </w:tc>
        <w:tc>
          <w:tcPr>
            <w:tcW w:w="1696" w:type="dxa"/>
          </w:tcPr>
          <w:p w14:paraId="4732E24B" w14:textId="4BD676FA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 arc furnace user and others present in the laboratory</w:t>
            </w:r>
          </w:p>
        </w:tc>
        <w:tc>
          <w:tcPr>
            <w:tcW w:w="3237" w:type="dxa"/>
            <w:shd w:val="clear" w:color="auto" w:fill="auto"/>
          </w:tcPr>
          <w:p w14:paraId="06202BB2" w14:textId="2D23F6AE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C061C">
              <w:rPr>
                <w:rFonts w:ascii="Calibri" w:eastAsia="Times New Roman" w:hAnsi="Calibri" w:cs="Times New Roman"/>
              </w:rPr>
              <w:t>A welding shield is fitted in front of the furnace when in use to protect the user, and there is a curtain surrounding the area to protect other</w:t>
            </w:r>
            <w:r>
              <w:rPr>
                <w:rFonts w:ascii="Calibri" w:eastAsia="Times New Roman" w:hAnsi="Calibri" w:cs="Times New Roman"/>
              </w:rPr>
              <w:t>s</w:t>
            </w:r>
            <w:r w:rsidRPr="00BC061C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B38F3FA" w14:textId="73CBB0F3" w:rsidR="006F4FD1" w:rsidRPr="00D346F6" w:rsidRDefault="001F585A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F010C">
              <w:rPr>
                <w:rFonts w:ascii="Arial" w:eastAsia="Times New Roman" w:hAnsi="Arial" w:cs="Arial"/>
                <w:b/>
                <w:bCs/>
                <w:color w:val="FFC000"/>
                <w:sz w:val="18"/>
                <w:szCs w:val="20"/>
              </w:rPr>
              <w:t>M</w:t>
            </w:r>
          </w:p>
        </w:tc>
        <w:tc>
          <w:tcPr>
            <w:tcW w:w="2963" w:type="dxa"/>
            <w:shd w:val="clear" w:color="auto" w:fill="auto"/>
          </w:tcPr>
          <w:p w14:paraId="72F48D04" w14:textId="2D8C632F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Training is required for use. A user manual will be followed when used.</w:t>
            </w:r>
          </w:p>
        </w:tc>
        <w:tc>
          <w:tcPr>
            <w:tcW w:w="1716" w:type="dxa"/>
            <w:shd w:val="clear" w:color="auto" w:fill="auto"/>
          </w:tcPr>
          <w:p w14:paraId="2AD2D26F" w14:textId="2612086A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None. Previously trained by Dr Martin Lees prior to use.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4DFA917" w14:textId="309F7A3F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382413">
              <w:rPr>
                <w:rFonts w:ascii="Calibri" w:eastAsia="Times New Roman" w:hAnsi="Calibri" w:cs="Times New Roman"/>
                <w:b/>
                <w:bCs/>
                <w:color w:val="00B0F0"/>
              </w:rPr>
              <w:t>L</w:t>
            </w:r>
          </w:p>
        </w:tc>
      </w:tr>
      <w:tr w:rsidR="006F4FD1" w:rsidRPr="006F523D" w14:paraId="28AAF52A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57567892" w14:textId="72981591" w:rsidR="006F4FD1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 w:rsidRPr="00F72F80">
              <w:rPr>
                <w:rFonts w:ascii="Calibri" w:hAnsi="Calibri"/>
                <w:b/>
                <w:bCs/>
                <w:color w:val="000099"/>
              </w:rPr>
              <w:t xml:space="preserve">Arc </w:t>
            </w:r>
            <w:r>
              <w:rPr>
                <w:rFonts w:ascii="Calibri" w:hAnsi="Calibri"/>
                <w:b/>
                <w:bCs/>
                <w:color w:val="000099"/>
              </w:rPr>
              <w:t>F</w:t>
            </w:r>
            <w:r w:rsidRPr="00F72F80">
              <w:rPr>
                <w:rFonts w:ascii="Calibri" w:hAnsi="Calibri"/>
                <w:b/>
                <w:bCs/>
                <w:color w:val="000099"/>
              </w:rPr>
              <w:t xml:space="preserve">urnace </w:t>
            </w:r>
            <w:r>
              <w:rPr>
                <w:rFonts w:ascii="Calibri" w:hAnsi="Calibri"/>
                <w:b/>
                <w:bCs/>
                <w:color w:val="000099"/>
              </w:rPr>
              <w:t>–</w:t>
            </w:r>
            <w:r w:rsidRPr="00F72F80">
              <w:rPr>
                <w:rFonts w:ascii="Calibri" w:hAnsi="Calibri"/>
                <w:b/>
                <w:bCs/>
                <w:color w:val="000099"/>
              </w:rPr>
              <w:t xml:space="preserve"> risk of fire/explosion if exposed to oxygen rich atmosphere if opened too early.</w:t>
            </w:r>
          </w:p>
        </w:tc>
        <w:tc>
          <w:tcPr>
            <w:tcW w:w="1696" w:type="dxa"/>
          </w:tcPr>
          <w:p w14:paraId="2B5C5547" w14:textId="2A49F816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 arc furnace user and others present in the laboratory</w:t>
            </w:r>
          </w:p>
        </w:tc>
        <w:tc>
          <w:tcPr>
            <w:tcW w:w="3237" w:type="dxa"/>
            <w:shd w:val="clear" w:color="auto" w:fill="auto"/>
          </w:tcPr>
          <w:p w14:paraId="10404F46" w14:textId="45D06768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147D">
              <w:rPr>
                <w:rFonts w:ascii="Calibri" w:eastAsia="Times New Roman" w:hAnsi="Calibri" w:cs="Times New Roman"/>
              </w:rPr>
              <w:t>Ensure equipment and sample is sufficiently cooled before opening.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E2DF90A" w14:textId="671BD1DA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6147D">
              <w:rPr>
                <w:rFonts w:ascii="Calibri" w:eastAsia="Times New Roman" w:hAnsi="Calibri" w:cs="Times New Roman"/>
                <w:b/>
                <w:bCs/>
                <w:color w:val="FFC000"/>
              </w:rPr>
              <w:t>M</w:t>
            </w:r>
          </w:p>
        </w:tc>
        <w:tc>
          <w:tcPr>
            <w:tcW w:w="2963" w:type="dxa"/>
            <w:shd w:val="clear" w:color="auto" w:fill="auto"/>
          </w:tcPr>
          <w:p w14:paraId="14B7A87C" w14:textId="4C535B62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Training is required for use. A user manual will be followed when used.</w:t>
            </w:r>
          </w:p>
        </w:tc>
        <w:tc>
          <w:tcPr>
            <w:tcW w:w="1716" w:type="dxa"/>
            <w:shd w:val="clear" w:color="auto" w:fill="auto"/>
          </w:tcPr>
          <w:p w14:paraId="64C76B32" w14:textId="5FD1320F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None. Previously trained by Dr Martin Lees prior to use.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1684850" w14:textId="3027AD05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</w:rPr>
              <w:t>VL</w:t>
            </w:r>
          </w:p>
        </w:tc>
      </w:tr>
      <w:tr w:rsidR="006F4FD1" w:rsidRPr="006F523D" w14:paraId="52D7B6F8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04169A31" w14:textId="3E4AE28D" w:rsidR="006F4FD1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 w:rsidRPr="00F72F80">
              <w:rPr>
                <w:rFonts w:ascii="Calibri" w:hAnsi="Calibri"/>
                <w:b/>
                <w:bCs/>
                <w:color w:val="000099"/>
              </w:rPr>
              <w:t>Arc</w:t>
            </w:r>
            <w:r>
              <w:rPr>
                <w:rFonts w:ascii="Calibri" w:hAnsi="Calibri"/>
                <w:b/>
                <w:bCs/>
                <w:color w:val="000099"/>
              </w:rPr>
              <w:t xml:space="preserve"> Furn</w:t>
            </w:r>
            <w:r w:rsidRPr="00F72F80">
              <w:rPr>
                <w:rFonts w:ascii="Calibri" w:hAnsi="Calibri"/>
                <w:b/>
                <w:bCs/>
                <w:color w:val="000099"/>
              </w:rPr>
              <w:t>ace</w:t>
            </w:r>
            <w:r>
              <w:rPr>
                <w:rFonts w:ascii="Calibri" w:hAnsi="Calibri"/>
                <w:b/>
                <w:bCs/>
                <w:color w:val="000099"/>
              </w:rPr>
              <w:t xml:space="preserve"> –</w:t>
            </w:r>
            <w:r w:rsidRPr="00F72F80">
              <w:rPr>
                <w:rFonts w:ascii="Calibri" w:hAnsi="Calibri"/>
                <w:b/>
                <w:bCs/>
                <w:color w:val="000099"/>
              </w:rPr>
              <w:t xml:space="preserve"> high pressure argon gas is used to produce an inert atmosphere</w:t>
            </w:r>
          </w:p>
        </w:tc>
        <w:tc>
          <w:tcPr>
            <w:tcW w:w="1696" w:type="dxa"/>
          </w:tcPr>
          <w:p w14:paraId="7225F508" w14:textId="39307FE8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 arc furnace user and others present in the laboratory</w:t>
            </w:r>
          </w:p>
        </w:tc>
        <w:tc>
          <w:tcPr>
            <w:tcW w:w="3237" w:type="dxa"/>
            <w:shd w:val="clear" w:color="auto" w:fill="auto"/>
          </w:tcPr>
          <w:p w14:paraId="35362CB1" w14:textId="13F1817D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E5A60">
              <w:rPr>
                <w:rFonts w:ascii="Calibri" w:eastAsia="Times New Roman" w:hAnsi="Calibri" w:cs="Times New Roman"/>
              </w:rPr>
              <w:t>Make sure all of the transport tubes are working and sealed properly.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A5D54A5" w14:textId="330162F7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E5A60">
              <w:rPr>
                <w:rFonts w:ascii="Calibri" w:eastAsia="Times New Roman" w:hAnsi="Calibri" w:cs="Times New Roman"/>
                <w:b/>
                <w:bCs/>
                <w:color w:val="FFC000"/>
              </w:rPr>
              <w:t>M</w:t>
            </w:r>
          </w:p>
        </w:tc>
        <w:tc>
          <w:tcPr>
            <w:tcW w:w="2963" w:type="dxa"/>
            <w:shd w:val="clear" w:color="auto" w:fill="auto"/>
          </w:tcPr>
          <w:p w14:paraId="69852FAE" w14:textId="3EEF2F08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Training is required for use. A user manual will be followed when used.</w:t>
            </w:r>
          </w:p>
        </w:tc>
        <w:tc>
          <w:tcPr>
            <w:tcW w:w="1716" w:type="dxa"/>
            <w:shd w:val="clear" w:color="auto" w:fill="auto"/>
          </w:tcPr>
          <w:p w14:paraId="35831C39" w14:textId="2D930495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None. Previously trained by Dr Martin Lees prior to use.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1DE93C6" w14:textId="692FA673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</w:rPr>
              <w:t>VL</w:t>
            </w:r>
          </w:p>
        </w:tc>
      </w:tr>
      <w:tr w:rsidR="006F4FD1" w:rsidRPr="006F523D" w14:paraId="6D4C5174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210E9FDE" w14:textId="50164AEA" w:rsidR="006F4FD1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 w:rsidRPr="00F72F80">
              <w:rPr>
                <w:rFonts w:ascii="Calibri" w:hAnsi="Calibri"/>
                <w:b/>
                <w:bCs/>
                <w:color w:val="000099"/>
              </w:rPr>
              <w:t xml:space="preserve">Arc </w:t>
            </w:r>
            <w:r>
              <w:rPr>
                <w:rFonts w:ascii="Calibri" w:hAnsi="Calibri"/>
                <w:b/>
                <w:bCs/>
                <w:color w:val="000099"/>
              </w:rPr>
              <w:t>F</w:t>
            </w:r>
            <w:r w:rsidRPr="00F72F80">
              <w:rPr>
                <w:rFonts w:ascii="Calibri" w:hAnsi="Calibri"/>
                <w:b/>
                <w:bCs/>
                <w:color w:val="000099"/>
              </w:rPr>
              <w:t>urnace</w:t>
            </w:r>
            <w:r>
              <w:rPr>
                <w:rFonts w:ascii="Calibri" w:hAnsi="Calibri"/>
                <w:b/>
                <w:bCs/>
                <w:color w:val="000099"/>
              </w:rPr>
              <w:t xml:space="preserve"> –</w:t>
            </w:r>
            <w:r w:rsidRPr="00F72F80">
              <w:rPr>
                <w:rFonts w:ascii="Calibri" w:hAnsi="Calibri"/>
                <w:b/>
                <w:bCs/>
                <w:color w:val="000099"/>
              </w:rPr>
              <w:t xml:space="preserve"> pump creates a vacuum in the sample chamber which puts pressure on the quartz window</w:t>
            </w:r>
          </w:p>
        </w:tc>
        <w:tc>
          <w:tcPr>
            <w:tcW w:w="1696" w:type="dxa"/>
          </w:tcPr>
          <w:p w14:paraId="4917CC35" w14:textId="74BF69C5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 arc furnace user and others present in the laboratory</w:t>
            </w:r>
          </w:p>
        </w:tc>
        <w:tc>
          <w:tcPr>
            <w:tcW w:w="3237" w:type="dxa"/>
            <w:shd w:val="clear" w:color="auto" w:fill="auto"/>
          </w:tcPr>
          <w:p w14:paraId="3101EED0" w14:textId="77B38F7B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E5A60">
              <w:rPr>
                <w:rFonts w:ascii="Calibri" w:eastAsia="Times New Roman" w:hAnsi="Calibri" w:cs="Times New Roman"/>
              </w:rPr>
              <w:t>Check there are no cracks in the quartz window before turning the pump on.</w:t>
            </w:r>
            <w:r>
              <w:rPr>
                <w:rFonts w:ascii="Calibri" w:eastAsia="Times New Roman" w:hAnsi="Calibri" w:cs="Times New Roman"/>
              </w:rPr>
              <w:t xml:space="preserve"> Wear PPE (lab coat, gloves).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2336812" w14:textId="176D74C7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E5A60">
              <w:rPr>
                <w:rFonts w:ascii="Calibri" w:eastAsia="Times New Roman" w:hAnsi="Calibri" w:cs="Times New Roman"/>
                <w:b/>
                <w:bCs/>
                <w:color w:val="FFC000"/>
              </w:rPr>
              <w:t>M</w:t>
            </w:r>
          </w:p>
        </w:tc>
        <w:tc>
          <w:tcPr>
            <w:tcW w:w="2963" w:type="dxa"/>
            <w:shd w:val="clear" w:color="auto" w:fill="auto"/>
          </w:tcPr>
          <w:p w14:paraId="792C5174" w14:textId="1F0C4E20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Training is required for use. A user manual will be followed when used.</w:t>
            </w:r>
          </w:p>
        </w:tc>
        <w:tc>
          <w:tcPr>
            <w:tcW w:w="1716" w:type="dxa"/>
            <w:shd w:val="clear" w:color="auto" w:fill="auto"/>
          </w:tcPr>
          <w:p w14:paraId="343DC3F4" w14:textId="7E14F83F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None. Previously trained by Dr Martin Lees prior to use.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0934860" w14:textId="0C215F50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</w:rPr>
              <w:t>VL</w:t>
            </w:r>
          </w:p>
        </w:tc>
      </w:tr>
      <w:tr w:rsidR="006F4FD1" w:rsidRPr="006F523D" w14:paraId="482ABE0D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1AB93B85" w14:textId="18B0577E" w:rsidR="006F4FD1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 w:rsidRPr="00F72F80">
              <w:rPr>
                <w:rFonts w:ascii="Calibri" w:hAnsi="Calibri"/>
                <w:b/>
                <w:bCs/>
                <w:color w:val="000099"/>
              </w:rPr>
              <w:lastRenderedPageBreak/>
              <w:t xml:space="preserve">Low </w:t>
            </w:r>
            <w:r>
              <w:rPr>
                <w:rFonts w:ascii="Calibri" w:hAnsi="Calibri"/>
                <w:b/>
                <w:bCs/>
                <w:color w:val="000099"/>
              </w:rPr>
              <w:t>S</w:t>
            </w:r>
            <w:r w:rsidRPr="00F72F80">
              <w:rPr>
                <w:rFonts w:ascii="Calibri" w:hAnsi="Calibri"/>
                <w:b/>
                <w:bCs/>
                <w:color w:val="000099"/>
              </w:rPr>
              <w:t xml:space="preserve">peed </w:t>
            </w:r>
            <w:r>
              <w:rPr>
                <w:rFonts w:ascii="Calibri" w:hAnsi="Calibri"/>
                <w:b/>
                <w:bCs/>
                <w:color w:val="000099"/>
              </w:rPr>
              <w:t>D</w:t>
            </w:r>
            <w:r w:rsidRPr="00F72F80">
              <w:rPr>
                <w:rFonts w:ascii="Calibri" w:hAnsi="Calibri"/>
                <w:b/>
                <w:bCs/>
                <w:color w:val="000099"/>
              </w:rPr>
              <w:t xml:space="preserve">iamond </w:t>
            </w:r>
            <w:r>
              <w:rPr>
                <w:rFonts w:ascii="Calibri" w:hAnsi="Calibri"/>
                <w:b/>
                <w:bCs/>
                <w:color w:val="000099"/>
              </w:rPr>
              <w:t>S</w:t>
            </w:r>
            <w:r w:rsidRPr="00F72F80">
              <w:rPr>
                <w:rFonts w:ascii="Calibri" w:hAnsi="Calibri"/>
                <w:b/>
                <w:bCs/>
                <w:color w:val="000099"/>
              </w:rPr>
              <w:t>aw</w:t>
            </w:r>
            <w:r>
              <w:rPr>
                <w:rFonts w:ascii="Calibri" w:hAnsi="Calibri"/>
                <w:b/>
                <w:bCs/>
                <w:color w:val="000099"/>
              </w:rPr>
              <w:t xml:space="preserve"> –</w:t>
            </w:r>
            <w:r w:rsidRPr="00F72F80">
              <w:rPr>
                <w:rFonts w:ascii="Calibri" w:hAnsi="Calibri"/>
                <w:b/>
                <w:bCs/>
                <w:color w:val="000099"/>
              </w:rPr>
              <w:t xml:space="preserve"> cut injury from the diamond blade</w:t>
            </w:r>
          </w:p>
        </w:tc>
        <w:tc>
          <w:tcPr>
            <w:tcW w:w="1696" w:type="dxa"/>
          </w:tcPr>
          <w:p w14:paraId="4F2D2147" w14:textId="47EC0BEB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 diamond saw user</w:t>
            </w:r>
          </w:p>
        </w:tc>
        <w:tc>
          <w:tcPr>
            <w:tcW w:w="3237" w:type="dxa"/>
            <w:shd w:val="clear" w:color="auto" w:fill="auto"/>
          </w:tcPr>
          <w:p w14:paraId="116270F8" w14:textId="6BE498A5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E5A60">
              <w:rPr>
                <w:rFonts w:ascii="Calibri" w:eastAsia="Times New Roman" w:hAnsi="Calibri" w:cs="Times New Roman"/>
              </w:rPr>
              <w:t>Use the guard provided. Avoid distractions and ask if unsure.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8949B36" w14:textId="729DB80D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E5A60">
              <w:rPr>
                <w:rFonts w:ascii="Calibri" w:eastAsia="Times New Roman" w:hAnsi="Calibri" w:cs="Times New Roman"/>
                <w:b/>
                <w:bCs/>
                <w:color w:val="00B0F0"/>
              </w:rPr>
              <w:t>L</w:t>
            </w:r>
          </w:p>
        </w:tc>
        <w:tc>
          <w:tcPr>
            <w:tcW w:w="2963" w:type="dxa"/>
            <w:shd w:val="clear" w:color="auto" w:fill="auto"/>
          </w:tcPr>
          <w:p w14:paraId="4813142C" w14:textId="28758D16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Training is required for use.</w:t>
            </w:r>
          </w:p>
        </w:tc>
        <w:tc>
          <w:tcPr>
            <w:tcW w:w="1716" w:type="dxa"/>
            <w:shd w:val="clear" w:color="auto" w:fill="auto"/>
          </w:tcPr>
          <w:p w14:paraId="1EF9C69C" w14:textId="46082612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None. Previously trained by Dr Martin Lees prior to use.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F45145A" w14:textId="4B2580D7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</w:rPr>
              <w:t>VL</w:t>
            </w:r>
          </w:p>
        </w:tc>
      </w:tr>
      <w:tr w:rsidR="006F4FD1" w:rsidRPr="006F523D" w14:paraId="34AF756F" w14:textId="77777777" w:rsidTr="00331250">
        <w:trPr>
          <w:cantSplit/>
          <w:trHeight w:val="1020"/>
        </w:trPr>
        <w:tc>
          <w:tcPr>
            <w:tcW w:w="2292" w:type="dxa"/>
            <w:shd w:val="clear" w:color="auto" w:fill="auto"/>
          </w:tcPr>
          <w:p w14:paraId="0508FDDF" w14:textId="3D36F8B9" w:rsidR="006F4FD1" w:rsidRDefault="006F4FD1" w:rsidP="006F4FD1">
            <w:pPr>
              <w:rPr>
                <w:rFonts w:ascii="Calibri" w:hAnsi="Calibri"/>
                <w:b/>
                <w:bCs/>
                <w:color w:val="000099"/>
              </w:rPr>
            </w:pPr>
            <w:r w:rsidRPr="00F72F80">
              <w:rPr>
                <w:rFonts w:ascii="Calibri" w:hAnsi="Calibri"/>
                <w:b/>
                <w:bCs/>
                <w:color w:val="000099"/>
              </w:rPr>
              <w:t xml:space="preserve">Low </w:t>
            </w:r>
            <w:r>
              <w:rPr>
                <w:rFonts w:ascii="Calibri" w:hAnsi="Calibri"/>
                <w:b/>
                <w:bCs/>
                <w:color w:val="000099"/>
              </w:rPr>
              <w:t>S</w:t>
            </w:r>
            <w:r w:rsidRPr="00F72F80">
              <w:rPr>
                <w:rFonts w:ascii="Calibri" w:hAnsi="Calibri"/>
                <w:b/>
                <w:bCs/>
                <w:color w:val="000099"/>
              </w:rPr>
              <w:t xml:space="preserve">peed </w:t>
            </w:r>
            <w:r>
              <w:rPr>
                <w:rFonts w:ascii="Calibri" w:hAnsi="Calibri"/>
                <w:b/>
                <w:bCs/>
                <w:color w:val="000099"/>
              </w:rPr>
              <w:t>D</w:t>
            </w:r>
            <w:r w:rsidRPr="00F72F80">
              <w:rPr>
                <w:rFonts w:ascii="Calibri" w:hAnsi="Calibri"/>
                <w:b/>
                <w:bCs/>
                <w:color w:val="000099"/>
              </w:rPr>
              <w:t xml:space="preserve">iamond </w:t>
            </w:r>
            <w:r>
              <w:rPr>
                <w:rFonts w:ascii="Calibri" w:hAnsi="Calibri"/>
                <w:b/>
                <w:bCs/>
                <w:color w:val="000099"/>
              </w:rPr>
              <w:t>S</w:t>
            </w:r>
            <w:r w:rsidRPr="00F72F80">
              <w:rPr>
                <w:rFonts w:ascii="Calibri" w:hAnsi="Calibri"/>
                <w:b/>
                <w:bCs/>
                <w:color w:val="000099"/>
              </w:rPr>
              <w:t>aw</w:t>
            </w:r>
            <w:r>
              <w:rPr>
                <w:rFonts w:ascii="Calibri" w:hAnsi="Calibri"/>
                <w:b/>
                <w:bCs/>
                <w:color w:val="000099"/>
              </w:rPr>
              <w:t xml:space="preserve"> –</w:t>
            </w:r>
            <w:r w:rsidRPr="00F72F80">
              <w:rPr>
                <w:rFonts w:ascii="Calibri" w:hAnsi="Calibri"/>
                <w:b/>
                <w:bCs/>
                <w:color w:val="000099"/>
              </w:rPr>
              <w:t xml:space="preserve"> burns possible from melting the glue that holds the sample to the holder</w:t>
            </w:r>
          </w:p>
        </w:tc>
        <w:tc>
          <w:tcPr>
            <w:tcW w:w="1696" w:type="dxa"/>
          </w:tcPr>
          <w:p w14:paraId="450017F9" w14:textId="31039696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 diamond saw user</w:t>
            </w:r>
          </w:p>
        </w:tc>
        <w:tc>
          <w:tcPr>
            <w:tcW w:w="3237" w:type="dxa"/>
            <w:shd w:val="clear" w:color="auto" w:fill="auto"/>
          </w:tcPr>
          <w:p w14:paraId="2FA47BA2" w14:textId="3E9464F5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Wear</w:t>
            </w:r>
            <w:r w:rsidRPr="006E5A60">
              <w:rPr>
                <w:rFonts w:ascii="Calibri" w:eastAsia="Times New Roman" w:hAnsi="Calibri" w:cs="Times New Roman"/>
              </w:rPr>
              <w:t xml:space="preserve"> PPE</w:t>
            </w:r>
            <w:r>
              <w:rPr>
                <w:rFonts w:ascii="Calibri" w:eastAsia="Times New Roman" w:hAnsi="Calibri" w:cs="Times New Roman"/>
              </w:rPr>
              <w:t xml:space="preserve"> (lab coat, gloves)</w:t>
            </w:r>
            <w:r w:rsidRPr="006E5A60">
              <w:rPr>
                <w:rFonts w:ascii="Calibri" w:eastAsia="Times New Roman" w:hAnsi="Calibri" w:cs="Times New Roman"/>
              </w:rPr>
              <w:t>. Avoid distractions and ask if unsure.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427B6F7" w14:textId="01C1603B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E5A60">
              <w:rPr>
                <w:rFonts w:ascii="Calibri" w:eastAsia="Times New Roman" w:hAnsi="Calibri" w:cs="Times New Roman"/>
                <w:b/>
                <w:bCs/>
                <w:color w:val="FFC000"/>
              </w:rPr>
              <w:t>M</w:t>
            </w:r>
          </w:p>
        </w:tc>
        <w:tc>
          <w:tcPr>
            <w:tcW w:w="2963" w:type="dxa"/>
            <w:shd w:val="clear" w:color="auto" w:fill="auto"/>
          </w:tcPr>
          <w:p w14:paraId="12A2F5A7" w14:textId="391BA662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Training is required for use.</w:t>
            </w:r>
          </w:p>
        </w:tc>
        <w:tc>
          <w:tcPr>
            <w:tcW w:w="1716" w:type="dxa"/>
            <w:shd w:val="clear" w:color="auto" w:fill="auto"/>
          </w:tcPr>
          <w:p w14:paraId="10B6CBEE" w14:textId="1A531D86" w:rsidR="006F4FD1" w:rsidRDefault="006F4FD1" w:rsidP="006F4F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None. Previously trained by Dr Martin Lees prior to use.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FBA2F25" w14:textId="59642C78" w:rsidR="006F4FD1" w:rsidRPr="00D346F6" w:rsidRDefault="006F4FD1" w:rsidP="006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</w:rPr>
              <w:t>VL</w:t>
            </w:r>
          </w:p>
        </w:tc>
      </w:tr>
    </w:tbl>
    <w:p w14:paraId="4AB8762D" w14:textId="77777777" w:rsidR="009D6A65" w:rsidRPr="00C53A0F" w:rsidRDefault="009D6A65" w:rsidP="00C04697"/>
    <w:p w14:paraId="219A8300" w14:textId="77777777" w:rsidR="00C04697" w:rsidRPr="00307801" w:rsidRDefault="00C04697" w:rsidP="00C04697">
      <w:pPr>
        <w:rPr>
          <w:b/>
          <w:color w:val="000000" w:themeColor="text1"/>
          <w:u w:val="single"/>
        </w:rPr>
      </w:pPr>
      <w:r w:rsidRPr="00307801">
        <w:rPr>
          <w:b/>
          <w:color w:val="000000" w:themeColor="text1"/>
          <w:u w:val="single"/>
        </w:rPr>
        <w:t>Work should not be carried out until the assessment is completed and all required control measures are in place.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3"/>
        <w:gridCol w:w="1134"/>
      </w:tblGrid>
      <w:tr w:rsidR="003D0144" w:rsidRPr="00EE0AB1" w14:paraId="08109D37" w14:textId="77777777" w:rsidTr="00267D13">
        <w:trPr>
          <w:trHeight w:val="284"/>
        </w:trPr>
        <w:tc>
          <w:tcPr>
            <w:tcW w:w="2523" w:type="dxa"/>
            <w:vMerge w:val="restart"/>
          </w:tcPr>
          <w:p w14:paraId="3FA06AFF" w14:textId="77777777" w:rsidR="003D0144" w:rsidRPr="00267D13" w:rsidRDefault="003D0144" w:rsidP="003078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67D13">
              <w:rPr>
                <w:rFonts w:eastAsia="Times New Roman" w:cs="Arial"/>
                <w:b/>
                <w:bCs/>
                <w:szCs w:val="20"/>
              </w:rPr>
              <w:t xml:space="preserve">Overall </w:t>
            </w:r>
            <w:r w:rsidR="00307801" w:rsidRPr="00267D13">
              <w:rPr>
                <w:rFonts w:eastAsia="Times New Roman" w:cs="Arial"/>
                <w:b/>
                <w:bCs/>
                <w:szCs w:val="20"/>
              </w:rPr>
              <w:t xml:space="preserve">Final </w:t>
            </w:r>
            <w:r w:rsidRPr="00267D13">
              <w:rPr>
                <w:rFonts w:eastAsia="Times New Roman" w:cs="Arial"/>
                <w:b/>
                <w:bCs/>
                <w:szCs w:val="20"/>
              </w:rPr>
              <w:t xml:space="preserve">Risk Rating </w:t>
            </w:r>
            <w:r w:rsidRPr="00267D13">
              <w:rPr>
                <w:rFonts w:eastAsia="Times New Roman" w:cs="Arial"/>
                <w:bCs/>
                <w:szCs w:val="20"/>
              </w:rPr>
              <w:t xml:space="preserve">(Highest level </w:t>
            </w:r>
            <w:r w:rsidR="00307801" w:rsidRPr="00267D13">
              <w:rPr>
                <w:rFonts w:eastAsia="Times New Roman" w:cs="Arial"/>
                <w:bCs/>
                <w:szCs w:val="20"/>
              </w:rPr>
              <w:t>in final column above)</w:t>
            </w:r>
          </w:p>
        </w:tc>
        <w:tc>
          <w:tcPr>
            <w:tcW w:w="1134" w:type="dxa"/>
            <w:vMerge w:val="restart"/>
            <w:vAlign w:val="center"/>
          </w:tcPr>
          <w:p w14:paraId="083583DE" w14:textId="616BD348" w:rsidR="003D0144" w:rsidRPr="00EE0AB1" w:rsidRDefault="00D346F6" w:rsidP="0026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  <w:t>L</w:t>
            </w:r>
          </w:p>
        </w:tc>
      </w:tr>
      <w:tr w:rsidR="003D0144" w:rsidRPr="00EE0AB1" w14:paraId="51BBED58" w14:textId="77777777" w:rsidTr="00CF010C">
        <w:trPr>
          <w:trHeight w:val="284"/>
        </w:trPr>
        <w:tc>
          <w:tcPr>
            <w:tcW w:w="2523" w:type="dxa"/>
            <w:vMerge/>
          </w:tcPr>
          <w:p w14:paraId="006BF7FD" w14:textId="77777777" w:rsidR="003D0144" w:rsidRPr="00EE0AB1" w:rsidRDefault="003D0144" w:rsidP="00CF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155071" w14:textId="77777777" w:rsidR="003D0144" w:rsidRPr="00EE0AB1" w:rsidRDefault="003D0144" w:rsidP="00CF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</w:p>
        </w:tc>
      </w:tr>
    </w:tbl>
    <w:p w14:paraId="318D3CA9" w14:textId="77777777" w:rsidR="003D0144" w:rsidRDefault="003D0144" w:rsidP="00C046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992"/>
        <w:gridCol w:w="1134"/>
        <w:gridCol w:w="5844"/>
      </w:tblGrid>
      <w:tr w:rsidR="00C04697" w14:paraId="75B140FF" w14:textId="77777777" w:rsidTr="00C53A0F">
        <w:trPr>
          <w:trHeight w:val="720"/>
        </w:trPr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14:paraId="125CE442" w14:textId="77777777" w:rsidR="00C04697" w:rsidRDefault="00151909" w:rsidP="00CF010C">
            <w:pPr>
              <w:rPr>
                <w:b/>
              </w:rPr>
            </w:pPr>
            <w:r w:rsidRPr="00151909">
              <w:rPr>
                <w:b/>
              </w:rPr>
              <w:t>Additional Comments from Risk Assessor</w:t>
            </w:r>
          </w:p>
          <w:p w14:paraId="10AD68AF" w14:textId="77777777" w:rsidR="00C04697" w:rsidRDefault="00151909" w:rsidP="00C53A0F">
            <w:r>
              <w:t>(e.g. funding or practical implications)</w:t>
            </w:r>
          </w:p>
        </w:tc>
        <w:tc>
          <w:tcPr>
            <w:tcW w:w="7970" w:type="dxa"/>
            <w:gridSpan w:val="3"/>
            <w:tcBorders>
              <w:bottom w:val="single" w:sz="4" w:space="0" w:color="auto"/>
            </w:tcBorders>
          </w:tcPr>
          <w:p w14:paraId="6795B798" w14:textId="009565F9" w:rsidR="00C04697" w:rsidRDefault="00C04697" w:rsidP="00C53A0F"/>
        </w:tc>
      </w:tr>
      <w:tr w:rsidR="00C04697" w14:paraId="345B1BF8" w14:textId="77777777" w:rsidTr="00CF010C">
        <w:tc>
          <w:tcPr>
            <w:tcW w:w="6204" w:type="dxa"/>
            <w:gridSpan w:val="2"/>
            <w:tcBorders>
              <w:left w:val="nil"/>
              <w:right w:val="nil"/>
            </w:tcBorders>
          </w:tcPr>
          <w:p w14:paraId="2C175D5D" w14:textId="77777777" w:rsidR="00C04697" w:rsidRDefault="00C04697" w:rsidP="00CF010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6593D3" w14:textId="77777777" w:rsidR="00C04697" w:rsidRDefault="00C04697" w:rsidP="00CF010C"/>
        </w:tc>
        <w:tc>
          <w:tcPr>
            <w:tcW w:w="1134" w:type="dxa"/>
            <w:tcBorders>
              <w:left w:val="nil"/>
              <w:right w:val="nil"/>
            </w:tcBorders>
          </w:tcPr>
          <w:p w14:paraId="2EE4D3BB" w14:textId="77777777" w:rsidR="00C04697" w:rsidRDefault="00C04697" w:rsidP="00CF010C"/>
        </w:tc>
        <w:tc>
          <w:tcPr>
            <w:tcW w:w="5844" w:type="dxa"/>
            <w:tcBorders>
              <w:left w:val="nil"/>
              <w:right w:val="nil"/>
            </w:tcBorders>
          </w:tcPr>
          <w:p w14:paraId="1B9B6AC1" w14:textId="77777777" w:rsidR="00C04697" w:rsidRDefault="00C04697" w:rsidP="00CF010C"/>
        </w:tc>
      </w:tr>
      <w:tr w:rsidR="00C04697" w14:paraId="7AA91E4B" w14:textId="77777777" w:rsidTr="00C53A0F">
        <w:trPr>
          <w:trHeight w:val="432"/>
        </w:trPr>
        <w:tc>
          <w:tcPr>
            <w:tcW w:w="1668" w:type="dxa"/>
            <w:vAlign w:val="center"/>
          </w:tcPr>
          <w:p w14:paraId="264CD93B" w14:textId="77777777" w:rsidR="00C04697" w:rsidRDefault="00C04697" w:rsidP="00CF010C">
            <w:pPr>
              <w:jc w:val="right"/>
            </w:pPr>
            <w:r>
              <w:t>Approved By</w:t>
            </w:r>
          </w:p>
        </w:tc>
        <w:tc>
          <w:tcPr>
            <w:tcW w:w="4536" w:type="dxa"/>
            <w:vAlign w:val="center"/>
          </w:tcPr>
          <w:p w14:paraId="6D3661A1" w14:textId="23635F6E" w:rsidR="00C04697" w:rsidRDefault="001F585A" w:rsidP="00267D13">
            <w:r>
              <w:t>Prof.</w:t>
            </w:r>
            <w:r w:rsidR="00905EAF">
              <w:t xml:space="preserve"> Martin Lees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A4C5C57" w14:textId="77777777" w:rsidR="00C04697" w:rsidRDefault="00C04697" w:rsidP="00CF010C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7F6360" w14:textId="77777777" w:rsidR="00C04697" w:rsidRDefault="00C04697" w:rsidP="00CF010C">
            <w:pPr>
              <w:jc w:val="right"/>
            </w:pPr>
            <w:r>
              <w:t>Position</w:t>
            </w:r>
          </w:p>
        </w:tc>
        <w:tc>
          <w:tcPr>
            <w:tcW w:w="5844" w:type="dxa"/>
            <w:tcBorders>
              <w:bottom w:val="single" w:sz="4" w:space="0" w:color="auto"/>
            </w:tcBorders>
            <w:vAlign w:val="center"/>
          </w:tcPr>
          <w:p w14:paraId="381437B0" w14:textId="3BFB0236" w:rsidR="00C04697" w:rsidRDefault="00905EAF" w:rsidP="00267D13">
            <w:r>
              <w:t>Supervisor</w:t>
            </w:r>
          </w:p>
        </w:tc>
      </w:tr>
      <w:tr w:rsidR="00C04697" w14:paraId="718E6014" w14:textId="77777777" w:rsidTr="00C53A0F">
        <w:trPr>
          <w:trHeight w:val="432"/>
        </w:trPr>
        <w:tc>
          <w:tcPr>
            <w:tcW w:w="1668" w:type="dxa"/>
            <w:vAlign w:val="center"/>
          </w:tcPr>
          <w:p w14:paraId="44FC2EC3" w14:textId="77777777" w:rsidR="00C04697" w:rsidRDefault="00C04697" w:rsidP="00CF010C">
            <w:pPr>
              <w:jc w:val="right"/>
            </w:pPr>
            <w:r>
              <w:t>Date</w:t>
            </w:r>
          </w:p>
        </w:tc>
        <w:tc>
          <w:tcPr>
            <w:tcW w:w="4536" w:type="dxa"/>
            <w:vAlign w:val="center"/>
          </w:tcPr>
          <w:p w14:paraId="199AD113" w14:textId="39F18C0B" w:rsidR="00C04697" w:rsidRDefault="001F585A" w:rsidP="00267D13">
            <w:r>
              <w:t>13</w:t>
            </w:r>
            <w:r w:rsidR="00905EAF">
              <w:t>/10/202</w:t>
            </w:r>
            <w:r w:rsidR="00890CF3"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63537E65" w14:textId="77777777" w:rsidR="00C04697" w:rsidRDefault="00C04697" w:rsidP="00CF010C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524E740" w14:textId="77777777" w:rsidR="00C04697" w:rsidRDefault="00C04697" w:rsidP="00CF010C"/>
        </w:tc>
        <w:tc>
          <w:tcPr>
            <w:tcW w:w="5844" w:type="dxa"/>
            <w:tcBorders>
              <w:left w:val="nil"/>
              <w:bottom w:val="nil"/>
              <w:right w:val="nil"/>
            </w:tcBorders>
          </w:tcPr>
          <w:p w14:paraId="43C82DB5" w14:textId="77777777" w:rsidR="00C04697" w:rsidRDefault="00C04697" w:rsidP="00CF010C"/>
        </w:tc>
      </w:tr>
    </w:tbl>
    <w:p w14:paraId="7E08CB9C" w14:textId="77777777" w:rsidR="00C04697" w:rsidRDefault="00C04697" w:rsidP="00C04697">
      <w:r w:rsidRPr="00A92CC6">
        <w:t>Please print a copy, sign it and keep for your records</w:t>
      </w:r>
    </w:p>
    <w:p w14:paraId="327812B0" w14:textId="77777777" w:rsidR="00016922" w:rsidRDefault="00016922" w:rsidP="00C046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239"/>
        <w:gridCol w:w="1130"/>
        <w:gridCol w:w="1130"/>
        <w:gridCol w:w="1130"/>
        <w:gridCol w:w="1130"/>
        <w:gridCol w:w="446"/>
        <w:gridCol w:w="1130"/>
        <w:gridCol w:w="5125"/>
      </w:tblGrid>
      <w:tr w:rsidR="00016922" w:rsidRPr="002A1B7D" w14:paraId="5B3CB6BB" w14:textId="77777777" w:rsidTr="008C0BB9">
        <w:trPr>
          <w:trHeight w:val="504"/>
        </w:trPr>
        <w:tc>
          <w:tcPr>
            <w:tcW w:w="1809" w:type="dxa"/>
            <w:shd w:val="clear" w:color="auto" w:fill="D9D9D9"/>
            <w:vAlign w:val="center"/>
          </w:tcPr>
          <w:p w14:paraId="4371BCE2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663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D6806DC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C73799">
              <w:rPr>
                <w:rFonts w:eastAsia="Times New Roman" w:cs="Arial"/>
                <w:b/>
                <w:bCs/>
              </w:rPr>
              <w:t>Severity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C212E" w14:textId="77777777" w:rsidR="00016922" w:rsidRPr="00016922" w:rsidRDefault="00016922" w:rsidP="00016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F1B3E9" w14:textId="77777777" w:rsidR="00016922" w:rsidRPr="002A1B7D" w:rsidRDefault="00016922" w:rsidP="00C7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FAF17" w14:textId="77777777" w:rsidR="00016922" w:rsidRPr="002A1B7D" w:rsidRDefault="00016922" w:rsidP="00C7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Risk Level</w:t>
            </w:r>
          </w:p>
        </w:tc>
      </w:tr>
      <w:tr w:rsidR="00016922" w:rsidRPr="002A1B7D" w14:paraId="23D78D2E" w14:textId="77777777" w:rsidTr="008C0BB9">
        <w:trPr>
          <w:trHeight w:val="554"/>
        </w:trPr>
        <w:tc>
          <w:tcPr>
            <w:tcW w:w="1809" w:type="dxa"/>
            <w:shd w:val="clear" w:color="auto" w:fill="D9D9D9"/>
            <w:vAlign w:val="center"/>
          </w:tcPr>
          <w:p w14:paraId="433B18AC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C73799">
              <w:rPr>
                <w:rFonts w:eastAsia="Times New Roman" w:cs="Arial"/>
                <w:b/>
                <w:bCs/>
              </w:rPr>
              <w:t>Likelihood</w:t>
            </w:r>
          </w:p>
        </w:tc>
        <w:tc>
          <w:tcPr>
            <w:tcW w:w="1239" w:type="dxa"/>
            <w:shd w:val="clear" w:color="auto" w:fill="D9D9D9"/>
            <w:vAlign w:val="center"/>
          </w:tcPr>
          <w:p w14:paraId="4D2E582C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szCs w:val="20"/>
              </w:rPr>
            </w:pPr>
            <w:r w:rsidRPr="00C73799">
              <w:rPr>
                <w:rFonts w:eastAsia="Times New Roman" w:cs="Arial"/>
                <w:bCs/>
                <w:szCs w:val="20"/>
              </w:rPr>
              <w:t>Superficial</w:t>
            </w:r>
          </w:p>
        </w:tc>
        <w:tc>
          <w:tcPr>
            <w:tcW w:w="1106" w:type="dxa"/>
            <w:shd w:val="clear" w:color="auto" w:fill="D9D9D9"/>
            <w:vAlign w:val="center"/>
          </w:tcPr>
          <w:p w14:paraId="05F97A16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szCs w:val="20"/>
              </w:rPr>
            </w:pPr>
            <w:r w:rsidRPr="00C73799">
              <w:rPr>
                <w:rFonts w:eastAsia="Times New Roman" w:cs="Arial"/>
                <w:bCs/>
                <w:szCs w:val="20"/>
              </w:rPr>
              <w:t>Minor</w:t>
            </w:r>
          </w:p>
        </w:tc>
        <w:tc>
          <w:tcPr>
            <w:tcW w:w="1106" w:type="dxa"/>
            <w:shd w:val="clear" w:color="auto" w:fill="D9D9D9"/>
            <w:vAlign w:val="center"/>
          </w:tcPr>
          <w:p w14:paraId="4ECD5943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szCs w:val="20"/>
              </w:rPr>
            </w:pPr>
            <w:r w:rsidRPr="00C73799">
              <w:rPr>
                <w:rFonts w:eastAsia="Times New Roman" w:cs="Arial"/>
                <w:bCs/>
                <w:szCs w:val="20"/>
              </w:rPr>
              <w:t>Serious</w:t>
            </w:r>
          </w:p>
        </w:tc>
        <w:tc>
          <w:tcPr>
            <w:tcW w:w="1106" w:type="dxa"/>
            <w:shd w:val="clear" w:color="auto" w:fill="D9D9D9"/>
            <w:vAlign w:val="center"/>
          </w:tcPr>
          <w:p w14:paraId="36E62CD1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</w:rPr>
            </w:pPr>
            <w:r w:rsidRPr="00C73799">
              <w:rPr>
                <w:rFonts w:eastAsia="Times New Roman" w:cs="Arial"/>
                <w:bCs/>
                <w:szCs w:val="20"/>
              </w:rPr>
              <w:t>Major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75220B9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</w:rPr>
            </w:pPr>
            <w:r w:rsidRPr="00C73799">
              <w:rPr>
                <w:rFonts w:eastAsia="Times New Roman" w:cs="Arial"/>
                <w:bCs/>
                <w:szCs w:val="20"/>
              </w:rPr>
              <w:t>Extreme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E2808" w14:textId="77777777" w:rsidR="00016922" w:rsidRPr="00016922" w:rsidRDefault="00016922" w:rsidP="00CF01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2980A" w14:textId="77777777" w:rsidR="00016922" w:rsidRPr="00016922" w:rsidRDefault="00016922" w:rsidP="00C737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53A0F">
              <w:rPr>
                <w:rFonts w:eastAsia="Times New Roman" w:cs="Arial"/>
                <w:b/>
                <w:bCs/>
                <w:color w:val="008000"/>
                <w:szCs w:val="20"/>
              </w:rPr>
              <w:t>Very low</w:t>
            </w:r>
          </w:p>
        </w:tc>
        <w:tc>
          <w:tcPr>
            <w:tcW w:w="5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5FAF5E" w14:textId="77777777" w:rsidR="00016922" w:rsidRPr="008C0BB9" w:rsidRDefault="00016922" w:rsidP="00C737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0BB9">
              <w:rPr>
                <w:rFonts w:cs="Arial"/>
              </w:rPr>
              <w:t>Acceptable risk - no action required</w:t>
            </w:r>
          </w:p>
        </w:tc>
      </w:tr>
      <w:tr w:rsidR="00016922" w:rsidRPr="002A1B7D" w14:paraId="5E43B76C" w14:textId="77777777" w:rsidTr="008C0BB9">
        <w:trPr>
          <w:trHeight w:val="423"/>
        </w:trPr>
        <w:tc>
          <w:tcPr>
            <w:tcW w:w="1809" w:type="dxa"/>
            <w:shd w:val="clear" w:color="auto" w:fill="D9D9D9"/>
            <w:vAlign w:val="center"/>
          </w:tcPr>
          <w:p w14:paraId="1F4FE3FF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szCs w:val="20"/>
              </w:rPr>
            </w:pPr>
            <w:r w:rsidRPr="00C73799">
              <w:rPr>
                <w:rFonts w:eastAsia="Times New Roman" w:cs="Arial"/>
                <w:bCs/>
                <w:szCs w:val="20"/>
              </w:rPr>
              <w:t>Unlikely</w:t>
            </w:r>
          </w:p>
        </w:tc>
        <w:tc>
          <w:tcPr>
            <w:tcW w:w="1239" w:type="dxa"/>
            <w:vAlign w:val="center"/>
          </w:tcPr>
          <w:p w14:paraId="56EA6FA6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8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008000"/>
                <w:szCs w:val="20"/>
              </w:rPr>
              <w:t>Very low</w:t>
            </w:r>
          </w:p>
        </w:tc>
        <w:tc>
          <w:tcPr>
            <w:tcW w:w="1106" w:type="dxa"/>
            <w:vAlign w:val="center"/>
          </w:tcPr>
          <w:p w14:paraId="7ACA0E1D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8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008000"/>
                <w:szCs w:val="20"/>
              </w:rPr>
              <w:t>Very low</w:t>
            </w:r>
          </w:p>
        </w:tc>
        <w:tc>
          <w:tcPr>
            <w:tcW w:w="1106" w:type="dxa"/>
            <w:vAlign w:val="center"/>
          </w:tcPr>
          <w:p w14:paraId="348C746F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70C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0070C0"/>
                <w:szCs w:val="20"/>
              </w:rPr>
              <w:t>Low</w:t>
            </w:r>
          </w:p>
        </w:tc>
        <w:tc>
          <w:tcPr>
            <w:tcW w:w="1106" w:type="dxa"/>
            <w:vAlign w:val="center"/>
          </w:tcPr>
          <w:p w14:paraId="0B5B9095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70C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0070C0"/>
                <w:szCs w:val="20"/>
              </w:rPr>
              <w:t>Low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52C657D4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C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FFC000"/>
                <w:szCs w:val="20"/>
              </w:rPr>
              <w:t>Moderate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4698" w14:textId="77777777" w:rsidR="00016922" w:rsidRPr="00016922" w:rsidRDefault="00016922" w:rsidP="00CF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70B5023E" w14:textId="77777777" w:rsidR="00016922" w:rsidRPr="008C0BB9" w:rsidRDefault="00016922" w:rsidP="00C7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C0BB9">
              <w:rPr>
                <w:rFonts w:cs="Arial"/>
                <w:b/>
                <w:bCs/>
                <w:color w:val="00B0F0"/>
              </w:rPr>
              <w:t>Low</w:t>
            </w:r>
          </w:p>
        </w:tc>
        <w:tc>
          <w:tcPr>
            <w:tcW w:w="5125" w:type="dxa"/>
            <w:vAlign w:val="center"/>
          </w:tcPr>
          <w:p w14:paraId="6B23FA3C" w14:textId="77777777" w:rsidR="00016922" w:rsidRPr="008C0BB9" w:rsidRDefault="00016922" w:rsidP="00C737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0BB9">
              <w:rPr>
                <w:rFonts w:cs="Arial"/>
              </w:rPr>
              <w:t>Tolerable risk - further control measures not required, but status must be monitored</w:t>
            </w:r>
          </w:p>
        </w:tc>
      </w:tr>
      <w:tr w:rsidR="00016922" w:rsidRPr="00EE0AB1" w14:paraId="4EF55D4C" w14:textId="77777777" w:rsidTr="008C0BB9">
        <w:trPr>
          <w:trHeight w:val="429"/>
        </w:trPr>
        <w:tc>
          <w:tcPr>
            <w:tcW w:w="1809" w:type="dxa"/>
            <w:shd w:val="clear" w:color="auto" w:fill="D9D9D9"/>
            <w:vAlign w:val="center"/>
          </w:tcPr>
          <w:p w14:paraId="66E08C2A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szCs w:val="20"/>
              </w:rPr>
            </w:pPr>
            <w:r w:rsidRPr="00C73799">
              <w:rPr>
                <w:rFonts w:eastAsia="Times New Roman" w:cs="Arial"/>
                <w:bCs/>
                <w:szCs w:val="20"/>
              </w:rPr>
              <w:t>Possible</w:t>
            </w:r>
          </w:p>
        </w:tc>
        <w:tc>
          <w:tcPr>
            <w:tcW w:w="1239" w:type="dxa"/>
            <w:vAlign w:val="center"/>
          </w:tcPr>
          <w:p w14:paraId="4F6E109B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8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008000"/>
                <w:szCs w:val="20"/>
              </w:rPr>
              <w:t>Very low</w:t>
            </w:r>
          </w:p>
        </w:tc>
        <w:tc>
          <w:tcPr>
            <w:tcW w:w="1106" w:type="dxa"/>
            <w:vAlign w:val="center"/>
          </w:tcPr>
          <w:p w14:paraId="4C7FF2FC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70C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0070C0"/>
                <w:szCs w:val="20"/>
              </w:rPr>
              <w:t>Low</w:t>
            </w:r>
          </w:p>
        </w:tc>
        <w:tc>
          <w:tcPr>
            <w:tcW w:w="1106" w:type="dxa"/>
            <w:vAlign w:val="center"/>
          </w:tcPr>
          <w:p w14:paraId="63997DDE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70C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0070C0"/>
                <w:szCs w:val="20"/>
              </w:rPr>
              <w:t>Low</w:t>
            </w:r>
          </w:p>
        </w:tc>
        <w:tc>
          <w:tcPr>
            <w:tcW w:w="1106" w:type="dxa"/>
            <w:vAlign w:val="center"/>
          </w:tcPr>
          <w:p w14:paraId="127EA310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C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FFC000"/>
                <w:szCs w:val="20"/>
              </w:rPr>
              <w:t>Moderate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1F42687E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538135" w:themeColor="accent6" w:themeShade="BF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ED7D31" w:themeColor="accent2"/>
                <w:szCs w:val="20"/>
              </w:rPr>
              <w:t>High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F6EC8" w14:textId="77777777" w:rsidR="00016922" w:rsidRPr="00016922" w:rsidRDefault="00016922" w:rsidP="00CF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5239D3A9" w14:textId="77777777" w:rsidR="00016922" w:rsidRPr="008C0BB9" w:rsidRDefault="00016922" w:rsidP="00C7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20"/>
                <w:szCs w:val="20"/>
              </w:rPr>
            </w:pPr>
            <w:r w:rsidRPr="008C0BB9">
              <w:rPr>
                <w:rFonts w:cs="Arial"/>
                <w:b/>
                <w:bCs/>
                <w:color w:val="FFC000" w:themeColor="accent4"/>
              </w:rPr>
              <w:t>Moderate</w:t>
            </w:r>
          </w:p>
        </w:tc>
        <w:tc>
          <w:tcPr>
            <w:tcW w:w="5125" w:type="dxa"/>
            <w:vAlign w:val="center"/>
          </w:tcPr>
          <w:p w14:paraId="0F79CE8B" w14:textId="77777777" w:rsidR="00016922" w:rsidRPr="008C0BB9" w:rsidRDefault="00016922" w:rsidP="00C737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0BB9">
              <w:rPr>
                <w:rFonts w:cs="Arial"/>
              </w:rPr>
              <w:t>Further control measures required to reduce risk as far as is reasonably practical</w:t>
            </w:r>
          </w:p>
        </w:tc>
      </w:tr>
      <w:tr w:rsidR="00016922" w:rsidRPr="002A1B7D" w14:paraId="11840FEA" w14:textId="77777777" w:rsidTr="008C0BB9">
        <w:trPr>
          <w:trHeight w:val="531"/>
        </w:trPr>
        <w:tc>
          <w:tcPr>
            <w:tcW w:w="1809" w:type="dxa"/>
            <w:shd w:val="clear" w:color="auto" w:fill="D9D9D9"/>
            <w:vAlign w:val="center"/>
          </w:tcPr>
          <w:p w14:paraId="36090C4B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</w:rPr>
            </w:pPr>
            <w:r w:rsidRPr="00C73799">
              <w:rPr>
                <w:rFonts w:eastAsia="Times New Roman" w:cs="Arial"/>
                <w:bCs/>
                <w:szCs w:val="20"/>
              </w:rPr>
              <w:t>Likely</w:t>
            </w:r>
          </w:p>
        </w:tc>
        <w:tc>
          <w:tcPr>
            <w:tcW w:w="1239" w:type="dxa"/>
            <w:vAlign w:val="center"/>
          </w:tcPr>
          <w:p w14:paraId="1429715D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70C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0070C0"/>
                <w:szCs w:val="20"/>
              </w:rPr>
              <w:t>Low</w:t>
            </w:r>
          </w:p>
        </w:tc>
        <w:tc>
          <w:tcPr>
            <w:tcW w:w="1106" w:type="dxa"/>
            <w:vAlign w:val="center"/>
          </w:tcPr>
          <w:p w14:paraId="14EEC7A4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70C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0070C0"/>
                <w:szCs w:val="20"/>
              </w:rPr>
              <w:t>Low</w:t>
            </w:r>
          </w:p>
        </w:tc>
        <w:tc>
          <w:tcPr>
            <w:tcW w:w="1106" w:type="dxa"/>
            <w:vAlign w:val="center"/>
          </w:tcPr>
          <w:p w14:paraId="276DA3AA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C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FFC000"/>
                <w:szCs w:val="20"/>
              </w:rPr>
              <w:t>Moderate</w:t>
            </w:r>
          </w:p>
        </w:tc>
        <w:tc>
          <w:tcPr>
            <w:tcW w:w="1106" w:type="dxa"/>
            <w:vAlign w:val="center"/>
          </w:tcPr>
          <w:p w14:paraId="342C765E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E36C0A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ED7D31" w:themeColor="accent2"/>
                <w:szCs w:val="20"/>
              </w:rPr>
              <w:t>High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28C5C42C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B00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B00000"/>
                <w:szCs w:val="20"/>
              </w:rPr>
              <w:t>Very high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3A586" w14:textId="77777777" w:rsidR="00016922" w:rsidRPr="00016922" w:rsidRDefault="00016922" w:rsidP="00CF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F1E1D8" w14:textId="77777777" w:rsidR="00016922" w:rsidRPr="008C0BB9" w:rsidRDefault="00016922" w:rsidP="00C7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7D31" w:themeColor="accent2"/>
                <w:sz w:val="20"/>
                <w:szCs w:val="20"/>
              </w:rPr>
            </w:pPr>
            <w:r w:rsidRPr="008C0BB9">
              <w:rPr>
                <w:rFonts w:cs="Arial"/>
                <w:b/>
                <w:bCs/>
                <w:color w:val="ED7D31" w:themeColor="accent2"/>
              </w:rPr>
              <w:t>High</w:t>
            </w:r>
          </w:p>
        </w:tc>
        <w:tc>
          <w:tcPr>
            <w:tcW w:w="5125" w:type="dxa"/>
            <w:tcBorders>
              <w:bottom w:val="single" w:sz="4" w:space="0" w:color="auto"/>
            </w:tcBorders>
            <w:vAlign w:val="center"/>
          </w:tcPr>
          <w:p w14:paraId="1E71DEFB" w14:textId="77777777" w:rsidR="00016922" w:rsidRPr="008C0BB9" w:rsidRDefault="00016922" w:rsidP="00C737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0BB9">
              <w:rPr>
                <w:rFonts w:cs="Arial"/>
              </w:rPr>
              <w:t>Urgent action required to allow activity to continue</w:t>
            </w:r>
          </w:p>
        </w:tc>
      </w:tr>
      <w:tr w:rsidR="00016922" w:rsidRPr="002A1B7D" w14:paraId="7F7B285E" w14:textId="77777777" w:rsidTr="008C0BB9">
        <w:trPr>
          <w:trHeight w:val="284"/>
        </w:trPr>
        <w:tc>
          <w:tcPr>
            <w:tcW w:w="1809" w:type="dxa"/>
            <w:shd w:val="clear" w:color="auto" w:fill="D9D9D9"/>
            <w:vAlign w:val="center"/>
          </w:tcPr>
          <w:p w14:paraId="1263377D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szCs w:val="20"/>
              </w:rPr>
            </w:pPr>
            <w:r w:rsidRPr="00C73799">
              <w:rPr>
                <w:rFonts w:eastAsia="Times New Roman" w:cs="Arial"/>
                <w:bCs/>
                <w:szCs w:val="20"/>
              </w:rPr>
              <w:t>Very likely</w:t>
            </w:r>
          </w:p>
        </w:tc>
        <w:tc>
          <w:tcPr>
            <w:tcW w:w="1239" w:type="dxa"/>
            <w:vAlign w:val="center"/>
          </w:tcPr>
          <w:p w14:paraId="035461B9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70C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0070C0"/>
                <w:szCs w:val="20"/>
              </w:rPr>
              <w:t>Low</w:t>
            </w:r>
          </w:p>
        </w:tc>
        <w:tc>
          <w:tcPr>
            <w:tcW w:w="1106" w:type="dxa"/>
            <w:vAlign w:val="center"/>
          </w:tcPr>
          <w:p w14:paraId="5735A93B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C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FFC000"/>
                <w:szCs w:val="20"/>
              </w:rPr>
              <w:t>Moderate</w:t>
            </w:r>
          </w:p>
        </w:tc>
        <w:tc>
          <w:tcPr>
            <w:tcW w:w="1106" w:type="dxa"/>
            <w:vAlign w:val="center"/>
          </w:tcPr>
          <w:p w14:paraId="40AA3106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E36C0A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ED7D31" w:themeColor="accent2"/>
                <w:szCs w:val="20"/>
              </w:rPr>
              <w:t>High</w:t>
            </w:r>
          </w:p>
        </w:tc>
        <w:tc>
          <w:tcPr>
            <w:tcW w:w="1106" w:type="dxa"/>
            <w:vAlign w:val="center"/>
          </w:tcPr>
          <w:p w14:paraId="5C2795EF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B00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B00000"/>
                <w:szCs w:val="20"/>
              </w:rPr>
              <w:t>Very high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75AFDB18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B00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B00000"/>
                <w:szCs w:val="20"/>
              </w:rPr>
              <w:t>Very high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2FC9" w14:textId="77777777" w:rsidR="00016922" w:rsidRPr="00016922" w:rsidRDefault="00016922" w:rsidP="00CF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B72CD5" w14:textId="77777777" w:rsidR="00016922" w:rsidRPr="00EE0AB1" w:rsidRDefault="00016922" w:rsidP="00C7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C53A0F">
              <w:rPr>
                <w:rFonts w:eastAsia="Times New Roman" w:cs="Arial"/>
                <w:b/>
                <w:bCs/>
                <w:color w:val="B00000"/>
                <w:szCs w:val="20"/>
              </w:rPr>
              <w:t>Very high</w:t>
            </w:r>
          </w:p>
        </w:tc>
        <w:tc>
          <w:tcPr>
            <w:tcW w:w="5125" w:type="dxa"/>
            <w:tcBorders>
              <w:bottom w:val="single" w:sz="4" w:space="0" w:color="auto"/>
            </w:tcBorders>
            <w:vAlign w:val="center"/>
          </w:tcPr>
          <w:p w14:paraId="763F8FC3" w14:textId="77777777" w:rsidR="00016922" w:rsidRPr="008C0BB9" w:rsidRDefault="00016922" w:rsidP="00C737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0BB9">
              <w:rPr>
                <w:rFonts w:cs="Arial"/>
              </w:rPr>
              <w:t>Risk intolerable - activity must cease until the risk has been reduced</w:t>
            </w:r>
          </w:p>
        </w:tc>
      </w:tr>
      <w:tr w:rsidR="00016922" w:rsidRPr="002A1B7D" w14:paraId="6C60F08F" w14:textId="77777777" w:rsidTr="008C0BB9">
        <w:trPr>
          <w:trHeight w:val="575"/>
        </w:trPr>
        <w:tc>
          <w:tcPr>
            <w:tcW w:w="1809" w:type="dxa"/>
            <w:shd w:val="clear" w:color="auto" w:fill="D9D9D9"/>
            <w:vAlign w:val="center"/>
          </w:tcPr>
          <w:p w14:paraId="32C89A28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szCs w:val="20"/>
              </w:rPr>
            </w:pPr>
            <w:r w:rsidRPr="00C73799">
              <w:rPr>
                <w:rFonts w:eastAsia="Times New Roman" w:cs="Arial"/>
                <w:bCs/>
                <w:szCs w:val="20"/>
              </w:rPr>
              <w:t>Extremely likely</w:t>
            </w:r>
          </w:p>
        </w:tc>
        <w:tc>
          <w:tcPr>
            <w:tcW w:w="1239" w:type="dxa"/>
            <w:vAlign w:val="center"/>
          </w:tcPr>
          <w:p w14:paraId="54CEBBAF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C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FFC000"/>
                <w:szCs w:val="20"/>
              </w:rPr>
              <w:t>Moderate</w:t>
            </w:r>
          </w:p>
        </w:tc>
        <w:tc>
          <w:tcPr>
            <w:tcW w:w="1106" w:type="dxa"/>
            <w:vAlign w:val="center"/>
          </w:tcPr>
          <w:p w14:paraId="1A030989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68B32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ED7D31" w:themeColor="accent2"/>
                <w:szCs w:val="20"/>
              </w:rPr>
              <w:t>High</w:t>
            </w:r>
          </w:p>
        </w:tc>
        <w:tc>
          <w:tcPr>
            <w:tcW w:w="1106" w:type="dxa"/>
            <w:vAlign w:val="center"/>
          </w:tcPr>
          <w:p w14:paraId="019181E6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B00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B00000"/>
                <w:szCs w:val="20"/>
              </w:rPr>
              <w:t>Very high</w:t>
            </w:r>
          </w:p>
        </w:tc>
        <w:tc>
          <w:tcPr>
            <w:tcW w:w="1106" w:type="dxa"/>
            <w:vAlign w:val="center"/>
          </w:tcPr>
          <w:p w14:paraId="4630FFB7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B00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B00000"/>
                <w:szCs w:val="20"/>
              </w:rPr>
              <w:t>Very high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60CEDAEF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B00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B00000"/>
                <w:szCs w:val="20"/>
              </w:rPr>
              <w:t>Very high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1E4C1" w14:textId="77777777" w:rsidR="00016922" w:rsidRPr="00016922" w:rsidRDefault="00016922" w:rsidP="00016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1A977" w14:textId="77777777" w:rsidR="00016922" w:rsidRPr="00C53A0F" w:rsidRDefault="00016922" w:rsidP="000169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EFCB0" w14:textId="77777777" w:rsidR="00016922" w:rsidRPr="00C53A0F" w:rsidRDefault="00016922" w:rsidP="000169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5DF98B45" w14:textId="77777777" w:rsidR="00DF6251" w:rsidRPr="00C73799" w:rsidRDefault="00C04697" w:rsidP="00C73799">
      <w:r w:rsidRPr="00307801">
        <w:t>See ‘</w:t>
      </w:r>
      <w:hyperlink r:id="rId15" w:history="1">
        <w:r w:rsidRPr="0042711D">
          <w:rPr>
            <w:rStyle w:val="Hyperlink"/>
          </w:rPr>
          <w:t>Matrix for risk evaluation</w:t>
        </w:r>
      </w:hyperlink>
      <w:r w:rsidRPr="00307801">
        <w:t>’ for further guidance.</w:t>
      </w:r>
    </w:p>
    <w:sectPr w:rsidR="00DF6251" w:rsidRPr="00C73799" w:rsidSect="009D6A65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1334" w:right="1080" w:bottom="1440" w:left="1080" w:header="0" w:footer="1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4530" w14:textId="77777777" w:rsidR="002F7108" w:rsidRDefault="002F7108" w:rsidP="00B25957">
      <w:pPr>
        <w:spacing w:after="0" w:line="240" w:lineRule="auto"/>
      </w:pPr>
      <w:r>
        <w:separator/>
      </w:r>
    </w:p>
  </w:endnote>
  <w:endnote w:type="continuationSeparator" w:id="0">
    <w:p w14:paraId="1223DC8E" w14:textId="77777777" w:rsidR="002F7108" w:rsidRDefault="002F7108" w:rsidP="00B2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593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A487A" w14:textId="77777777" w:rsidR="00C73799" w:rsidRDefault="00C737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7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DB534D" w14:textId="77777777" w:rsidR="00C73799" w:rsidRDefault="00C73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2A71" w14:textId="77777777" w:rsidR="00C73799" w:rsidRDefault="00C73799" w:rsidP="00E12A81">
    <w:pPr>
      <w:pStyle w:val="Footer"/>
      <w:pBdr>
        <w:top w:val="single" w:sz="4" w:space="1" w:color="auto"/>
      </w:pBdr>
      <w:rPr>
        <w:sz w:val="20"/>
      </w:rPr>
    </w:pPr>
    <w:r w:rsidRPr="00E12A81">
      <w:rPr>
        <w:sz w:val="20"/>
      </w:rPr>
      <w:fldChar w:fldCharType="begin"/>
    </w:r>
    <w:r w:rsidRPr="00E12A81">
      <w:rPr>
        <w:sz w:val="20"/>
      </w:rPr>
      <w:instrText xml:space="preserve"> FILENAME   \* MERGEFORMAT </w:instrText>
    </w:r>
    <w:r w:rsidRPr="00E12A81">
      <w:rPr>
        <w:sz w:val="20"/>
      </w:rPr>
      <w:fldChar w:fldCharType="separate"/>
    </w:r>
    <w:r w:rsidR="00601912">
      <w:rPr>
        <w:noProof/>
        <w:sz w:val="20"/>
      </w:rPr>
      <w:t>risk_assessment_form_v4_22_09_17</w:t>
    </w:r>
    <w:r w:rsidRPr="00E12A81">
      <w:rPr>
        <w:sz w:val="20"/>
      </w:rPr>
      <w:fldChar w:fldCharType="end"/>
    </w:r>
  </w:p>
  <w:p w14:paraId="4451E1D4" w14:textId="77777777" w:rsidR="00C73799" w:rsidRDefault="00C73799" w:rsidP="00E12A81">
    <w:pPr>
      <w:pStyle w:val="Footer"/>
      <w:pBdr>
        <w:top w:val="single" w:sz="4" w:space="1" w:color="auto"/>
      </w:pBdr>
      <w:rPr>
        <w:sz w:val="20"/>
      </w:rPr>
    </w:pPr>
  </w:p>
  <w:p w14:paraId="14516560" w14:textId="77777777" w:rsidR="00C73799" w:rsidRPr="00E12A81" w:rsidRDefault="00C73799" w:rsidP="00E12A81">
    <w:pPr>
      <w:pStyle w:val="Footer"/>
      <w:pBdr>
        <w:top w:val="single" w:sz="4" w:space="1" w:color="auto"/>
      </w:pBdr>
      <w:rPr>
        <w:sz w:val="20"/>
      </w:rPr>
    </w:pPr>
    <w:r w:rsidRPr="00E12A81">
      <w:rPr>
        <w:sz w:val="20"/>
      </w:rPr>
      <w:ptab w:relativeTo="margin" w:alignment="center" w:leader="none"/>
    </w:r>
    <w:r w:rsidRPr="00E12A81">
      <w:rPr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ACCA" w14:textId="77777777" w:rsidR="002F7108" w:rsidRDefault="002F7108" w:rsidP="00B25957">
      <w:pPr>
        <w:spacing w:after="0" w:line="240" w:lineRule="auto"/>
      </w:pPr>
      <w:r>
        <w:separator/>
      </w:r>
    </w:p>
  </w:footnote>
  <w:footnote w:type="continuationSeparator" w:id="0">
    <w:p w14:paraId="08EF83F4" w14:textId="77777777" w:rsidR="002F7108" w:rsidRDefault="002F7108" w:rsidP="00B2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26913"/>
      <w:docPartObj>
        <w:docPartGallery w:val="Cover Pages"/>
        <w:docPartUnique/>
      </w:docPartObj>
    </w:sdtPr>
    <w:sdtEndPr>
      <w:rPr>
        <w:rFonts w:ascii="Arial" w:hAnsi="Arial" w:cs="Arial"/>
        <w:b/>
        <w:color w:val="7030A0"/>
        <w:sz w:val="28"/>
        <w:szCs w:val="24"/>
      </w:rPr>
    </w:sdtEndPr>
    <w:sdtContent>
      <w:p w14:paraId="2AD453B7" w14:textId="77777777" w:rsidR="00C73799" w:rsidRDefault="00C73799" w:rsidP="003D0144"/>
      <w:p w14:paraId="2E9C6843" w14:textId="77777777" w:rsidR="00C73799" w:rsidRPr="003D0144" w:rsidRDefault="00C73799" w:rsidP="003D0144">
        <w:pPr>
          <w:rPr>
            <w:rFonts w:ascii="Arial" w:hAnsi="Arial" w:cs="Arial"/>
            <w:b/>
            <w:color w:val="7030A0"/>
            <w:sz w:val="28"/>
            <w:szCs w:val="24"/>
          </w:rPr>
        </w:pPr>
        <w:r>
          <w:rPr>
            <w:b/>
            <w:color w:val="7030A0"/>
            <w:sz w:val="24"/>
          </w:rPr>
          <w:t>University of Warwick R</w:t>
        </w:r>
        <w:r w:rsidRPr="003D0144">
          <w:rPr>
            <w:b/>
            <w:color w:val="7030A0"/>
            <w:sz w:val="24"/>
          </w:rPr>
          <w:t xml:space="preserve">isk Assessment Form </w:t>
        </w:r>
      </w:p>
    </w:sdtContent>
  </w:sdt>
  <w:p w14:paraId="4158AD31" w14:textId="77777777" w:rsidR="00C73799" w:rsidRDefault="00C73799" w:rsidP="00B25957">
    <w:pPr>
      <w:pStyle w:val="Header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FB06" w14:textId="77777777" w:rsidR="00C73799" w:rsidRDefault="00C73799" w:rsidP="005C092B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67E3E8A0" wp14:editId="2D60415B">
          <wp:extent cx="10906125" cy="1428750"/>
          <wp:effectExtent l="0" t="0" r="9525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3663" cy="1446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E73"/>
    <w:multiLevelType w:val="hybridMultilevel"/>
    <w:tmpl w:val="3AF4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42A1"/>
    <w:multiLevelType w:val="multilevel"/>
    <w:tmpl w:val="FB2C5E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936E4"/>
    <w:multiLevelType w:val="hybridMultilevel"/>
    <w:tmpl w:val="2410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60E14"/>
    <w:multiLevelType w:val="hybridMultilevel"/>
    <w:tmpl w:val="ECD06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83BF0"/>
    <w:multiLevelType w:val="hybridMultilevel"/>
    <w:tmpl w:val="30F6D8C4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D3840EA"/>
    <w:multiLevelType w:val="hybridMultilevel"/>
    <w:tmpl w:val="2952AEC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97F0E"/>
    <w:multiLevelType w:val="hybridMultilevel"/>
    <w:tmpl w:val="149E35AA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3EC134F4"/>
    <w:multiLevelType w:val="multilevel"/>
    <w:tmpl w:val="FB2C5E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AE42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85617E"/>
    <w:multiLevelType w:val="hybridMultilevel"/>
    <w:tmpl w:val="ED768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52575D"/>
    <w:multiLevelType w:val="hybridMultilevel"/>
    <w:tmpl w:val="C7AA3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84711"/>
    <w:multiLevelType w:val="multilevel"/>
    <w:tmpl w:val="3FDAED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C714555"/>
    <w:multiLevelType w:val="hybridMultilevel"/>
    <w:tmpl w:val="17B83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439F8"/>
    <w:multiLevelType w:val="multilevel"/>
    <w:tmpl w:val="EB164E6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4446C90"/>
    <w:multiLevelType w:val="hybridMultilevel"/>
    <w:tmpl w:val="47CE351C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160594"/>
    <w:multiLevelType w:val="hybridMultilevel"/>
    <w:tmpl w:val="6B42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042AD"/>
    <w:multiLevelType w:val="hybridMultilevel"/>
    <w:tmpl w:val="5016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D793F"/>
    <w:multiLevelType w:val="hybridMultilevel"/>
    <w:tmpl w:val="4AFAB8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1C1954"/>
    <w:multiLevelType w:val="hybridMultilevel"/>
    <w:tmpl w:val="6F94FB8E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27B4E51"/>
    <w:multiLevelType w:val="hybridMultilevel"/>
    <w:tmpl w:val="095A3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6063B"/>
    <w:multiLevelType w:val="hybridMultilevel"/>
    <w:tmpl w:val="130C0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04AAE"/>
    <w:multiLevelType w:val="hybridMultilevel"/>
    <w:tmpl w:val="071E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9"/>
  </w:num>
  <w:num w:numId="5">
    <w:abstractNumId w:val="20"/>
  </w:num>
  <w:num w:numId="6">
    <w:abstractNumId w:val="21"/>
  </w:num>
  <w:num w:numId="7">
    <w:abstractNumId w:val="5"/>
  </w:num>
  <w:num w:numId="8">
    <w:abstractNumId w:val="8"/>
  </w:num>
  <w:num w:numId="9">
    <w:abstractNumId w:val="9"/>
  </w:num>
  <w:num w:numId="10">
    <w:abstractNumId w:val="16"/>
  </w:num>
  <w:num w:numId="11">
    <w:abstractNumId w:val="0"/>
  </w:num>
  <w:num w:numId="12">
    <w:abstractNumId w:val="2"/>
  </w:num>
  <w:num w:numId="13">
    <w:abstractNumId w:val="15"/>
  </w:num>
  <w:num w:numId="14">
    <w:abstractNumId w:val="10"/>
  </w:num>
  <w:num w:numId="15">
    <w:abstractNumId w:val="1"/>
  </w:num>
  <w:num w:numId="16">
    <w:abstractNumId w:val="18"/>
  </w:num>
  <w:num w:numId="17">
    <w:abstractNumId w:val="3"/>
  </w:num>
  <w:num w:numId="18">
    <w:abstractNumId w:val="6"/>
  </w:num>
  <w:num w:numId="19">
    <w:abstractNumId w:val="4"/>
  </w:num>
  <w:num w:numId="20">
    <w:abstractNumId w:val="12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97"/>
    <w:rsid w:val="00016922"/>
    <w:rsid w:val="000205B1"/>
    <w:rsid w:val="000400E8"/>
    <w:rsid w:val="00046832"/>
    <w:rsid w:val="000B2821"/>
    <w:rsid w:val="000B471B"/>
    <w:rsid w:val="000B59CB"/>
    <w:rsid w:val="000C58E2"/>
    <w:rsid w:val="000E0EC6"/>
    <w:rsid w:val="00105AE2"/>
    <w:rsid w:val="001373EF"/>
    <w:rsid w:val="00143DEE"/>
    <w:rsid w:val="001454A9"/>
    <w:rsid w:val="00151909"/>
    <w:rsid w:val="001538B2"/>
    <w:rsid w:val="00154A28"/>
    <w:rsid w:val="001558AD"/>
    <w:rsid w:val="0016147D"/>
    <w:rsid w:val="00173345"/>
    <w:rsid w:val="00175E67"/>
    <w:rsid w:val="00176244"/>
    <w:rsid w:val="001D092C"/>
    <w:rsid w:val="001F585A"/>
    <w:rsid w:val="001F6716"/>
    <w:rsid w:val="002011BC"/>
    <w:rsid w:val="00236354"/>
    <w:rsid w:val="00237300"/>
    <w:rsid w:val="00241747"/>
    <w:rsid w:val="0026296D"/>
    <w:rsid w:val="00267D13"/>
    <w:rsid w:val="00274719"/>
    <w:rsid w:val="00285279"/>
    <w:rsid w:val="00286CB2"/>
    <w:rsid w:val="002A3A73"/>
    <w:rsid w:val="002A563F"/>
    <w:rsid w:val="002C08B5"/>
    <w:rsid w:val="002F3CA4"/>
    <w:rsid w:val="002F4C4C"/>
    <w:rsid w:val="002F7108"/>
    <w:rsid w:val="00301B8B"/>
    <w:rsid w:val="00303B86"/>
    <w:rsid w:val="003045CA"/>
    <w:rsid w:val="00307801"/>
    <w:rsid w:val="0031677D"/>
    <w:rsid w:val="00331250"/>
    <w:rsid w:val="00363A4C"/>
    <w:rsid w:val="00376251"/>
    <w:rsid w:val="00381F82"/>
    <w:rsid w:val="00382413"/>
    <w:rsid w:val="00384BE9"/>
    <w:rsid w:val="00385E3E"/>
    <w:rsid w:val="00397D4C"/>
    <w:rsid w:val="003A21D8"/>
    <w:rsid w:val="003A5861"/>
    <w:rsid w:val="003C0389"/>
    <w:rsid w:val="003C4085"/>
    <w:rsid w:val="003D0144"/>
    <w:rsid w:val="003D2BC6"/>
    <w:rsid w:val="003E0F56"/>
    <w:rsid w:val="00400BFC"/>
    <w:rsid w:val="0042711D"/>
    <w:rsid w:val="004413F4"/>
    <w:rsid w:val="0046142E"/>
    <w:rsid w:val="00482907"/>
    <w:rsid w:val="004B757E"/>
    <w:rsid w:val="004D1316"/>
    <w:rsid w:val="004E3B9A"/>
    <w:rsid w:val="004E5238"/>
    <w:rsid w:val="004F4E75"/>
    <w:rsid w:val="00505409"/>
    <w:rsid w:val="00512ECC"/>
    <w:rsid w:val="00520766"/>
    <w:rsid w:val="00532C19"/>
    <w:rsid w:val="00534574"/>
    <w:rsid w:val="005969F2"/>
    <w:rsid w:val="005A2ED7"/>
    <w:rsid w:val="005A7FD0"/>
    <w:rsid w:val="005B0775"/>
    <w:rsid w:val="005B38A1"/>
    <w:rsid w:val="005B508E"/>
    <w:rsid w:val="005C092B"/>
    <w:rsid w:val="005C176C"/>
    <w:rsid w:val="005E40E4"/>
    <w:rsid w:val="00601912"/>
    <w:rsid w:val="006118FC"/>
    <w:rsid w:val="006902E1"/>
    <w:rsid w:val="006958B5"/>
    <w:rsid w:val="006B0388"/>
    <w:rsid w:val="006B197A"/>
    <w:rsid w:val="006E181F"/>
    <w:rsid w:val="006E5A60"/>
    <w:rsid w:val="006F4FD1"/>
    <w:rsid w:val="00707ACD"/>
    <w:rsid w:val="00716829"/>
    <w:rsid w:val="0073521E"/>
    <w:rsid w:val="0075014A"/>
    <w:rsid w:val="0075211E"/>
    <w:rsid w:val="007674BE"/>
    <w:rsid w:val="00771511"/>
    <w:rsid w:val="00774DF4"/>
    <w:rsid w:val="00777818"/>
    <w:rsid w:val="00796676"/>
    <w:rsid w:val="007C04FE"/>
    <w:rsid w:val="007F24AD"/>
    <w:rsid w:val="007F3729"/>
    <w:rsid w:val="007F4370"/>
    <w:rsid w:val="007F61E9"/>
    <w:rsid w:val="007F75D8"/>
    <w:rsid w:val="00810FA3"/>
    <w:rsid w:val="00815905"/>
    <w:rsid w:val="00815D46"/>
    <w:rsid w:val="008209C4"/>
    <w:rsid w:val="008215B8"/>
    <w:rsid w:val="00837B67"/>
    <w:rsid w:val="008431E8"/>
    <w:rsid w:val="0084593F"/>
    <w:rsid w:val="00861C82"/>
    <w:rsid w:val="008632E4"/>
    <w:rsid w:val="008730DA"/>
    <w:rsid w:val="00874129"/>
    <w:rsid w:val="008810F3"/>
    <w:rsid w:val="008828B4"/>
    <w:rsid w:val="00890CF3"/>
    <w:rsid w:val="008A67C4"/>
    <w:rsid w:val="008C0BB9"/>
    <w:rsid w:val="008D2348"/>
    <w:rsid w:val="008F3ADC"/>
    <w:rsid w:val="00905EAF"/>
    <w:rsid w:val="00910541"/>
    <w:rsid w:val="00915EE3"/>
    <w:rsid w:val="00984F4F"/>
    <w:rsid w:val="009878E3"/>
    <w:rsid w:val="009903B5"/>
    <w:rsid w:val="00992C55"/>
    <w:rsid w:val="009930C5"/>
    <w:rsid w:val="009A1130"/>
    <w:rsid w:val="009B0500"/>
    <w:rsid w:val="009B6021"/>
    <w:rsid w:val="009D06DA"/>
    <w:rsid w:val="009D6A65"/>
    <w:rsid w:val="009E2528"/>
    <w:rsid w:val="009E2773"/>
    <w:rsid w:val="009E584E"/>
    <w:rsid w:val="009F4543"/>
    <w:rsid w:val="00A034F9"/>
    <w:rsid w:val="00A1496F"/>
    <w:rsid w:val="00A16B0D"/>
    <w:rsid w:val="00A2690B"/>
    <w:rsid w:val="00A31F03"/>
    <w:rsid w:val="00A60835"/>
    <w:rsid w:val="00A812F4"/>
    <w:rsid w:val="00A863EA"/>
    <w:rsid w:val="00A93FBA"/>
    <w:rsid w:val="00A952A1"/>
    <w:rsid w:val="00AB68AA"/>
    <w:rsid w:val="00AF59B0"/>
    <w:rsid w:val="00B256B8"/>
    <w:rsid w:val="00B25957"/>
    <w:rsid w:val="00B44238"/>
    <w:rsid w:val="00B560A4"/>
    <w:rsid w:val="00B907F3"/>
    <w:rsid w:val="00B96851"/>
    <w:rsid w:val="00BC061C"/>
    <w:rsid w:val="00C04697"/>
    <w:rsid w:val="00C112D0"/>
    <w:rsid w:val="00C151CD"/>
    <w:rsid w:val="00C20FE5"/>
    <w:rsid w:val="00C26A86"/>
    <w:rsid w:val="00C334DD"/>
    <w:rsid w:val="00C36526"/>
    <w:rsid w:val="00C457DE"/>
    <w:rsid w:val="00C53A0F"/>
    <w:rsid w:val="00C73799"/>
    <w:rsid w:val="00C946E3"/>
    <w:rsid w:val="00CA3E4B"/>
    <w:rsid w:val="00CB7786"/>
    <w:rsid w:val="00CC13BC"/>
    <w:rsid w:val="00CD637D"/>
    <w:rsid w:val="00CD7184"/>
    <w:rsid w:val="00CF010C"/>
    <w:rsid w:val="00CF0F9F"/>
    <w:rsid w:val="00CF35DD"/>
    <w:rsid w:val="00CF63C5"/>
    <w:rsid w:val="00D14347"/>
    <w:rsid w:val="00D17726"/>
    <w:rsid w:val="00D17962"/>
    <w:rsid w:val="00D346F6"/>
    <w:rsid w:val="00D3529D"/>
    <w:rsid w:val="00D41713"/>
    <w:rsid w:val="00D67222"/>
    <w:rsid w:val="00D7277D"/>
    <w:rsid w:val="00D823A4"/>
    <w:rsid w:val="00D921FE"/>
    <w:rsid w:val="00DA1BF7"/>
    <w:rsid w:val="00DB431F"/>
    <w:rsid w:val="00DC250A"/>
    <w:rsid w:val="00DD0263"/>
    <w:rsid w:val="00DE185A"/>
    <w:rsid w:val="00DE5EB4"/>
    <w:rsid w:val="00DF6251"/>
    <w:rsid w:val="00DF7243"/>
    <w:rsid w:val="00E12A81"/>
    <w:rsid w:val="00E1459A"/>
    <w:rsid w:val="00E53423"/>
    <w:rsid w:val="00EC663A"/>
    <w:rsid w:val="00ED34F3"/>
    <w:rsid w:val="00EE4CB9"/>
    <w:rsid w:val="00EE56F7"/>
    <w:rsid w:val="00F03E38"/>
    <w:rsid w:val="00F03F41"/>
    <w:rsid w:val="00F160A2"/>
    <w:rsid w:val="00F24BBA"/>
    <w:rsid w:val="00F3485E"/>
    <w:rsid w:val="00F4360F"/>
    <w:rsid w:val="00F5727B"/>
    <w:rsid w:val="00F60856"/>
    <w:rsid w:val="00F72F80"/>
    <w:rsid w:val="00F868D2"/>
    <w:rsid w:val="00FB2934"/>
    <w:rsid w:val="00FB3F6A"/>
    <w:rsid w:val="00FC395E"/>
    <w:rsid w:val="00FC6541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94440"/>
  <w15:chartTrackingRefBased/>
  <w15:docId w15:val="{8EF91654-2FDE-47D7-87E3-7AEF6E3E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130"/>
  </w:style>
  <w:style w:type="paragraph" w:styleId="Heading1">
    <w:name w:val="heading 1"/>
    <w:basedOn w:val="Normal"/>
    <w:next w:val="Normal"/>
    <w:link w:val="Heading1Char"/>
    <w:uiPriority w:val="9"/>
    <w:qFormat/>
    <w:rsid w:val="009A1130"/>
    <w:pPr>
      <w:keepNext/>
      <w:keepLines/>
      <w:numPr>
        <w:numId w:val="21"/>
      </w:numPr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C0469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31F"/>
    <w:pPr>
      <w:ind w:left="720"/>
      <w:contextualSpacing/>
    </w:pPr>
  </w:style>
  <w:style w:type="table" w:styleId="TableGrid">
    <w:name w:val="Table Grid"/>
    <w:basedOn w:val="TableNormal"/>
    <w:uiPriority w:val="59"/>
    <w:rsid w:val="00C1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8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57"/>
  </w:style>
  <w:style w:type="paragraph" w:styleId="Footer">
    <w:name w:val="footer"/>
    <w:basedOn w:val="Normal"/>
    <w:link w:val="FooterChar"/>
    <w:uiPriority w:val="99"/>
    <w:unhideWhenUsed/>
    <w:rsid w:val="00B25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57"/>
  </w:style>
  <w:style w:type="paragraph" w:styleId="FootnoteText">
    <w:name w:val="footnote text"/>
    <w:basedOn w:val="Normal"/>
    <w:link w:val="FootnoteTextChar"/>
    <w:uiPriority w:val="99"/>
    <w:semiHidden/>
    <w:unhideWhenUsed/>
    <w:rsid w:val="008632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2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32E4"/>
    <w:rPr>
      <w:vertAlign w:val="superscript"/>
    </w:rPr>
  </w:style>
  <w:style w:type="paragraph" w:styleId="NoSpacing">
    <w:name w:val="No Spacing"/>
    <w:link w:val="NoSpacingChar"/>
    <w:uiPriority w:val="1"/>
    <w:qFormat/>
    <w:rsid w:val="005C09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092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A1130"/>
    <w:rPr>
      <w:rFonts w:ascii="Arial" w:eastAsiaTheme="majorEastAsia" w:hAnsi="Arial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A113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11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F1E8C"/>
    <w:pPr>
      <w:tabs>
        <w:tab w:val="left" w:pos="1134"/>
        <w:tab w:val="right" w:leader="dot" w:pos="9016"/>
      </w:tabs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8C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C04697"/>
    <w:rPr>
      <w:rFonts w:ascii="Times New Roman" w:eastAsia="Times New Roman" w:hAnsi="Times New Roman" w:cs="Times New Roman"/>
      <w:b/>
      <w:bCs/>
      <w:sz w:val="28"/>
      <w:szCs w:val="28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51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2.warwick.ac.uk/services/healthsafetywellbeing/managingrisks/riskcontrols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2.warwick.ac.uk/services/healthsafetywellbeing/managingrisks/riskassess/matrix_for_risk_evaluation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2.warwick.ac.uk/services/healthsafetywellbeing/managingrisks/riskcontrols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ads.warwick.ac.uk\shared\SF\OCH%202006\Management%20System\01%20Hazards%20and%20Risk\0104%20General%20Risk%20Assessment\02%20Templates%20and%20Master%20Versions\Risk%20Evaluation%20Matrix%20v3%2013%2009%2017.pdf" TargetMode="External"/><Relationship Id="rId10" Type="http://schemas.openxmlformats.org/officeDocument/2006/relationships/hyperlink" Target="https://www2.warwick.ac.uk/services/healthsafetywellbeing/managingrisks/peopleatrisk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ww2.warwick.ac.uk/services/healthsafetywellbeing/managingrisks/hazidentification/" TargetMode="External"/><Relationship Id="rId14" Type="http://schemas.openxmlformats.org/officeDocument/2006/relationships/hyperlink" Target="https://www2.warwick.ac.uk/services/healthsafetywellbeing/managingrisks/riskassess/matrix_for_risk_evaluation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Fire safety Adviser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4E70F7-03C9-4240-9DD6-92207541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Achieving Fire Safety withConcerto</vt:lpstr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Achieving Fire Safety withConcerto</dc:title>
  <dc:subject>Guidance on the fire safety sections of concerto</dc:subject>
  <dc:creator>Lakin, Jo</dc:creator>
  <cp:keywords/>
  <dc:description/>
  <cp:lastModifiedBy>David Jonas</cp:lastModifiedBy>
  <cp:revision>29</cp:revision>
  <cp:lastPrinted>2017-09-26T15:29:00Z</cp:lastPrinted>
  <dcterms:created xsi:type="dcterms:W3CDTF">2018-02-07T11:00:00Z</dcterms:created>
  <dcterms:modified xsi:type="dcterms:W3CDTF">2021-10-13T16:20:00Z</dcterms:modified>
</cp:coreProperties>
</file>