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7553" w:rsidRDefault="00A57553" w:rsidP="00A57553">
      <w:pPr>
        <w:spacing w:after="120"/>
        <w:rPr>
          <w:rFonts w:ascii="Arial" w:hAnsi="Arial" w:cs="Arial"/>
          <w:b/>
          <w:sz w:val="28"/>
          <w:szCs w:val="28"/>
        </w:rPr>
      </w:pPr>
      <w:r w:rsidRPr="00474B56">
        <w:rPr>
          <w:rFonts w:ascii="Arial" w:hAnsi="Arial" w:cs="Arial"/>
          <w:b/>
          <w:sz w:val="28"/>
          <w:szCs w:val="28"/>
        </w:rPr>
        <w:t>Laser</w:t>
      </w:r>
      <w:r>
        <w:rPr>
          <w:rFonts w:ascii="Arial" w:hAnsi="Arial" w:cs="Arial"/>
          <w:b/>
          <w:sz w:val="28"/>
          <w:szCs w:val="28"/>
        </w:rPr>
        <w:t xml:space="preserve"> - </w:t>
      </w:r>
      <w:r w:rsidRPr="00474B56">
        <w:rPr>
          <w:rFonts w:ascii="Arial" w:hAnsi="Arial" w:cs="Arial"/>
          <w:b/>
          <w:sz w:val="28"/>
          <w:szCs w:val="28"/>
        </w:rPr>
        <w:t xml:space="preserve">Safe system of work </w:t>
      </w:r>
      <w:r>
        <w:rPr>
          <w:rFonts w:ascii="Arial" w:hAnsi="Arial" w:cs="Arial"/>
          <w:b/>
          <w:sz w:val="28"/>
          <w:szCs w:val="28"/>
        </w:rPr>
        <w:t>for Ruby Spectrometer</w:t>
      </w:r>
      <w:r w:rsidR="00CC290A">
        <w:rPr>
          <w:rFonts w:ascii="Arial" w:hAnsi="Arial" w:cs="Arial"/>
          <w:b/>
          <w:sz w:val="28"/>
          <w:szCs w:val="28"/>
        </w:rPr>
        <w:t xml:space="preserve"> – Normal Use</w:t>
      </w:r>
    </w:p>
    <w:p w:rsidR="00A57553" w:rsidRPr="00374424" w:rsidRDefault="00A57553" w:rsidP="00A57553">
      <w:pPr>
        <w:spacing w:after="120"/>
        <w:rPr>
          <w:rFonts w:ascii="Arial" w:hAnsi="Arial" w:cs="Arial"/>
          <w:b/>
          <w:szCs w:val="28"/>
        </w:rPr>
      </w:pPr>
      <w:r w:rsidRPr="00374424">
        <w:rPr>
          <w:rFonts w:ascii="Arial" w:hAnsi="Arial" w:cs="Arial"/>
          <w:b/>
          <w:szCs w:val="28"/>
        </w:rPr>
        <w:t>M.J.</w:t>
      </w:r>
      <w:r>
        <w:rPr>
          <w:rFonts w:ascii="Arial" w:hAnsi="Arial" w:cs="Arial"/>
          <w:b/>
          <w:szCs w:val="28"/>
        </w:rPr>
        <w:t xml:space="preserve"> </w:t>
      </w:r>
      <w:r w:rsidRPr="00374424">
        <w:rPr>
          <w:rFonts w:ascii="Arial" w:hAnsi="Arial" w:cs="Arial"/>
          <w:b/>
          <w:szCs w:val="28"/>
        </w:rPr>
        <w:t xml:space="preserve">Coak </w:t>
      </w:r>
      <w:r w:rsidR="00524977">
        <w:rPr>
          <w:rFonts w:ascii="Arial" w:hAnsi="Arial" w:cs="Arial"/>
          <w:b/>
          <w:szCs w:val="28"/>
        </w:rPr>
        <w:t>and P.A. Goddard 2</w:t>
      </w:r>
      <w:r w:rsidR="00CC290A">
        <w:rPr>
          <w:rFonts w:ascii="Arial" w:hAnsi="Arial" w:cs="Arial"/>
          <w:b/>
          <w:szCs w:val="28"/>
        </w:rPr>
        <w:t>8</w:t>
      </w:r>
      <w:r w:rsidRPr="00374424">
        <w:rPr>
          <w:rFonts w:ascii="Arial" w:hAnsi="Arial" w:cs="Arial"/>
          <w:b/>
          <w:szCs w:val="28"/>
        </w:rPr>
        <w:t>/0</w:t>
      </w:r>
      <w:r w:rsidR="00524977">
        <w:rPr>
          <w:rFonts w:ascii="Arial" w:hAnsi="Arial" w:cs="Arial"/>
          <w:b/>
          <w:szCs w:val="28"/>
        </w:rPr>
        <w:t>8</w:t>
      </w:r>
      <w:r w:rsidRPr="00374424">
        <w:rPr>
          <w:rFonts w:ascii="Arial" w:hAnsi="Arial" w:cs="Arial"/>
          <w:b/>
          <w:szCs w:val="28"/>
        </w:rPr>
        <w:t>/2019</w:t>
      </w:r>
    </w:p>
    <w:p w:rsidR="00A57553" w:rsidRPr="007D08A5" w:rsidRDefault="00A57553" w:rsidP="00A57553">
      <w:pPr>
        <w:spacing w:after="120"/>
        <w:rPr>
          <w:sz w:val="24"/>
          <w:szCs w:val="24"/>
        </w:rPr>
      </w:pPr>
      <w:r w:rsidRPr="007D08A5">
        <w:rPr>
          <w:b/>
          <w:sz w:val="24"/>
          <w:szCs w:val="24"/>
        </w:rPr>
        <w:t>Scope</w:t>
      </w:r>
    </w:p>
    <w:p w:rsidR="00A57553" w:rsidRDefault="00A57553" w:rsidP="00A57553">
      <w:pPr>
        <w:spacing w:after="120"/>
      </w:pPr>
      <w:r>
        <w:t>These</w:t>
      </w:r>
      <w:r w:rsidRPr="000A3089">
        <w:t xml:space="preserve"> rules cover the use of the</w:t>
      </w:r>
      <w:r>
        <w:t xml:space="preserve"> portable ruby spectrometer</w:t>
      </w:r>
      <w:r w:rsidRPr="000A3089">
        <w:t xml:space="preserve"> laser </w:t>
      </w:r>
      <w:r>
        <w:t xml:space="preserve">usually </w:t>
      </w:r>
      <w:r w:rsidRPr="000A3089">
        <w:t xml:space="preserve">located in </w:t>
      </w:r>
      <w:r>
        <w:t>the laboratories of the Superconductivity and Magnetism Group or in the X-ray Diffraction Facility at the University of Warwick Department of Physics</w:t>
      </w:r>
      <w:r w:rsidRPr="000A3089">
        <w:t xml:space="preserve">. </w:t>
      </w:r>
    </w:p>
    <w:p w:rsidR="00BC357A" w:rsidRPr="00F57463" w:rsidRDefault="00374424" w:rsidP="00374424">
      <w:pPr>
        <w:spacing w:after="120"/>
        <w:rPr>
          <w:color w:val="76923C" w:themeColor="accent3" w:themeShade="BF"/>
        </w:rPr>
      </w:pPr>
      <w:r w:rsidRPr="00F57463">
        <w:rPr>
          <w:color w:val="76923C" w:themeColor="accent3" w:themeShade="BF"/>
        </w:rPr>
        <w:t>This system of work covers normal use.</w:t>
      </w:r>
    </w:p>
    <w:p w:rsidR="001736A3" w:rsidRPr="007D08A5" w:rsidRDefault="00BC357A" w:rsidP="007D08A5">
      <w:pPr>
        <w:spacing w:after="120"/>
        <w:rPr>
          <w:b/>
          <w:sz w:val="24"/>
          <w:szCs w:val="24"/>
        </w:rPr>
      </w:pPr>
      <w:r w:rsidRPr="007D08A5">
        <w:rPr>
          <w:b/>
          <w:sz w:val="24"/>
          <w:szCs w:val="24"/>
        </w:rPr>
        <w:t xml:space="preserve">Description </w:t>
      </w:r>
    </w:p>
    <w:p w:rsidR="0011220E" w:rsidRDefault="0011220E" w:rsidP="007D08A5">
      <w:pPr>
        <w:spacing w:after="120"/>
      </w:pPr>
      <w:r w:rsidRPr="0011220E">
        <w:t xml:space="preserve">40mW continuous wave 532nm (visible) diode laser, Class 3B. Diffuse reflections are non-hazardous. Mounted in full enclosure, fibre optic cable coupled out of enclosure with greatly reduced power (measured as maximum 1 mW – cannot be increased by mechanical or electrical fault as this is the optimum). </w:t>
      </w:r>
      <w:r w:rsidR="008768F3">
        <w:t xml:space="preserve">Power falls to 0.1 mW over 10 cm distance from fibre end – beam is divergent. </w:t>
      </w:r>
      <w:r w:rsidRPr="0011220E">
        <w:t xml:space="preserve">Enclosure bolted shut, requires tool to open and is interlocked – no access to beam. Overall system </w:t>
      </w:r>
      <w:r w:rsidR="008768F3">
        <w:t>therefore has output power the limit of laser</w:t>
      </w:r>
      <w:r w:rsidRPr="0011220E">
        <w:t xml:space="preserve"> Class 2.</w:t>
      </w:r>
    </w:p>
    <w:p w:rsidR="001736A3" w:rsidRPr="007D08A5" w:rsidRDefault="00BC357A" w:rsidP="007D08A5">
      <w:pPr>
        <w:spacing w:after="120"/>
        <w:rPr>
          <w:b/>
          <w:sz w:val="24"/>
          <w:szCs w:val="24"/>
        </w:rPr>
      </w:pPr>
      <w:r w:rsidRPr="007D08A5">
        <w:rPr>
          <w:b/>
          <w:sz w:val="24"/>
          <w:szCs w:val="24"/>
        </w:rPr>
        <w:t>Authorised users</w:t>
      </w:r>
    </w:p>
    <w:p w:rsidR="00BC357A" w:rsidRPr="000D2AD7" w:rsidRDefault="000D2AD7" w:rsidP="007D08A5">
      <w:pPr>
        <w:spacing w:after="120"/>
      </w:pPr>
      <w:r w:rsidRPr="000D2AD7">
        <w:t xml:space="preserve">Only </w:t>
      </w:r>
      <w:r w:rsidR="00BA3425">
        <w:t xml:space="preserve">trained </w:t>
      </w:r>
      <w:r w:rsidRPr="000D2AD7">
        <w:t>personnel specifically authorised by P.</w:t>
      </w:r>
      <w:r w:rsidR="0082450D">
        <w:t xml:space="preserve"> </w:t>
      </w:r>
      <w:r w:rsidRPr="000D2AD7">
        <w:t>Goddard (Principal Investigator) and registered with University Laser Safety.</w:t>
      </w:r>
    </w:p>
    <w:p w:rsidR="001736A3" w:rsidRPr="007D08A5" w:rsidRDefault="00BC357A" w:rsidP="007D08A5">
      <w:pPr>
        <w:spacing w:after="120"/>
        <w:rPr>
          <w:b/>
          <w:sz w:val="24"/>
          <w:szCs w:val="24"/>
        </w:rPr>
      </w:pPr>
      <w:r w:rsidRPr="007D08A5">
        <w:rPr>
          <w:b/>
          <w:sz w:val="24"/>
          <w:szCs w:val="24"/>
        </w:rPr>
        <w:t>Laser Controlled Area</w:t>
      </w:r>
    </w:p>
    <w:p w:rsidR="00BC357A" w:rsidRPr="000D2AD7" w:rsidRDefault="000D2AD7" w:rsidP="007D08A5">
      <w:pPr>
        <w:spacing w:after="120"/>
      </w:pPr>
      <w:r w:rsidRPr="000D2AD7">
        <w:t>The components and beam sections classified as Class 3B hazard are contained in an enclosed anodised aluminium box with hinged lid. An electromechanical switch is mounted inside the lid to cut off the laser voltage supply if the lid is opened.</w:t>
      </w:r>
      <w:r w:rsidR="005438EE">
        <w:t xml:space="preserve"> The lid is bolted shut and would require tools to open.</w:t>
      </w:r>
      <w:r w:rsidRPr="000D2AD7">
        <w:t xml:space="preserve"> The system is then overall a Class </w:t>
      </w:r>
      <w:r w:rsidR="0011220E">
        <w:t>2</w:t>
      </w:r>
      <w:r w:rsidRPr="000D2AD7">
        <w:t xml:space="preserve"> and hence no controlled area is required or provided.</w:t>
      </w:r>
    </w:p>
    <w:p w:rsidR="001736A3" w:rsidRPr="007D08A5" w:rsidRDefault="00BC357A" w:rsidP="007D08A5">
      <w:pPr>
        <w:spacing w:after="120"/>
        <w:rPr>
          <w:b/>
          <w:sz w:val="24"/>
          <w:szCs w:val="24"/>
        </w:rPr>
      </w:pPr>
      <w:r w:rsidRPr="007D08A5">
        <w:rPr>
          <w:b/>
          <w:sz w:val="24"/>
          <w:szCs w:val="24"/>
        </w:rPr>
        <w:t xml:space="preserve">Procedures </w:t>
      </w:r>
    </w:p>
    <w:p w:rsidR="00BC357A" w:rsidRPr="002D3998" w:rsidRDefault="002D3998" w:rsidP="007D08A5">
      <w:pPr>
        <w:spacing w:after="120"/>
      </w:pPr>
      <w:r w:rsidRPr="002D3998">
        <w:t xml:space="preserve">During normal use (so excluding any special realignment or beam adjustment exercises, covered in a separate system of work) the laser system is </w:t>
      </w:r>
      <w:r w:rsidR="00300FFF">
        <w:t>Class 2 and no additional safety</w:t>
      </w:r>
      <w:r w:rsidRPr="002D3998">
        <w:t xml:space="preserve"> procedures beyond th</w:t>
      </w:r>
      <w:r w:rsidR="00300FFF">
        <w:t>ose detailed here and the standard lab risk assessments</w:t>
      </w:r>
      <w:r w:rsidRPr="002D3998">
        <w:t xml:space="preserve"> are required.</w:t>
      </w:r>
      <w:r w:rsidR="00300FFF">
        <w:t xml:space="preserve"> Do not stare directly into the laser beam. </w:t>
      </w:r>
    </w:p>
    <w:p w:rsidR="001736A3" w:rsidRPr="007D08A5" w:rsidRDefault="00BC357A" w:rsidP="007D08A5">
      <w:pPr>
        <w:spacing w:after="120"/>
        <w:rPr>
          <w:b/>
          <w:sz w:val="24"/>
          <w:szCs w:val="24"/>
        </w:rPr>
      </w:pPr>
      <w:r w:rsidRPr="007D08A5">
        <w:rPr>
          <w:b/>
          <w:sz w:val="24"/>
          <w:szCs w:val="24"/>
        </w:rPr>
        <w:t>Protection measures</w:t>
      </w:r>
    </w:p>
    <w:p w:rsidR="0011220E" w:rsidRDefault="00B32D12" w:rsidP="007D08A5">
      <w:pPr>
        <w:spacing w:after="120"/>
      </w:pPr>
      <w:r>
        <w:t>All users to complete departmental laser safety training and register as laser users, as well as to receive specific training on the system before being considered qualified to use it.</w:t>
      </w:r>
      <w:r w:rsidR="001B707F">
        <w:t xml:space="preserve"> </w:t>
      </w:r>
    </w:p>
    <w:p w:rsidR="001B707F" w:rsidRDefault="001B707F" w:rsidP="007D08A5">
      <w:pPr>
        <w:spacing w:after="120"/>
      </w:pPr>
      <w:r>
        <w:t>Hazardous beam contained within interlocked box enclosure. Separate system of work for realignment operations which require opening the enclosure and raising the laser class to 3B.</w:t>
      </w:r>
    </w:p>
    <w:p w:rsidR="00300FFF" w:rsidRDefault="00300FFF" w:rsidP="007D08A5">
      <w:pPr>
        <w:spacing w:after="120"/>
      </w:pPr>
      <w:r>
        <w:t>Avoid staring directly into beam.</w:t>
      </w:r>
    </w:p>
    <w:p w:rsidR="00300FFF" w:rsidRDefault="00300FFF" w:rsidP="007D08A5">
      <w:pPr>
        <w:spacing w:after="120"/>
      </w:pPr>
      <w:r>
        <w:t>Clear signage is present around the laser enclosure informing of the Class 2 laser hazard and that this hazard increase to Class 3B if the enclosure is opened and the interlocks defeated. Signage also warns against staring directly into the beam.</w:t>
      </w:r>
    </w:p>
    <w:p w:rsidR="00300FFF" w:rsidRPr="000A3089" w:rsidRDefault="00300FFF" w:rsidP="007D08A5">
      <w:pPr>
        <w:spacing w:after="120"/>
        <w:rPr>
          <w:color w:val="4F81BD"/>
        </w:rPr>
      </w:pPr>
    </w:p>
    <w:p w:rsidR="001736A3" w:rsidRPr="007D08A5" w:rsidRDefault="00BC357A" w:rsidP="007D08A5">
      <w:pPr>
        <w:spacing w:after="120"/>
        <w:rPr>
          <w:b/>
          <w:sz w:val="24"/>
          <w:szCs w:val="24"/>
        </w:rPr>
      </w:pPr>
      <w:r w:rsidRPr="007D08A5">
        <w:rPr>
          <w:b/>
          <w:sz w:val="24"/>
          <w:szCs w:val="24"/>
        </w:rPr>
        <w:lastRenderedPageBreak/>
        <w:t>Summary of hazards</w:t>
      </w:r>
    </w:p>
    <w:p w:rsidR="00C87799" w:rsidRDefault="0063163F" w:rsidP="007D08A5">
      <w:pPr>
        <w:spacing w:after="120"/>
      </w:pPr>
      <w:r w:rsidRPr="0063163F">
        <w:t>The system is for use within a lab environment, for which risk assessments covering hazards not specific to this system exist on the group homepage.</w:t>
      </w:r>
    </w:p>
    <w:p w:rsidR="00C87799" w:rsidRDefault="00C87799" w:rsidP="007D08A5">
      <w:pPr>
        <w:spacing w:after="120"/>
      </w:pPr>
      <w:r>
        <w:t>Visible laser light can cause photochemical and thermal retinal injury, including permanent loss of vision, as well as potentially skin burns, photosensitive skin reactions and pigment darkening. A Class 3B does not form a significant hazard to skin</w:t>
      </w:r>
      <w:r w:rsidR="00504482">
        <w:t>, the danger is in exposing eyes to the beam. Laser safety goggles can protect the eye from accidental exposure, but are not to be relied on and used in place of other controls.</w:t>
      </w:r>
    </w:p>
    <w:p w:rsidR="00504482" w:rsidRDefault="00504482" w:rsidP="007D08A5">
      <w:pPr>
        <w:spacing w:after="120"/>
      </w:pPr>
      <w:r>
        <w:t xml:space="preserve">As the laser system is enclosed and interlocked, with only a low-power optical fibre coupled out of the enclosure, the system is rated Class </w:t>
      </w:r>
      <w:r w:rsidR="0011220E">
        <w:t>2</w:t>
      </w:r>
      <w:r>
        <w:t xml:space="preserve"> during normal use. A Class </w:t>
      </w:r>
      <w:r w:rsidR="0011220E">
        <w:t>2</w:t>
      </w:r>
      <w:r>
        <w:t xml:space="preserve"> laser should not</w:t>
      </w:r>
      <w:r w:rsidR="005D5279">
        <w:t xml:space="preserve"> be shone directly into the eye</w:t>
      </w:r>
      <w:r>
        <w:t>.</w:t>
      </w:r>
      <w:r w:rsidR="00422C85">
        <w:t xml:space="preserve"> </w:t>
      </w:r>
      <w:r w:rsidR="0011220E">
        <w:t>Warning signs are clearly displayed around the system to advise of the Class 2 laser hazard and directing people not to stare directly into the beam.</w:t>
      </w:r>
    </w:p>
    <w:p w:rsidR="00504482" w:rsidRPr="0063163F" w:rsidRDefault="00504482" w:rsidP="007D08A5">
      <w:pPr>
        <w:spacing w:after="120"/>
      </w:pPr>
    </w:p>
    <w:p w:rsidR="001736A3" w:rsidRPr="007D08A5" w:rsidRDefault="001736A3" w:rsidP="007D08A5">
      <w:pPr>
        <w:spacing w:after="120"/>
        <w:rPr>
          <w:b/>
          <w:sz w:val="24"/>
          <w:szCs w:val="24"/>
        </w:rPr>
      </w:pPr>
      <w:r w:rsidRPr="007D08A5">
        <w:rPr>
          <w:b/>
          <w:sz w:val="24"/>
          <w:szCs w:val="24"/>
        </w:rPr>
        <w:t>Contingency plan</w:t>
      </w:r>
    </w:p>
    <w:p w:rsidR="00BC357A" w:rsidRDefault="00374424" w:rsidP="007D08A5">
      <w:pPr>
        <w:spacing w:after="120"/>
        <w:rPr>
          <w:color w:val="4F81BD"/>
        </w:rPr>
      </w:pPr>
      <w:r w:rsidRPr="00374424">
        <w:t xml:space="preserve">Emergency cards containing the laser details, as per departmental format and instructions, are stored in all locations the laser will be used. In the event of any accidental eye exposure </w:t>
      </w:r>
      <w:r w:rsidR="00422C85">
        <w:t>to the high-power</w:t>
      </w:r>
      <w:r w:rsidR="005D5279">
        <w:t xml:space="preserve"> (inside the enclosure)</w:t>
      </w:r>
      <w:r w:rsidR="00422C85">
        <w:t xml:space="preserve"> beam sections</w:t>
      </w:r>
      <w:r w:rsidR="00B33297">
        <w:t xml:space="preserve"> or direct short-range exposure of the eye to the beam at the fibre end</w:t>
      </w:r>
      <w:r w:rsidR="00422C85">
        <w:t xml:space="preserve">, </w:t>
      </w:r>
      <w:r w:rsidRPr="00374424">
        <w:t>the laser to be immediately shut off and the exposed persons taken directly to hospital, bringing one of these cards and the safety goggles they wore, if appropriate. Incident to immediately be informed to Health and Safety Department</w:t>
      </w:r>
      <w:r>
        <w:rPr>
          <w:color w:val="4F81BD"/>
        </w:rPr>
        <w:t>.</w:t>
      </w:r>
    </w:p>
    <w:p w:rsidR="00302004" w:rsidRDefault="00302004" w:rsidP="007D08A5">
      <w:pPr>
        <w:spacing w:after="120"/>
        <w:rPr>
          <w:color w:val="4F81BD"/>
        </w:rPr>
      </w:pPr>
      <w:bookmarkStart w:id="0" w:name="_GoBack"/>
      <w:bookmarkEnd w:id="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55"/>
        <w:gridCol w:w="5861"/>
      </w:tblGrid>
      <w:tr w:rsidR="001736A3" w:rsidRPr="000A3089" w:rsidTr="00302004">
        <w:trPr>
          <w:trHeight w:val="572"/>
        </w:trPr>
        <w:tc>
          <w:tcPr>
            <w:tcW w:w="3155" w:type="dxa"/>
          </w:tcPr>
          <w:p w:rsidR="007D08A5" w:rsidRPr="007D08A5" w:rsidRDefault="007D08A5" w:rsidP="007D08A5">
            <w:pPr>
              <w:spacing w:after="0" w:line="240" w:lineRule="auto"/>
              <w:rPr>
                <w:rFonts w:ascii="Arial" w:hAnsi="Arial" w:cs="Arial"/>
              </w:rPr>
            </w:pPr>
            <w:r w:rsidRPr="007D08A5">
              <w:rPr>
                <w:rFonts w:ascii="Arial" w:hAnsi="Arial" w:cs="Arial"/>
              </w:rPr>
              <w:t>Issued under the authority of :</w:t>
            </w:r>
          </w:p>
          <w:p w:rsidR="001736A3" w:rsidRPr="007D08A5" w:rsidRDefault="001736A3" w:rsidP="00374424">
            <w:pPr>
              <w:spacing w:after="0" w:line="240" w:lineRule="auto"/>
              <w:rPr>
                <w:rFonts w:ascii="Arial" w:hAnsi="Arial" w:cs="Arial"/>
                <w:sz w:val="20"/>
                <w:szCs w:val="20"/>
              </w:rPr>
            </w:pPr>
          </w:p>
        </w:tc>
        <w:tc>
          <w:tcPr>
            <w:tcW w:w="5861" w:type="dxa"/>
          </w:tcPr>
          <w:p w:rsidR="001736A3" w:rsidRPr="007D08A5" w:rsidRDefault="00374424" w:rsidP="00302004">
            <w:pPr>
              <w:jc w:val="center"/>
              <w:rPr>
                <w:rFonts w:ascii="Arial" w:hAnsi="Arial" w:cs="Arial"/>
              </w:rPr>
            </w:pPr>
            <w:r>
              <w:rPr>
                <w:rFonts w:ascii="Arial" w:hAnsi="Arial" w:cs="Arial"/>
              </w:rPr>
              <w:t>P. Goddard, Department of Physics</w:t>
            </w:r>
          </w:p>
        </w:tc>
      </w:tr>
      <w:tr w:rsidR="001736A3" w:rsidRPr="000A3089" w:rsidTr="00302004">
        <w:trPr>
          <w:trHeight w:val="565"/>
        </w:trPr>
        <w:tc>
          <w:tcPr>
            <w:tcW w:w="3155" w:type="dxa"/>
          </w:tcPr>
          <w:p w:rsidR="001736A3" w:rsidRPr="007D08A5" w:rsidRDefault="001736A3" w:rsidP="001736A3">
            <w:pPr>
              <w:rPr>
                <w:rFonts w:ascii="Arial" w:hAnsi="Arial" w:cs="Arial"/>
              </w:rPr>
            </w:pPr>
            <w:r w:rsidRPr="007D08A5">
              <w:rPr>
                <w:rFonts w:ascii="Arial" w:hAnsi="Arial" w:cs="Arial"/>
              </w:rPr>
              <w:t>Version and date</w:t>
            </w:r>
            <w:r w:rsidR="007D08A5" w:rsidRPr="007D08A5">
              <w:rPr>
                <w:rFonts w:ascii="Arial" w:hAnsi="Arial" w:cs="Arial"/>
              </w:rPr>
              <w:t>:</w:t>
            </w:r>
          </w:p>
        </w:tc>
        <w:tc>
          <w:tcPr>
            <w:tcW w:w="5861" w:type="dxa"/>
          </w:tcPr>
          <w:p w:rsidR="001736A3" w:rsidRPr="00374424" w:rsidRDefault="00374424" w:rsidP="00CC290A">
            <w:pPr>
              <w:jc w:val="center"/>
              <w:rPr>
                <w:rFonts w:ascii="Arial" w:hAnsi="Arial" w:cs="Arial"/>
                <w:sz w:val="20"/>
                <w:szCs w:val="18"/>
              </w:rPr>
            </w:pPr>
            <w:r w:rsidRPr="00374424">
              <w:rPr>
                <w:rFonts w:ascii="Arial" w:hAnsi="Arial" w:cs="Arial"/>
                <w:sz w:val="20"/>
                <w:szCs w:val="18"/>
              </w:rPr>
              <w:t>V</w:t>
            </w:r>
            <w:r w:rsidR="0011220E">
              <w:rPr>
                <w:rFonts w:ascii="Arial" w:hAnsi="Arial" w:cs="Arial"/>
                <w:sz w:val="20"/>
                <w:szCs w:val="18"/>
              </w:rPr>
              <w:t>3</w:t>
            </w:r>
            <w:r w:rsidRPr="00374424">
              <w:rPr>
                <w:rFonts w:ascii="Arial" w:hAnsi="Arial" w:cs="Arial"/>
                <w:sz w:val="20"/>
                <w:szCs w:val="18"/>
              </w:rPr>
              <w:t>.</w:t>
            </w:r>
            <w:r w:rsidR="00CC290A">
              <w:rPr>
                <w:rFonts w:ascii="Arial" w:hAnsi="Arial" w:cs="Arial"/>
                <w:sz w:val="20"/>
                <w:szCs w:val="18"/>
              </w:rPr>
              <w:t>1</w:t>
            </w:r>
            <w:r w:rsidRPr="00374424">
              <w:rPr>
                <w:rFonts w:ascii="Arial" w:hAnsi="Arial" w:cs="Arial"/>
                <w:sz w:val="20"/>
                <w:szCs w:val="18"/>
              </w:rPr>
              <w:t xml:space="preserve"> </w:t>
            </w:r>
            <w:r>
              <w:rPr>
                <w:rFonts w:ascii="Arial" w:hAnsi="Arial" w:cs="Arial"/>
                <w:sz w:val="20"/>
                <w:szCs w:val="18"/>
              </w:rPr>
              <w:t xml:space="preserve">: </w:t>
            </w:r>
            <w:r w:rsidR="0011220E">
              <w:rPr>
                <w:rFonts w:ascii="Arial" w:hAnsi="Arial" w:cs="Arial"/>
                <w:sz w:val="20"/>
                <w:szCs w:val="18"/>
              </w:rPr>
              <w:t>2</w:t>
            </w:r>
            <w:r w:rsidR="00CC290A">
              <w:rPr>
                <w:rFonts w:ascii="Arial" w:hAnsi="Arial" w:cs="Arial"/>
                <w:sz w:val="20"/>
                <w:szCs w:val="18"/>
              </w:rPr>
              <w:t>8</w:t>
            </w:r>
            <w:r w:rsidRPr="00374424">
              <w:rPr>
                <w:rFonts w:ascii="Arial" w:hAnsi="Arial" w:cs="Arial"/>
                <w:sz w:val="20"/>
                <w:szCs w:val="18"/>
              </w:rPr>
              <w:t>-0</w:t>
            </w:r>
            <w:r w:rsidR="0011220E">
              <w:rPr>
                <w:rFonts w:ascii="Arial" w:hAnsi="Arial" w:cs="Arial"/>
                <w:sz w:val="20"/>
                <w:szCs w:val="18"/>
              </w:rPr>
              <w:t>8</w:t>
            </w:r>
            <w:r w:rsidRPr="00374424">
              <w:rPr>
                <w:rFonts w:ascii="Arial" w:hAnsi="Arial" w:cs="Arial"/>
                <w:sz w:val="20"/>
                <w:szCs w:val="18"/>
              </w:rPr>
              <w:t>-2019</w:t>
            </w:r>
          </w:p>
        </w:tc>
      </w:tr>
      <w:tr w:rsidR="00302004" w:rsidRPr="000A3089" w:rsidTr="00302004">
        <w:trPr>
          <w:trHeight w:val="565"/>
        </w:trPr>
        <w:tc>
          <w:tcPr>
            <w:tcW w:w="3155" w:type="dxa"/>
          </w:tcPr>
          <w:p w:rsidR="00302004" w:rsidRPr="007D08A5" w:rsidRDefault="00302004" w:rsidP="001736A3">
            <w:pPr>
              <w:rPr>
                <w:rFonts w:ascii="Arial" w:hAnsi="Arial" w:cs="Arial"/>
              </w:rPr>
            </w:pPr>
            <w:r>
              <w:rPr>
                <w:rFonts w:ascii="Arial" w:hAnsi="Arial" w:cs="Arial"/>
              </w:rPr>
              <w:t>Approved:</w:t>
            </w:r>
          </w:p>
        </w:tc>
        <w:tc>
          <w:tcPr>
            <w:tcW w:w="5861" w:type="dxa"/>
          </w:tcPr>
          <w:p w:rsidR="00302004" w:rsidRPr="00374424" w:rsidRDefault="00302004" w:rsidP="00CC290A">
            <w:pPr>
              <w:jc w:val="center"/>
              <w:rPr>
                <w:rFonts w:ascii="Arial" w:hAnsi="Arial" w:cs="Arial"/>
                <w:sz w:val="20"/>
                <w:szCs w:val="18"/>
              </w:rPr>
            </w:pPr>
          </w:p>
        </w:tc>
      </w:tr>
    </w:tbl>
    <w:p w:rsidR="004D0EFD" w:rsidRDefault="004D0EFD" w:rsidP="00E514AA"/>
    <w:sectPr w:rsidR="004D0EFD" w:rsidSect="004D0EF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57A"/>
    <w:rsid w:val="00044B6B"/>
    <w:rsid w:val="000509E6"/>
    <w:rsid w:val="000D2AD7"/>
    <w:rsid w:val="0011220E"/>
    <w:rsid w:val="001736A3"/>
    <w:rsid w:val="001B707F"/>
    <w:rsid w:val="002337EF"/>
    <w:rsid w:val="002D3998"/>
    <w:rsid w:val="00300FFF"/>
    <w:rsid w:val="00302004"/>
    <w:rsid w:val="00374424"/>
    <w:rsid w:val="003F38F9"/>
    <w:rsid w:val="00422C85"/>
    <w:rsid w:val="00474B56"/>
    <w:rsid w:val="00474FBA"/>
    <w:rsid w:val="00475824"/>
    <w:rsid w:val="004D0EFD"/>
    <w:rsid w:val="004F2BC5"/>
    <w:rsid w:val="00504482"/>
    <w:rsid w:val="00524977"/>
    <w:rsid w:val="005438EE"/>
    <w:rsid w:val="0057242E"/>
    <w:rsid w:val="005A1EA1"/>
    <w:rsid w:val="005D5279"/>
    <w:rsid w:val="0063163F"/>
    <w:rsid w:val="00633E21"/>
    <w:rsid w:val="00651F8D"/>
    <w:rsid w:val="00736547"/>
    <w:rsid w:val="00791C27"/>
    <w:rsid w:val="007D08A5"/>
    <w:rsid w:val="007D10F6"/>
    <w:rsid w:val="0082450D"/>
    <w:rsid w:val="008768F3"/>
    <w:rsid w:val="009861A0"/>
    <w:rsid w:val="009E0D42"/>
    <w:rsid w:val="00A57553"/>
    <w:rsid w:val="00AC6911"/>
    <w:rsid w:val="00AE4C49"/>
    <w:rsid w:val="00B32D12"/>
    <w:rsid w:val="00B33297"/>
    <w:rsid w:val="00BA3425"/>
    <w:rsid w:val="00BC357A"/>
    <w:rsid w:val="00BE0559"/>
    <w:rsid w:val="00C35416"/>
    <w:rsid w:val="00C87799"/>
    <w:rsid w:val="00C94E96"/>
    <w:rsid w:val="00CC290A"/>
    <w:rsid w:val="00D22111"/>
    <w:rsid w:val="00D46722"/>
    <w:rsid w:val="00DA4B7E"/>
    <w:rsid w:val="00DB6045"/>
    <w:rsid w:val="00DE2642"/>
    <w:rsid w:val="00E514AA"/>
    <w:rsid w:val="00F57463"/>
    <w:rsid w:val="00F71ADB"/>
    <w:rsid w:val="00F84648"/>
    <w:rsid w:val="00F979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A3A39"/>
  <w15:docId w15:val="{EB1B1D9F-4064-4665-9EF1-90DA4EF0E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357A"/>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514A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3C6C2ADD</Template>
  <TotalTime>11</TotalTime>
  <Pages>2</Pages>
  <Words>617</Words>
  <Characters>3521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sfsjae</dc:creator>
  <cp:keywords/>
  <dc:description/>
  <cp:lastModifiedBy>Coak, Matthew</cp:lastModifiedBy>
  <cp:revision>10</cp:revision>
  <dcterms:created xsi:type="dcterms:W3CDTF">2019-08-27T11:03:00Z</dcterms:created>
  <dcterms:modified xsi:type="dcterms:W3CDTF">2019-08-28T16:01:00Z</dcterms:modified>
</cp:coreProperties>
</file>