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5755" w14:textId="77777777" w:rsidR="00ED40DA" w:rsidRDefault="00ED40DA" w:rsidP="00ED40DA">
      <w:pPr>
        <w:jc w:val="right"/>
      </w:pPr>
      <w:r>
        <w:rPr>
          <w:noProof/>
        </w:rPr>
        <w:drawing>
          <wp:inline distT="0" distB="0" distL="0" distR="0" wp14:anchorId="3FBE7464" wp14:editId="0883F2AE">
            <wp:extent cx="1914525" cy="838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66" cy="8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2792"/>
        <w:gridCol w:w="1496"/>
        <w:gridCol w:w="1284"/>
        <w:gridCol w:w="1371"/>
        <w:gridCol w:w="1424"/>
        <w:gridCol w:w="2793"/>
      </w:tblGrid>
      <w:tr w:rsidR="00BE0690" w14:paraId="4E9E1B73" w14:textId="77777777" w:rsidTr="00DC1EDB">
        <w:tc>
          <w:tcPr>
            <w:tcW w:w="2834" w:type="dxa"/>
            <w:tcBorders>
              <w:top w:val="nil"/>
              <w:left w:val="nil"/>
              <w:bottom w:val="nil"/>
            </w:tcBorders>
          </w:tcPr>
          <w:p w14:paraId="508B5622" w14:textId="77777777" w:rsidR="00BE0690" w:rsidRDefault="00BE0690" w:rsidP="00DC1EDB">
            <w:pPr>
              <w:jc w:val="right"/>
            </w:pPr>
            <w:r>
              <w:t>Title of Assessment</w:t>
            </w:r>
          </w:p>
        </w:tc>
        <w:tc>
          <w:tcPr>
            <w:tcW w:w="5670" w:type="dxa"/>
            <w:gridSpan w:val="3"/>
          </w:tcPr>
          <w:p w14:paraId="0C7432BE" w14:textId="77777777" w:rsidR="00BE0690" w:rsidRDefault="0064476D">
            <w:r>
              <w:t>Superconductivity and Magnetism Labs Risk Assessment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14:paraId="60CB5513" w14:textId="77777777" w:rsidR="00BE0690" w:rsidRDefault="0025774F" w:rsidP="00DC1EDB">
            <w:pPr>
              <w:jc w:val="right"/>
            </w:pPr>
            <w:r>
              <w:t xml:space="preserve">                </w:t>
            </w:r>
            <w:r w:rsidR="00BE0690">
              <w:t>Date</w:t>
            </w:r>
            <w:r>
              <w:t xml:space="preserve"> of assessment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38BA0A0" w14:textId="4D1526C2" w:rsidR="00BE0690" w:rsidRDefault="00D4236E" w:rsidP="000B7C41">
            <w:pPr>
              <w:jc w:val="center"/>
            </w:pPr>
            <w:r>
              <w:t>7</w:t>
            </w:r>
            <w:bookmarkStart w:id="0" w:name="_GoBack"/>
            <w:bookmarkEnd w:id="0"/>
            <w:r w:rsidR="0064476D">
              <w:t>/</w:t>
            </w:r>
            <w:r>
              <w:t>11</w:t>
            </w:r>
            <w:r w:rsidR="0064476D">
              <w:t>/1</w:t>
            </w:r>
            <w:r w:rsidR="00931776">
              <w:t>9</w:t>
            </w:r>
          </w:p>
        </w:tc>
      </w:tr>
      <w:tr w:rsidR="00BE0690" w14:paraId="334FA294" w14:textId="77777777" w:rsidTr="0025774F">
        <w:trPr>
          <w:trHeight w:val="8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28FF866" w14:textId="77777777" w:rsidR="00BE0690" w:rsidRDefault="00BE0690" w:rsidP="00DC1EDB">
            <w:pPr>
              <w:jc w:val="right"/>
            </w:pP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83930EF" w14:textId="77777777" w:rsidR="00BE0690" w:rsidRDefault="00BE0690"/>
        </w:tc>
        <w:tc>
          <w:tcPr>
            <w:tcW w:w="283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516E611" w14:textId="77777777" w:rsidR="00BE0690" w:rsidRDefault="00BE0690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4D838" w14:textId="77777777" w:rsidR="00BE0690" w:rsidRDefault="00BE0690" w:rsidP="00DC1EDB">
            <w:pPr>
              <w:jc w:val="right"/>
            </w:pPr>
            <w:r>
              <w:t xml:space="preserve">                       Date for review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79F1B" w14:textId="77777777" w:rsidR="00BE0690" w:rsidRDefault="0064476D" w:rsidP="00B16B23">
            <w:pPr>
              <w:jc w:val="center"/>
            </w:pPr>
            <w:r>
              <w:t>Continuous</w:t>
            </w:r>
          </w:p>
        </w:tc>
      </w:tr>
      <w:tr w:rsidR="00DC1EDB" w14:paraId="3C6DD343" w14:textId="77777777" w:rsidTr="0025774F">
        <w:trPr>
          <w:trHeight w:val="85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11CE475" w14:textId="77777777" w:rsidR="00DC1EDB" w:rsidRDefault="00DC1EDB" w:rsidP="00DC1EDB">
            <w:pPr>
              <w:jc w:val="right"/>
            </w:pPr>
            <w:r>
              <w:t>Department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50412" w14:textId="77777777" w:rsidR="00DC1EDB" w:rsidRDefault="0064476D">
            <w:r>
              <w:t>Physics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029D66B" w14:textId="77777777" w:rsidR="00DC1EDB" w:rsidRDefault="00DC1EDB" w:rsidP="00DC1EDB">
            <w:pPr>
              <w:jc w:val="right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7013A354" w14:textId="77777777" w:rsidR="00DC1EDB" w:rsidRDefault="00DC1EDB" w:rsidP="00DC1EDB">
            <w:pPr>
              <w:jc w:val="right"/>
            </w:pPr>
          </w:p>
        </w:tc>
      </w:tr>
      <w:tr w:rsidR="00DC1EDB" w14:paraId="26AF6D8D" w14:textId="77777777" w:rsidTr="0025774F">
        <w:trPr>
          <w:trHeight w:val="8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4E9405" w14:textId="77777777" w:rsidR="00DC1EDB" w:rsidRDefault="00DC1EDB" w:rsidP="00DC1EDB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4D91661F" w14:textId="77777777" w:rsidR="00DC1EDB" w:rsidRDefault="00DC1EDB"/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14:paraId="5E079916" w14:textId="77777777" w:rsidR="00DC1EDB" w:rsidRDefault="00DC1EDB"/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88DB6C" w14:textId="77777777" w:rsidR="00DC1EDB" w:rsidRDefault="00DC1EDB" w:rsidP="00DC1EDB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6B6CB" w14:textId="77777777" w:rsidR="00DC1EDB" w:rsidRDefault="00DC1EDB" w:rsidP="00DC1EDB">
            <w:pPr>
              <w:jc w:val="right"/>
            </w:pPr>
          </w:p>
        </w:tc>
      </w:tr>
      <w:tr w:rsidR="00BE0690" w14:paraId="70AF087F" w14:textId="77777777" w:rsidTr="00DC1EDB">
        <w:trPr>
          <w:trHeight w:val="547"/>
        </w:trPr>
        <w:tc>
          <w:tcPr>
            <w:tcW w:w="2834" w:type="dxa"/>
            <w:tcBorders>
              <w:top w:val="nil"/>
              <w:left w:val="nil"/>
              <w:bottom w:val="nil"/>
            </w:tcBorders>
          </w:tcPr>
          <w:p w14:paraId="330A91F7" w14:textId="77777777" w:rsidR="00BE0690" w:rsidRDefault="00BE0690" w:rsidP="00DC1EDB">
            <w:pPr>
              <w:jc w:val="right"/>
            </w:pPr>
            <w:r>
              <w:t>Descriptions of Activities</w:t>
            </w:r>
          </w:p>
        </w:tc>
        <w:tc>
          <w:tcPr>
            <w:tcW w:w="11340" w:type="dxa"/>
            <w:gridSpan w:val="6"/>
          </w:tcPr>
          <w:p w14:paraId="378E7F1B" w14:textId="77777777" w:rsidR="00BE0690" w:rsidRDefault="0064476D" w:rsidP="00B145F6">
            <w:r>
              <w:t xml:space="preserve">Risk assessment for laboratory work </w:t>
            </w:r>
            <w:r w:rsidR="00931776">
              <w:t xml:space="preserve">at the University of Warwick site </w:t>
            </w:r>
            <w:r>
              <w:t xml:space="preserve">conducted by </w:t>
            </w:r>
            <w:r w:rsidR="00B145F6">
              <w:t>Dr Paul Goddard</w:t>
            </w:r>
            <w:r>
              <w:t>.</w:t>
            </w:r>
          </w:p>
        </w:tc>
      </w:tr>
      <w:tr w:rsidR="00DC1EDB" w14:paraId="2FC858DF" w14:textId="77777777" w:rsidTr="00B16B23">
        <w:trPr>
          <w:trHeight w:val="22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5E5DA3D" w14:textId="77777777" w:rsidR="00DC1EDB" w:rsidRDefault="00DC1EDB" w:rsidP="00DC1EDB">
            <w:pPr>
              <w:jc w:val="right"/>
            </w:pPr>
          </w:p>
        </w:tc>
        <w:tc>
          <w:tcPr>
            <w:tcW w:w="43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F2116D" w14:textId="77777777" w:rsidR="00DC1EDB" w:rsidRDefault="00DC1EDB"/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14:paraId="2A937670" w14:textId="77777777" w:rsidR="00DC1EDB" w:rsidRDefault="00DC1EDB"/>
        </w:tc>
        <w:tc>
          <w:tcPr>
            <w:tcW w:w="42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33797B" w14:textId="77777777" w:rsidR="00DC1EDB" w:rsidRDefault="00DC1EDB"/>
        </w:tc>
      </w:tr>
      <w:tr w:rsidR="00DC1EDB" w14:paraId="37CF96C8" w14:textId="77777777" w:rsidTr="00B16B23">
        <w:trPr>
          <w:trHeight w:val="659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4026" w14:textId="77777777" w:rsidR="00BE0690" w:rsidRDefault="00BE0690" w:rsidP="00DC1EDB">
            <w:pPr>
              <w:jc w:val="right"/>
            </w:pPr>
            <w:r>
              <w:t>Name of those working to this assessment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32D" w14:textId="77777777" w:rsidR="00BE0690" w:rsidRDefault="005A1849">
            <w:r>
              <w:t>Paul Goddard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7793A" w14:textId="77777777" w:rsidR="00BE0690" w:rsidRDefault="00BE0690" w:rsidP="00DC1EDB">
            <w:pPr>
              <w:jc w:val="right"/>
            </w:pPr>
            <w:r>
              <w:t>Any others who may be affected by this assessment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4DB" w14:textId="77777777" w:rsidR="00BE0690" w:rsidRDefault="0064476D" w:rsidP="00931776">
            <w:r>
              <w:t xml:space="preserve">Other </w:t>
            </w:r>
            <w:r w:rsidR="00931776">
              <w:t>team members who use the lab spaces and equipment</w:t>
            </w:r>
          </w:p>
        </w:tc>
      </w:tr>
      <w:tr w:rsidR="00DC1EDB" w14:paraId="6F76BB89" w14:textId="77777777" w:rsidTr="00B16B23">
        <w:trPr>
          <w:trHeight w:val="413"/>
        </w:trPr>
        <w:tc>
          <w:tcPr>
            <w:tcW w:w="2834" w:type="dxa"/>
            <w:tcBorders>
              <w:top w:val="nil"/>
              <w:left w:val="nil"/>
              <w:bottom w:val="nil"/>
            </w:tcBorders>
          </w:tcPr>
          <w:p w14:paraId="31D84C9A" w14:textId="77777777" w:rsidR="00DC1EDB" w:rsidRDefault="00DC1EDB" w:rsidP="00DC1EDB">
            <w:pPr>
              <w:jc w:val="right"/>
            </w:pPr>
            <w:r>
              <w:t>Assessment carried out by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1FF7088" w14:textId="77777777" w:rsidR="00E7022E" w:rsidRDefault="005A1849">
            <w:r>
              <w:t>Paul Goddard</w:t>
            </w:r>
          </w:p>
        </w:tc>
        <w:tc>
          <w:tcPr>
            <w:tcW w:w="69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D0146" w14:textId="77777777" w:rsidR="00DC1EDB" w:rsidRDefault="00DC1EDB"/>
        </w:tc>
      </w:tr>
      <w:tr w:rsidR="00D3749F" w14:paraId="771D42B6" w14:textId="77777777" w:rsidTr="0023717E">
        <w:trPr>
          <w:trHeight w:val="41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9056032" w14:textId="77777777" w:rsidR="00D3749F" w:rsidRDefault="00D3749F" w:rsidP="00DC1EDB">
            <w:pPr>
              <w:jc w:val="right"/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82785" w14:textId="77777777" w:rsidR="00D3749F" w:rsidRDefault="00D3749F"/>
        </w:tc>
        <w:tc>
          <w:tcPr>
            <w:tcW w:w="6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0EC7C" w14:textId="77777777" w:rsidR="00D3749F" w:rsidRDefault="00D3749F"/>
        </w:tc>
      </w:tr>
    </w:tbl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2836"/>
        <w:gridCol w:w="11340"/>
      </w:tblGrid>
      <w:tr w:rsidR="00D3749F" w14:paraId="09250A84" w14:textId="77777777" w:rsidTr="0023717E">
        <w:trPr>
          <w:trHeight w:val="3127"/>
        </w:trPr>
        <w:tc>
          <w:tcPr>
            <w:tcW w:w="2836" w:type="dxa"/>
            <w:tcBorders>
              <w:left w:val="single" w:sz="4" w:space="0" w:color="D8D8D8"/>
              <w:bottom w:val="single" w:sz="4" w:space="0" w:color="D8D8D8"/>
              <w:right w:val="single" w:sz="4" w:space="0" w:color="auto"/>
            </w:tcBorders>
          </w:tcPr>
          <w:p w14:paraId="38952F03" w14:textId="77777777" w:rsidR="00D3749F" w:rsidRPr="00967DA2" w:rsidRDefault="00D3749F" w:rsidP="00A91EEE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967DA2">
              <w:rPr>
                <w:rFonts w:asciiTheme="minorHAnsi" w:hAnsiTheme="minorHAnsi" w:cs="Arial"/>
                <w:sz w:val="22"/>
                <w:szCs w:val="22"/>
              </w:rPr>
              <w:t>Additional information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956" w14:textId="77777777" w:rsidR="00D3749F" w:rsidRDefault="00D3749F" w:rsidP="00A91EEE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</w:p>
        </w:tc>
      </w:tr>
    </w:tbl>
    <w:p w14:paraId="6D112E5C" w14:textId="77777777" w:rsidR="00BE0690" w:rsidRDefault="00BE0690"/>
    <w:p w14:paraId="472C7968" w14:textId="77777777" w:rsidR="00D3749F" w:rsidRDefault="00D3749F"/>
    <w:p w14:paraId="103A5989" w14:textId="77777777" w:rsidR="0023717E" w:rsidRDefault="0023717E"/>
    <w:p w14:paraId="29898C93" w14:textId="77777777" w:rsidR="00D3749F" w:rsidRDefault="00D3749F"/>
    <w:tbl>
      <w:tblPr>
        <w:tblW w:w="14298" w:type="dxa"/>
        <w:tblInd w:w="103" w:type="dxa"/>
        <w:tblLook w:val="04A0" w:firstRow="1" w:lastRow="0" w:firstColumn="1" w:lastColumn="0" w:noHBand="0" w:noVBand="1"/>
      </w:tblPr>
      <w:tblGrid>
        <w:gridCol w:w="1990"/>
        <w:gridCol w:w="3960"/>
        <w:gridCol w:w="1143"/>
        <w:gridCol w:w="3685"/>
        <w:gridCol w:w="2180"/>
        <w:gridCol w:w="1340"/>
      </w:tblGrid>
      <w:tr w:rsidR="000A10B3" w:rsidRPr="000A10B3" w14:paraId="0E3C5A58" w14:textId="77777777" w:rsidTr="00DC1EDB">
        <w:trPr>
          <w:trHeight w:val="945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14:paraId="1CE2B8E6" w14:textId="77777777" w:rsidR="000A10B3" w:rsidRPr="000A10B3" w:rsidRDefault="000A10B3" w:rsidP="000A1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Foreseeable Significant Hazard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14:paraId="40DC0CB2" w14:textId="77777777" w:rsidR="000A10B3" w:rsidRPr="000A10B3" w:rsidRDefault="000A10B3" w:rsidP="000A1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Existing control measures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14:paraId="54DFEAE5" w14:textId="77777777" w:rsidR="000A10B3" w:rsidRPr="000A10B3" w:rsidRDefault="000A10B3" w:rsidP="000A1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Inherent Risk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14:paraId="2D43320D" w14:textId="77777777" w:rsidR="000A10B3" w:rsidRPr="000A10B3" w:rsidRDefault="000A10B3" w:rsidP="000A1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Additional control measures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14:paraId="05E3F4EB" w14:textId="77777777" w:rsidR="000A10B3" w:rsidRPr="000A10B3" w:rsidRDefault="000A10B3" w:rsidP="000A1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 xml:space="preserve">By whom &amp; when 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14:paraId="153786D5" w14:textId="77777777" w:rsidR="000A10B3" w:rsidRPr="000A10B3" w:rsidRDefault="000A10B3" w:rsidP="000A1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 xml:space="preserve">Controlled Risk Level </w:t>
            </w:r>
          </w:p>
        </w:tc>
      </w:tr>
      <w:tr w:rsidR="00931776" w:rsidRPr="006F523D" w14:paraId="214475C4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3C62A7F4" w14:textId="77777777" w:rsidR="00931776" w:rsidRDefault="00931776" w:rsidP="0064476D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Laser exposure - ruby spectrometer</w:t>
            </w:r>
            <w:r w:rsidR="000B7C41">
              <w:rPr>
                <w:rFonts w:ascii="Calibri" w:hAnsi="Calibri"/>
                <w:b/>
                <w:bCs/>
                <w:color w:val="000099"/>
              </w:rPr>
              <w:t xml:space="preserve"> (normal use)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FD20825" w14:textId="77777777" w:rsidR="000B7C41" w:rsidRDefault="00472E0E" w:rsidP="000B7C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Laser equipment only to be used by trained</w:t>
            </w:r>
            <w:r w:rsidR="000B7C41">
              <w:rPr>
                <w:rFonts w:ascii="Calibri" w:eastAsia="Times New Roman" w:hAnsi="Calibri" w:cs="Times New Roman"/>
              </w:rPr>
              <w:t xml:space="preserve"> and authorised</w:t>
            </w:r>
            <w:r>
              <w:rPr>
                <w:rFonts w:ascii="Calibri" w:eastAsia="Times New Roman" w:hAnsi="Calibri" w:cs="Times New Roman"/>
              </w:rPr>
              <w:t xml:space="preserve"> personnel. </w:t>
            </w:r>
            <w:r w:rsidR="005A25C4">
              <w:rPr>
                <w:rFonts w:ascii="Calibri" w:eastAsia="Times New Roman" w:hAnsi="Calibri" w:cs="Times New Roman"/>
              </w:rPr>
              <w:t>Full e</w:t>
            </w:r>
            <w:r>
              <w:rPr>
                <w:rFonts w:ascii="Calibri" w:eastAsia="Times New Roman" w:hAnsi="Calibri" w:cs="Times New Roman"/>
              </w:rPr>
              <w:t xml:space="preserve">nclosure </w:t>
            </w:r>
            <w:r w:rsidR="005A25C4">
              <w:rPr>
                <w:rFonts w:ascii="Calibri" w:eastAsia="Times New Roman" w:hAnsi="Calibri" w:cs="Times New Roman"/>
              </w:rPr>
              <w:t xml:space="preserve">fitted </w:t>
            </w:r>
            <w:r>
              <w:rPr>
                <w:rFonts w:ascii="Calibri" w:eastAsia="Times New Roman" w:hAnsi="Calibri" w:cs="Times New Roman"/>
              </w:rPr>
              <w:t>to prevent accidental exposure</w:t>
            </w:r>
            <w:r w:rsidR="006E545F">
              <w:rPr>
                <w:rFonts w:ascii="Calibri" w:eastAsia="Times New Roman" w:hAnsi="Calibri" w:cs="Times New Roman"/>
              </w:rPr>
              <w:t xml:space="preserve"> to high power beam sections</w:t>
            </w:r>
            <w:r>
              <w:rPr>
                <w:rFonts w:ascii="Calibri" w:eastAsia="Times New Roman" w:hAnsi="Calibri" w:cs="Times New Roman"/>
              </w:rPr>
              <w:t>.</w:t>
            </w:r>
            <w:r w:rsidR="006E545F">
              <w:rPr>
                <w:rFonts w:ascii="Calibri" w:eastAsia="Times New Roman" w:hAnsi="Calibri" w:cs="Times New Roman"/>
              </w:rPr>
              <w:t xml:space="preserve"> Output from enclosure (end of fiber optic) is 1 mW, 532 </w:t>
            </w:r>
            <w:r w:rsidR="000B7C41">
              <w:rPr>
                <w:rFonts w:ascii="Calibri" w:eastAsia="Times New Roman" w:hAnsi="Calibri" w:cs="Times New Roman"/>
              </w:rPr>
              <w:t>nm visible CW. Overall system therefore does not exceed the power limit of laser</w:t>
            </w:r>
            <w:r w:rsidR="006E545F">
              <w:rPr>
                <w:rFonts w:ascii="Calibri" w:eastAsia="Times New Roman" w:hAnsi="Calibri" w:cs="Times New Roman"/>
              </w:rPr>
              <w:t xml:space="preserve"> Class 2 – no further safety measures than appropriate signage required. </w:t>
            </w:r>
            <w:r w:rsidR="00C04EE5">
              <w:rPr>
                <w:rFonts w:ascii="Calibri" w:eastAsia="Times New Roman" w:hAnsi="Calibri" w:cs="Times New Roman"/>
              </w:rPr>
              <w:t>D</w:t>
            </w:r>
            <w:r w:rsidR="006E545F">
              <w:rPr>
                <w:rFonts w:ascii="Calibri" w:eastAsia="Times New Roman" w:hAnsi="Calibri" w:cs="Times New Roman"/>
              </w:rPr>
              <w:t>edicated r</w:t>
            </w:r>
            <w:r w:rsidR="000B7C41">
              <w:rPr>
                <w:rFonts w:ascii="Calibri" w:eastAsia="Times New Roman" w:hAnsi="Calibri" w:cs="Times New Roman"/>
              </w:rPr>
              <w:t>isk assessment and safe system</w:t>
            </w:r>
            <w:r w:rsidR="006E545F">
              <w:rPr>
                <w:rFonts w:ascii="Calibri" w:eastAsia="Times New Roman" w:hAnsi="Calibri" w:cs="Times New Roman"/>
              </w:rPr>
              <w:t xml:space="preserve"> of work </w:t>
            </w:r>
            <w:r w:rsidR="000B7C41">
              <w:rPr>
                <w:rFonts w:ascii="Calibri" w:eastAsia="Times New Roman" w:hAnsi="Calibri" w:cs="Times New Roman"/>
              </w:rPr>
              <w:t xml:space="preserve">are provided separately and kept with the laser. </w:t>
            </w:r>
            <w:r w:rsidR="00C04EE5">
              <w:rPr>
                <w:rFonts w:ascii="Calibri" w:eastAsia="Times New Roman" w:hAnsi="Calibri" w:cs="Times New Roman"/>
              </w:rPr>
              <w:t>All users must review.</w:t>
            </w:r>
          </w:p>
          <w:p w14:paraId="278F3861" w14:textId="77777777" w:rsidR="00931776" w:rsidRDefault="000B7C41" w:rsidP="000B7C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Note that opening the bolted enclosure and</w:t>
            </w:r>
            <w:r w:rsidR="006E545F">
              <w:rPr>
                <w:rFonts w:ascii="Calibri" w:eastAsia="Times New Roman" w:hAnsi="Calibri" w:cs="Times New Roman"/>
              </w:rPr>
              <w:t xml:space="preserve"> defeating the interlocks </w:t>
            </w:r>
            <w:r>
              <w:rPr>
                <w:rFonts w:ascii="Calibri" w:eastAsia="Times New Roman" w:hAnsi="Calibri" w:cs="Times New Roman"/>
              </w:rPr>
              <w:t>renders</w:t>
            </w:r>
            <w:r w:rsidR="006E545F">
              <w:rPr>
                <w:rFonts w:ascii="Calibri" w:eastAsia="Times New Roman" w:hAnsi="Calibri" w:cs="Times New Roman"/>
              </w:rPr>
              <w:t xml:space="preserve"> the system </w:t>
            </w:r>
            <w:r>
              <w:rPr>
                <w:rFonts w:ascii="Calibri" w:eastAsia="Times New Roman" w:hAnsi="Calibri" w:cs="Times New Roman"/>
              </w:rPr>
              <w:t xml:space="preserve">a </w:t>
            </w:r>
            <w:r w:rsidR="006E545F">
              <w:rPr>
                <w:rFonts w:ascii="Calibri" w:eastAsia="Times New Roman" w:hAnsi="Calibri" w:cs="Times New Roman"/>
              </w:rPr>
              <w:t>Class 3b</w:t>
            </w:r>
            <w:r>
              <w:rPr>
                <w:rFonts w:ascii="Calibri" w:eastAsia="Times New Roman" w:hAnsi="Calibri" w:cs="Times New Roman"/>
              </w:rPr>
              <w:t xml:space="preserve"> laser hazard, as advised by signage</w:t>
            </w:r>
            <w:r w:rsidR="006E545F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6E545F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This is necessary for realigning the system and </w:t>
            </w:r>
            <w:r w:rsidR="00955CEE">
              <w:rPr>
                <w:rFonts w:ascii="Calibri" w:eastAsia="Times New Roman" w:hAnsi="Calibri" w:cs="Times New Roman"/>
              </w:rPr>
              <w:t xml:space="preserve">this operation </w:t>
            </w:r>
            <w:r>
              <w:rPr>
                <w:rFonts w:ascii="Calibri" w:eastAsia="Times New Roman" w:hAnsi="Calibri" w:cs="Times New Roman"/>
              </w:rPr>
              <w:t>requires separate specific training, risk assessment and authorisation.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3C7298E9" w14:textId="77777777" w:rsidR="00931776" w:rsidRDefault="00931776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Severe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360FAEA" w14:textId="77777777" w:rsidR="00931776" w:rsidRPr="001A2CC3" w:rsidRDefault="006E545F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Clear signage informs personnel of the laser class and hazards. Avoid staring into the beam output from the optical fibre.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0A869570" w14:textId="77777777" w:rsidR="00931776" w:rsidRDefault="00931776" w:rsidP="000B7C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User</w:t>
            </w:r>
            <w:r w:rsidR="000B7C41">
              <w:rPr>
                <w:rFonts w:ascii="Calibri" w:eastAsia="Times New Roman" w:hAnsi="Calibri" w:cs="Times New Roman"/>
              </w:rPr>
              <w:t>s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81FA687" w14:textId="77777777" w:rsidR="00931776" w:rsidRDefault="006E545F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 xml:space="preserve">V </w:t>
            </w:r>
            <w:r w:rsidR="00931776"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  <w:tr w:rsidR="000B7C41" w:rsidRPr="006F523D" w14:paraId="52C4CFF7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5A66A92F" w14:textId="77777777" w:rsidR="000B7C41" w:rsidRDefault="000B7C41" w:rsidP="000B7C4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Laser exposure - ruby spectrometer (realignment)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F7546C5" w14:textId="77777777" w:rsidR="000B7C41" w:rsidRDefault="000B7C41" w:rsidP="000B7C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Laser equipment only to be used by trained and authorised personnel – authorised specifically for this operation in addition to the normal use. </w:t>
            </w:r>
          </w:p>
          <w:p w14:paraId="4128AD1D" w14:textId="77777777" w:rsidR="000B7C41" w:rsidRDefault="000B7C41" w:rsidP="000B7C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This operation requires opening the enclosure and overriding the interlocks to keep the beam on while adjusting the alignment of optical components. The laser hazard is therefore Class 3b. </w:t>
            </w:r>
          </w:p>
          <w:p w14:paraId="5085F831" w14:textId="77777777" w:rsidR="000B7C41" w:rsidRDefault="000B7C41" w:rsidP="000B7C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E8F54A8" w14:textId="77777777" w:rsidR="00C04EE5" w:rsidRDefault="00C04EE5" w:rsidP="00C04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Dedicated risk assessment and safe system of work are provided separately and kept with the laser. All users must review.</w:t>
            </w:r>
          </w:p>
          <w:p w14:paraId="1BAF773E" w14:textId="77777777" w:rsidR="000B7C41" w:rsidRDefault="000B7C41" w:rsidP="000B7C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357E4091" w14:textId="77777777" w:rsidR="000B7C41" w:rsidRDefault="000B7C41" w:rsidP="000B7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Severe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477FD99C" w14:textId="77777777" w:rsidR="000B7C41" w:rsidRPr="001A2CC3" w:rsidRDefault="000B7C41" w:rsidP="00F213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Clear signage informs personnel of the laser class and hazards. To be carried out only in a keycode locked room with no optical access and clear signage forbidding entry. Lab then constitutes a Laser Controlled Area. Only users specifically trained and authorised for the realignment operation to be permitted inside the Area. Laser safety goggles appropriate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to this laser are kept with the system – these must be worn </w:t>
            </w:r>
            <w:r w:rsidR="00C04EE5">
              <w:rPr>
                <w:rFonts w:ascii="Calibri" w:eastAsia="Times New Roman" w:hAnsi="Calibri" w:cs="Times New Roman"/>
              </w:rPr>
              <w:t>throughout, but not solely relied upon.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0ECC14D6" w14:textId="77777777" w:rsidR="000B7C41" w:rsidRDefault="000B7C41" w:rsidP="000B7C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Users trained and authorised for this specific operation only – all other personnel to be removed from laser controlled area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4647FD14" w14:textId="77777777" w:rsidR="000B7C41" w:rsidRDefault="000B7C41" w:rsidP="000B7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V Low</w:t>
            </w:r>
          </w:p>
        </w:tc>
      </w:tr>
      <w:tr w:rsidR="00814385" w:rsidRPr="006F523D" w14:paraId="5CEF7063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36B1F8E" w14:textId="77777777" w:rsidR="00814385" w:rsidRDefault="0036784B" w:rsidP="0064476D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lastRenderedPageBreak/>
              <w:t xml:space="preserve">Diamond Anvil </w:t>
            </w:r>
            <w:r w:rsidR="00814385">
              <w:rPr>
                <w:rFonts w:ascii="Calibri" w:hAnsi="Calibri"/>
                <w:b/>
                <w:bCs/>
                <w:color w:val="000099"/>
              </w:rPr>
              <w:t>Pressure cells – mechanical failures under load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FA668D9" w14:textId="77777777" w:rsidR="00814385" w:rsidRDefault="00814385" w:rsidP="00367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4385">
              <w:rPr>
                <w:rFonts w:ascii="Calibri" w:eastAsia="Times New Roman" w:hAnsi="Calibri" w:cs="Times New Roman"/>
              </w:rPr>
              <w:t xml:space="preserve">Safety goggles </w:t>
            </w:r>
            <w:r w:rsidR="0036784B">
              <w:rPr>
                <w:rFonts w:ascii="Calibri" w:eastAsia="Times New Roman" w:hAnsi="Calibri" w:cs="Times New Roman"/>
              </w:rPr>
              <w:t>worn when loading (loading refers to increasing the stored pressure via an external hydraulic press).</w:t>
            </w:r>
            <w:r w:rsidRPr="00814385">
              <w:rPr>
                <w:rFonts w:ascii="Calibri" w:eastAsia="Times New Roman" w:hAnsi="Calibri" w:cs="Times New Roman"/>
              </w:rPr>
              <w:t xml:space="preserve"> </w:t>
            </w:r>
          </w:p>
          <w:p w14:paraId="4E1113A4" w14:textId="77777777" w:rsidR="0078786D" w:rsidRDefault="0078786D" w:rsidP="00367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Specifically trained and authorised users only.</w:t>
            </w:r>
          </w:p>
          <w:p w14:paraId="002B4702" w14:textId="77777777" w:rsidR="006B65F4" w:rsidRDefault="006B65F4" w:rsidP="00367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stored energy in a diamond anvil type cell is extremely low due to the small pressure fluid volume.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174FD5B2" w14:textId="77777777" w:rsidR="00814385" w:rsidRDefault="0036784B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Minor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CC5C975" w14:textId="77777777" w:rsidR="00814385" w:rsidRDefault="0078786D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Only trained users to be present in the lab during loading operations.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7ACE73C2" w14:textId="77777777" w:rsidR="00814385" w:rsidRDefault="00814385" w:rsidP="00A27E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User, and (reduced risk) personnel in lab during operation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5D3BDF39" w14:textId="77777777" w:rsidR="00814385" w:rsidRDefault="00814385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  <w:tr w:rsidR="0036784B" w:rsidRPr="006F523D" w14:paraId="0745BC6F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8B76845" w14:textId="77777777" w:rsidR="0036784B" w:rsidRDefault="0036784B" w:rsidP="0036784B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Piston Cylinder Pressure cells – mechanical failures under load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5F2804E4" w14:textId="77777777" w:rsidR="00F213E4" w:rsidRDefault="0036784B" w:rsidP="007878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4385">
              <w:rPr>
                <w:rFonts w:ascii="Calibri" w:eastAsia="Times New Roman" w:hAnsi="Calibri" w:cs="Times New Roman"/>
              </w:rPr>
              <w:t xml:space="preserve">Safety goggles worn when handling. </w:t>
            </w:r>
            <w:r w:rsidR="0078786D">
              <w:rPr>
                <w:rFonts w:ascii="Calibri" w:eastAsia="Times New Roman" w:hAnsi="Calibri" w:cs="Times New Roman"/>
              </w:rPr>
              <w:t xml:space="preserve">Face guard worn during loading. </w:t>
            </w:r>
            <w:r w:rsidRPr="00814385">
              <w:rPr>
                <w:rFonts w:ascii="Calibri" w:eastAsia="Times New Roman" w:hAnsi="Calibri" w:cs="Times New Roman"/>
              </w:rPr>
              <w:t xml:space="preserve">Cells under load kept in </w:t>
            </w:r>
            <w:r w:rsidR="0078786D">
              <w:rPr>
                <w:rFonts w:ascii="Calibri" w:eastAsia="Times New Roman" w:hAnsi="Calibri" w:cs="Times New Roman"/>
              </w:rPr>
              <w:t>strong, secure, well-labelled</w:t>
            </w:r>
            <w:r w:rsidRPr="00814385">
              <w:rPr>
                <w:rFonts w:ascii="Calibri" w:eastAsia="Times New Roman" w:hAnsi="Calibri" w:cs="Times New Roman"/>
              </w:rPr>
              <w:t xml:space="preserve"> boxes when not in use. </w:t>
            </w:r>
          </w:p>
          <w:p w14:paraId="1D509943" w14:textId="3535C3E0" w:rsidR="0036784B" w:rsidRDefault="003D6FFF" w:rsidP="007878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 not point</w:t>
            </w:r>
            <w:r w:rsidR="00F213E4">
              <w:rPr>
                <w:rFonts w:ascii="Calibri" w:eastAsia="Times New Roman" w:hAnsi="Calibri" w:cs="Times New Roman"/>
              </w:rPr>
              <w:t xml:space="preserve"> cylindrical axis of the cell </w:t>
            </w:r>
            <w:r>
              <w:rPr>
                <w:rFonts w:ascii="Calibri" w:eastAsia="Times New Roman" w:hAnsi="Calibri" w:cs="Times New Roman"/>
              </w:rPr>
              <w:t>the</w:t>
            </w:r>
            <w:r w:rsidR="00F213E4">
              <w:rPr>
                <w:rFonts w:ascii="Calibri" w:eastAsia="Times New Roman" w:hAnsi="Calibri" w:cs="Times New Roman"/>
              </w:rPr>
              <w:t xml:space="preserve"> face when under load.</w:t>
            </w:r>
            <w:r w:rsidR="0036784B" w:rsidRPr="00814385">
              <w:rPr>
                <w:rFonts w:ascii="Calibri" w:eastAsia="Times New Roman" w:hAnsi="Calibri" w:cs="Times New Roman"/>
              </w:rPr>
              <w:t xml:space="preserve"> </w:t>
            </w:r>
          </w:p>
          <w:p w14:paraId="38147189" w14:textId="77777777" w:rsidR="006B65F4" w:rsidRDefault="0078786D" w:rsidP="007878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Specifically trained and authorised users only.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03547894" w14:textId="77777777" w:rsidR="0036784B" w:rsidRDefault="0036784B" w:rsidP="0036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Severe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5AA27724" w14:textId="77777777" w:rsidR="0036784B" w:rsidRDefault="0078786D" w:rsidP="00367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Only trained users to be present in the lab during loading operations. Two users must be present for loading operations.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5C194D2" w14:textId="77777777" w:rsidR="0036784B" w:rsidRDefault="0036784B" w:rsidP="007878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User</w:t>
            </w:r>
            <w:r w:rsidR="0078786D">
              <w:rPr>
                <w:rFonts w:ascii="Calibri" w:eastAsia="Times New Roman" w:hAnsi="Calibri" w:cs="Times New Roman"/>
              </w:rPr>
              <w:t>s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0E77069F" w14:textId="77777777" w:rsidR="0036784B" w:rsidRDefault="0036784B" w:rsidP="0036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  <w:tr w:rsidR="00814385" w:rsidRPr="006F523D" w14:paraId="59D86461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95AAA6B" w14:textId="64CED5F3" w:rsidR="00814385" w:rsidRDefault="00814385" w:rsidP="0064476D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 xml:space="preserve">Hydraulic </w:t>
            </w:r>
            <w:r w:rsidR="003D6FFF">
              <w:rPr>
                <w:rFonts w:ascii="Calibri" w:hAnsi="Calibri"/>
                <w:b/>
                <w:bCs/>
                <w:color w:val="000099"/>
              </w:rPr>
              <w:t xml:space="preserve">manual </w:t>
            </w:r>
            <w:r>
              <w:rPr>
                <w:rFonts w:ascii="Calibri" w:hAnsi="Calibri"/>
                <w:b/>
                <w:bCs/>
                <w:color w:val="000099"/>
              </w:rPr>
              <w:t>ram – catching body parts between surfaces under load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46489846" w14:textId="77777777" w:rsidR="00814385" w:rsidRDefault="00814385" w:rsidP="006E54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4385">
              <w:rPr>
                <w:rFonts w:ascii="Calibri" w:eastAsia="Times New Roman" w:hAnsi="Calibri" w:cs="Times New Roman"/>
              </w:rPr>
              <w:t>Ram fitted with surrounding guard plates - must be in place when ram under load. Hands etc to be kept out of enclosure while loading.</w:t>
            </w:r>
          </w:p>
          <w:p w14:paraId="6A068141" w14:textId="77777777" w:rsidR="0078786D" w:rsidRDefault="0078786D" w:rsidP="006E54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Specifically trained and authorised users only.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169993ED" w14:textId="77777777" w:rsidR="00814385" w:rsidRDefault="00814385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Severe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CCCA180" w14:textId="77777777" w:rsidR="00814385" w:rsidRDefault="0078786D" w:rsidP="007878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Only trained users to be present in the lab during operations where the press is under load.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715C5A07" w14:textId="77777777" w:rsidR="00814385" w:rsidRDefault="00814385" w:rsidP="007878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User</w:t>
            </w:r>
            <w:r w:rsidR="0078786D">
              <w:rPr>
                <w:rFonts w:ascii="Calibri" w:eastAsia="Times New Roman" w:hAnsi="Calibri" w:cs="Times New Roman"/>
              </w:rPr>
              <w:t>s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7EF6B706" w14:textId="77777777" w:rsidR="00814385" w:rsidRDefault="00814385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  <w:tr w:rsidR="00350BE3" w:rsidRPr="006F523D" w14:paraId="08D7E79F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5D8FB92C" w14:textId="77777777" w:rsidR="00350BE3" w:rsidRPr="006F523D" w:rsidRDefault="0064476D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Handling chemical samples – inhalation or ingestion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DBFC850" w14:textId="77777777" w:rsidR="00350BE3" w:rsidRPr="001A2CC3" w:rsidRDefault="00D43035" w:rsidP="00D430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MSDS to be consulted in each case and</w:t>
            </w:r>
            <w:r w:rsidR="002A01D8">
              <w:rPr>
                <w:rFonts w:ascii="Calibri" w:eastAsia="Times New Roman" w:hAnsi="Calibri" w:cs="Times New Roman"/>
              </w:rPr>
              <w:t xml:space="preserve"> appropriate</w:t>
            </w:r>
            <w:r>
              <w:rPr>
                <w:rFonts w:ascii="Calibri" w:eastAsia="Times New Roman" w:hAnsi="Calibri" w:cs="Times New Roman"/>
              </w:rPr>
              <w:t xml:space="preserve"> PPE worn and individual measures taken such as se of fume hoods in some cases</w:t>
            </w:r>
            <w:r w:rsidR="002A01D8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 xml:space="preserve">Standard lab procedures to be observed - no eating or drinking, hands to be washed after leaving etc.  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7174A483" w14:textId="77777777" w:rsidR="00350BE3" w:rsidRDefault="006A27C3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Minor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2D834BF" w14:textId="77777777" w:rsidR="00746214" w:rsidRPr="001A2CC3" w:rsidRDefault="00746214" w:rsidP="00746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5B6C404D" w14:textId="77777777" w:rsidR="00350BE3" w:rsidRPr="001A2CC3" w:rsidRDefault="00D43035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User, and (reduced risk) personnel in lab during operation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2EBBDA9" w14:textId="77777777" w:rsidR="00350BE3" w:rsidRPr="006F523D" w:rsidRDefault="00A27E1A" w:rsidP="00A2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V Low</w:t>
            </w:r>
          </w:p>
        </w:tc>
      </w:tr>
      <w:tr w:rsidR="00E7022E" w:rsidRPr="006F523D" w14:paraId="726872C8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5DDD6F77" w14:textId="77777777" w:rsidR="00E7022E" w:rsidRPr="006F523D" w:rsidRDefault="0064476D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lastRenderedPageBreak/>
              <w:t>Use of chemical solvents – irritation to skin or eyes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30A049F" w14:textId="77777777" w:rsidR="001A2CC3" w:rsidRPr="001A2CC3" w:rsidRDefault="00D43035" w:rsidP="00D430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  <w:r w:rsidR="002A01D8">
              <w:rPr>
                <w:rFonts w:ascii="Calibri" w:eastAsia="Times New Roman" w:hAnsi="Calibri" w:cs="Times New Roman"/>
              </w:rPr>
              <w:t>ppropriate PPE</w:t>
            </w:r>
            <w:r>
              <w:rPr>
                <w:rFonts w:ascii="Calibri" w:eastAsia="Times New Roman" w:hAnsi="Calibri" w:cs="Times New Roman"/>
              </w:rPr>
              <w:t xml:space="preserve"> and steps to be taken as with safety data sheets</w:t>
            </w:r>
            <w:r w:rsidR="002A01D8">
              <w:rPr>
                <w:rFonts w:ascii="Calibri" w:eastAsia="Times New Roman" w:hAnsi="Calibri" w:cs="Times New Roman"/>
              </w:rPr>
              <w:t xml:space="preserve">, as above. 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025FF9D1" w14:textId="77777777" w:rsidR="00E7022E" w:rsidRPr="001A2CC3" w:rsidRDefault="006A27C3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Low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36FF874A" w14:textId="77777777" w:rsidR="00FE6AC2" w:rsidRPr="001A2CC3" w:rsidRDefault="00D43035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Any spills must be correctly cleaned, and major spills require department to be notified. All solvents to be correctly disposed of.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03F5FCDA" w14:textId="77777777" w:rsidR="00E7022E" w:rsidRPr="001A2CC3" w:rsidRDefault="00D43035" w:rsidP="00A27E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User, and (reduced risk) personnel in lab during operation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0EF1EEF2" w14:textId="77777777" w:rsidR="00E7022E" w:rsidRPr="006F523D" w:rsidRDefault="00A27E1A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V Low</w:t>
            </w:r>
          </w:p>
        </w:tc>
      </w:tr>
      <w:tr w:rsidR="00931776" w:rsidRPr="006F523D" w14:paraId="47BE94C7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C085DB1" w14:textId="77777777" w:rsidR="00931776" w:rsidRDefault="00931776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Laboratory sharps - blades, needles and used glassware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57FF0CAA" w14:textId="77777777" w:rsidR="00931776" w:rsidRDefault="00931776" w:rsidP="001A2C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Adherence to safe lab protocol to be followed. Safe storage of sharps, and tidiness of work surfaces to keep hazards clear and identifiable. </w:t>
            </w:r>
            <w:r w:rsidR="00333F83">
              <w:rPr>
                <w:rFonts w:ascii="Calibri" w:eastAsia="Times New Roman" w:hAnsi="Calibri" w:cs="Times New Roman"/>
              </w:rPr>
              <w:t>All sharps to be disposed of in dedicated sharps containers.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E95CCE4" w14:textId="77777777" w:rsidR="00931776" w:rsidRDefault="00931776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Low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03E23FB1" w14:textId="77777777" w:rsidR="00931776" w:rsidRDefault="00931776" w:rsidP="00D374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9B21C54" w14:textId="77777777" w:rsidR="00931776" w:rsidRDefault="00333F83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personnel in lab environment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0F590BD" w14:textId="77777777" w:rsidR="00931776" w:rsidRDefault="00931776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  <w:tr w:rsidR="003923A7" w:rsidRPr="006F523D" w14:paraId="4B73965C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755E6244" w14:textId="77777777" w:rsidR="003923A7" w:rsidRPr="006F523D" w:rsidRDefault="006E07D1" w:rsidP="006E07D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cryogenic liquids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40ECD1F3" w14:textId="77777777" w:rsidR="001A2CC3" w:rsidRPr="001A2CC3" w:rsidRDefault="006E07D1" w:rsidP="005A25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Suitable ventilation</w:t>
            </w:r>
            <w:r w:rsidR="005A25C4">
              <w:rPr>
                <w:rFonts w:ascii="Calibri" w:eastAsia="Times New Roman" w:hAnsi="Calibri" w:cs="Times New Roman"/>
              </w:rPr>
              <w:t xml:space="preserve"> is</w:t>
            </w:r>
            <w:r>
              <w:rPr>
                <w:rFonts w:ascii="Calibri" w:eastAsia="Times New Roman" w:hAnsi="Calibri" w:cs="Times New Roman"/>
              </w:rPr>
              <w:t xml:space="preserve"> provided - asphyxiation hazard due to boiling croygenic liquids. </w:t>
            </w:r>
            <w:r w:rsidR="00680010">
              <w:rPr>
                <w:rFonts w:ascii="Calibri" w:eastAsia="Times New Roman" w:hAnsi="Calibri" w:cs="Times New Roman"/>
              </w:rPr>
              <w:t xml:space="preserve"> Dewars </w:t>
            </w:r>
            <w:r>
              <w:rPr>
                <w:rFonts w:ascii="Calibri" w:eastAsia="Times New Roman" w:hAnsi="Calibri" w:cs="Times New Roman"/>
              </w:rPr>
              <w:t xml:space="preserve">containing gases or cryogenic liquids </w:t>
            </w:r>
            <w:r w:rsidR="00680010">
              <w:rPr>
                <w:rFonts w:ascii="Calibri" w:eastAsia="Times New Roman" w:hAnsi="Calibri" w:cs="Times New Roman"/>
              </w:rPr>
              <w:t xml:space="preserve">are not to be accompanied in elevators. </w:t>
            </w:r>
            <w:r>
              <w:rPr>
                <w:rFonts w:ascii="Calibri" w:eastAsia="Times New Roman" w:hAnsi="Calibri" w:cs="Times New Roman"/>
              </w:rPr>
              <w:t>Eye and hand protection to be worn when handling croygens.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583F2BDF" w14:textId="77777777" w:rsidR="003923A7" w:rsidRPr="001A2CC3" w:rsidRDefault="006A27C3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Major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0A82E6A0" w14:textId="77777777" w:rsidR="003923A7" w:rsidRPr="001A2CC3" w:rsidRDefault="003923A7" w:rsidP="00D374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5AD64F15" w14:textId="77777777" w:rsidR="003923A7" w:rsidRPr="001A2CC3" w:rsidRDefault="00D43035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personnel in lab environment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AA4B2FD" w14:textId="77777777" w:rsidR="003923A7" w:rsidRPr="006F523D" w:rsidRDefault="00A27E1A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  <w:tr w:rsidR="001A2CC3" w:rsidRPr="006F523D" w14:paraId="22BCF45F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C5C2A54" w14:textId="77777777" w:rsidR="001A2CC3" w:rsidRPr="006F523D" w:rsidRDefault="0022073A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instruments involving large magnetic fields</w:t>
            </w:r>
            <w:r w:rsidR="002A01D8">
              <w:rPr>
                <w:rFonts w:ascii="Calibri" w:hAnsi="Calibri"/>
                <w:b/>
                <w:bCs/>
                <w:color w:val="000099"/>
              </w:rPr>
              <w:t xml:space="preserve"> – possible interference with pacemakers</w:t>
            </w:r>
            <w:r w:rsidR="006A27C3">
              <w:rPr>
                <w:rFonts w:ascii="Calibri" w:hAnsi="Calibri"/>
                <w:b/>
                <w:bCs/>
                <w:color w:val="000099"/>
              </w:rPr>
              <w:t xml:space="preserve"> or metal implants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6D0A95C" w14:textId="77777777" w:rsidR="001A2CC3" w:rsidRPr="001A2CC3" w:rsidRDefault="006E07D1" w:rsidP="006E07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</w:t>
            </w:r>
            <w:r w:rsidR="00680010">
              <w:rPr>
                <w:rFonts w:ascii="Calibri" w:eastAsia="Times New Roman" w:hAnsi="Calibri" w:cs="Times New Roman"/>
              </w:rPr>
              <w:t>arning signs displayed</w:t>
            </w:r>
            <w:r>
              <w:rPr>
                <w:rFonts w:ascii="Calibri" w:eastAsia="Times New Roman" w:hAnsi="Calibri" w:cs="Times New Roman"/>
              </w:rPr>
              <w:t xml:space="preserve"> to warn any entering lab of hazard</w:t>
            </w:r>
            <w:r w:rsidR="00680010">
              <w:rPr>
                <w:rFonts w:ascii="Calibri" w:eastAsia="Times New Roman" w:hAnsi="Calibri" w:cs="Times New Roman"/>
              </w:rPr>
              <w:t>.</w:t>
            </w:r>
            <w:r w:rsidR="005A25C4">
              <w:rPr>
                <w:rFonts w:ascii="Calibri" w:eastAsia="Times New Roman" w:hAnsi="Calibri" w:cs="Times New Roman"/>
              </w:rPr>
              <w:t xml:space="preserve"> Lab is keycode locked to allow only trained users access.</w:t>
            </w:r>
            <w:r>
              <w:rPr>
                <w:rFonts w:ascii="Calibri" w:eastAsia="Times New Roman" w:hAnsi="Calibri" w:cs="Times New Roman"/>
              </w:rPr>
              <w:t xml:space="preserve"> Loose metal objects or sensitive electronics to be kept outside safe radius of magnet</w:t>
            </w:r>
            <w:r w:rsidR="005A25C4">
              <w:rPr>
                <w:rFonts w:ascii="Calibri" w:eastAsia="Times New Roman" w:hAnsi="Calibri" w:cs="Times New Roman"/>
              </w:rPr>
              <w:t xml:space="preserve"> – this is marked on the floor</w:t>
            </w:r>
            <w:r>
              <w:rPr>
                <w:rFonts w:ascii="Calibri" w:eastAsia="Times New Roman" w:hAnsi="Calibri" w:cs="Times New Roman"/>
              </w:rPr>
              <w:t>.</w:t>
            </w:r>
            <w:r w:rsidR="00680010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DFE2E3F" w14:textId="77777777" w:rsidR="001A2CC3" w:rsidRPr="001A2CC3" w:rsidRDefault="006A27C3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Severe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4B412271" w14:textId="77777777" w:rsidR="001A2CC3" w:rsidRPr="001A2CC3" w:rsidRDefault="006E07D1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Non-essential </w:t>
            </w:r>
            <w:r w:rsidR="00D86227">
              <w:rPr>
                <w:rFonts w:ascii="Calibri" w:eastAsia="Times New Roman" w:hAnsi="Calibri" w:cs="Times New Roman"/>
              </w:rPr>
              <w:t>personnel</w:t>
            </w:r>
            <w:r>
              <w:rPr>
                <w:rFonts w:ascii="Calibri" w:eastAsia="Times New Roman" w:hAnsi="Calibri" w:cs="Times New Roman"/>
              </w:rPr>
              <w:t xml:space="preserve"> to be kept out of labs with strong magnetic fields active or potentially active.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CD3371F" w14:textId="77777777" w:rsidR="001A2CC3" w:rsidRPr="001A2CC3" w:rsidRDefault="00D43035" w:rsidP="005A25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All personnel in lab environment who may enter </w:t>
            </w:r>
            <w:r w:rsidR="005A25C4">
              <w:rPr>
                <w:rFonts w:ascii="Calibri" w:eastAsia="Times New Roman" w:hAnsi="Calibri" w:cs="Times New Roman"/>
              </w:rPr>
              <w:t>5 Gauss</w:t>
            </w:r>
            <w:r>
              <w:rPr>
                <w:rFonts w:ascii="Calibri" w:eastAsia="Times New Roman" w:hAnsi="Calibri" w:cs="Times New Roman"/>
              </w:rPr>
              <w:t xml:space="preserve"> line of magnet in question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DF67394" w14:textId="77777777" w:rsidR="001A2CC3" w:rsidRPr="006F523D" w:rsidRDefault="00A27E1A" w:rsidP="00A2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  <w:tr w:rsidR="00CE3EE1" w:rsidRPr="006F523D" w14:paraId="59A02685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45F7A0E0" w14:textId="77777777" w:rsidR="00CE3EE1" w:rsidRPr="006F523D" w:rsidRDefault="0022073A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Use of instruments involving X-ray generation (Ionising radiation source)</w:t>
            </w:r>
            <w:r w:rsidR="002A01D8">
              <w:rPr>
                <w:rFonts w:ascii="Calibri" w:hAnsi="Calibri"/>
                <w:b/>
                <w:bCs/>
                <w:color w:val="000099"/>
              </w:rPr>
              <w:t xml:space="preserve"> – possible </w:t>
            </w:r>
            <w:r w:rsidR="002A01D8">
              <w:rPr>
                <w:rFonts w:ascii="Calibri" w:hAnsi="Calibri"/>
                <w:b/>
                <w:bCs/>
                <w:color w:val="000099"/>
              </w:rPr>
              <w:lastRenderedPageBreak/>
              <w:t>radiation burns or cellular damage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47E38C56" w14:textId="77777777" w:rsidR="00CE3EE1" w:rsidRPr="001A2CC3" w:rsidRDefault="00680010" w:rsidP="005C3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Diffractometers are located in designated X-ray areas and </w:t>
            </w:r>
            <w:r w:rsidR="005C361A">
              <w:rPr>
                <w:rFonts w:ascii="Calibri" w:eastAsia="Times New Roman" w:hAnsi="Calibri" w:cs="Times New Roman"/>
              </w:rPr>
              <w:t>are commercial controlled setups including</w:t>
            </w:r>
            <w:r>
              <w:rPr>
                <w:rFonts w:ascii="Calibri" w:eastAsia="Times New Roman" w:hAnsi="Calibri" w:cs="Times New Roman"/>
              </w:rPr>
              <w:t xml:space="preserve"> interlocking doors and shields to prevent radiation exposure</w:t>
            </w:r>
            <w:r w:rsidR="006A27C3">
              <w:rPr>
                <w:rFonts w:ascii="Calibri" w:eastAsia="Times New Roman" w:hAnsi="Calibri" w:cs="Times New Roman"/>
              </w:rPr>
              <w:t xml:space="preserve"> </w:t>
            </w:r>
            <w:r w:rsidR="005C361A">
              <w:rPr>
                <w:rFonts w:ascii="Calibri" w:eastAsia="Times New Roman" w:hAnsi="Calibri" w:cs="Times New Roman"/>
              </w:rPr>
              <w:t>the surroundings</w:t>
            </w:r>
            <w:r>
              <w:rPr>
                <w:rFonts w:ascii="Calibri" w:eastAsia="Times New Roman" w:hAnsi="Calibri" w:cs="Times New Roman"/>
              </w:rPr>
              <w:t>, coupled with warning systems to indicate source is in use.</w:t>
            </w:r>
            <w:r w:rsidR="005C361A">
              <w:rPr>
                <w:rFonts w:ascii="Calibri" w:eastAsia="Times New Roman" w:hAnsi="Calibri" w:cs="Times New Roman"/>
              </w:rPr>
              <w:t xml:space="preserve"> Only to be used following proper training.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7F8BACB5" w14:textId="77777777" w:rsidR="00CE3EE1" w:rsidRPr="001A2CC3" w:rsidRDefault="006A27C3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Severe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C6DAA6B" w14:textId="77777777" w:rsidR="00CE3EE1" w:rsidRPr="001A2CC3" w:rsidRDefault="00D43035" w:rsidP="00746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Ionising radiation safety course and training on individual instruments to be completed. 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062F9EB8" w14:textId="77777777" w:rsidR="00CE3EE1" w:rsidRPr="001A2CC3" w:rsidRDefault="00D43035" w:rsidP="00A27E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User of</w:t>
            </w:r>
            <w:r w:rsidR="00A27E1A">
              <w:rPr>
                <w:rFonts w:ascii="Calibri" w:eastAsia="Times New Roman" w:hAnsi="Calibri" w:cs="Times New Roman"/>
              </w:rPr>
              <w:t xml:space="preserve"> instrument, and other personnel present while radiation source is in use.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BE8B622" w14:textId="77777777" w:rsidR="00CE3EE1" w:rsidRPr="006F523D" w:rsidRDefault="00A27E1A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V Low</w:t>
            </w:r>
          </w:p>
        </w:tc>
      </w:tr>
      <w:tr w:rsidR="0059164E" w:rsidRPr="006F523D" w14:paraId="65E4ABAA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FF29301" w14:textId="77777777" w:rsidR="0059164E" w:rsidRDefault="0059164E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lastRenderedPageBreak/>
              <w:t xml:space="preserve">Moveable platform – falls 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47FE93A2" w14:textId="77777777" w:rsidR="0059164E" w:rsidRDefault="00D43035" w:rsidP="000B7C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Brakes to be</w:t>
            </w:r>
            <w:r w:rsidR="0059164E">
              <w:rPr>
                <w:rFonts w:ascii="Calibri" w:eastAsia="Times New Roman" w:hAnsi="Calibri" w:cs="Times New Roman"/>
              </w:rPr>
              <w:t xml:space="preserve"> firmly applied</w:t>
            </w:r>
            <w:r>
              <w:rPr>
                <w:rFonts w:ascii="Calibri" w:eastAsia="Times New Roman" w:hAnsi="Calibri" w:cs="Times New Roman"/>
              </w:rPr>
              <w:t xml:space="preserve"> and stability checked</w:t>
            </w:r>
            <w:r w:rsidR="0059164E">
              <w:rPr>
                <w:rFonts w:ascii="Calibri" w:eastAsia="Times New Roman" w:hAnsi="Calibri" w:cs="Times New Roman"/>
              </w:rPr>
              <w:t xml:space="preserve"> before mounting the platform</w:t>
            </w:r>
            <w:r>
              <w:rPr>
                <w:rFonts w:ascii="Calibri" w:eastAsia="Times New Roman" w:hAnsi="Calibri" w:cs="Times New Roman"/>
              </w:rPr>
              <w:t>.</w:t>
            </w:r>
            <w:r w:rsidR="0059164E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O</w:t>
            </w:r>
            <w:r w:rsidR="0059164E">
              <w:rPr>
                <w:rFonts w:ascii="Calibri" w:eastAsia="Times New Roman" w:hAnsi="Calibri" w:cs="Times New Roman"/>
              </w:rPr>
              <w:t xml:space="preserve">verreach </w:t>
            </w:r>
            <w:r>
              <w:rPr>
                <w:rFonts w:ascii="Calibri" w:eastAsia="Times New Roman" w:hAnsi="Calibri" w:cs="Times New Roman"/>
              </w:rPr>
              <w:t xml:space="preserve">or overly strenuous tasks </w:t>
            </w:r>
            <w:r w:rsidR="0059164E">
              <w:rPr>
                <w:rFonts w:ascii="Calibri" w:eastAsia="Times New Roman" w:hAnsi="Calibri" w:cs="Times New Roman"/>
              </w:rPr>
              <w:t xml:space="preserve">over platform rails </w:t>
            </w:r>
            <w:r>
              <w:rPr>
                <w:rFonts w:ascii="Calibri" w:eastAsia="Times New Roman" w:hAnsi="Calibri" w:cs="Times New Roman"/>
              </w:rPr>
              <w:t>to be avoided. Large loads to be lifted with additional aid.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0C729AE0" w14:textId="77777777" w:rsidR="0059164E" w:rsidRDefault="0059164E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Minor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3AC41DE" w14:textId="77777777" w:rsidR="0059164E" w:rsidRPr="001A2CC3" w:rsidRDefault="0059164E" w:rsidP="006F52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267A7DC" w14:textId="77777777" w:rsidR="0059164E" w:rsidRDefault="0059164E" w:rsidP="00854D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User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7D9F5DF6" w14:textId="77777777" w:rsidR="0059164E" w:rsidRDefault="0059164E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  <w:tr w:rsidR="00931776" w:rsidRPr="006F523D" w14:paraId="5B57944E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09A77FF" w14:textId="77777777" w:rsidR="00931776" w:rsidRDefault="00931776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Spillages and trip hazards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0FA1FF2" w14:textId="77777777" w:rsidR="00931776" w:rsidRDefault="00931776" w:rsidP="005916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Fluid spillages or trailing wiring etc may constitute slip or trip hazards. Labs to be kept tidy and organised, and any spillages or mess to be cleared promptly.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6A84421" w14:textId="77777777" w:rsidR="00931776" w:rsidRDefault="00931776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Minor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04A8F30" w14:textId="77777777" w:rsidR="00931776" w:rsidRPr="001A2CC3" w:rsidRDefault="00931776" w:rsidP="006F52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763FF2D" w14:textId="77777777" w:rsidR="00931776" w:rsidRDefault="00931776" w:rsidP="00854D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Any personnel in environment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424139EA" w14:textId="3F8EA20F" w:rsidR="008E135E" w:rsidRDefault="00931776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V Low</w:t>
            </w:r>
          </w:p>
        </w:tc>
      </w:tr>
      <w:tr w:rsidR="008E135E" w:rsidRPr="006F523D" w14:paraId="1B47FE3E" w14:textId="77777777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50D8728" w14:textId="77777777" w:rsidR="008E135E" w:rsidRDefault="008E135E" w:rsidP="00CE4AD8">
            <w:pPr>
              <w:rPr>
                <w:rFonts w:ascii="Calibri" w:hAnsi="Calibri"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Machining and polishing of BeCu alloys</w:t>
            </w:r>
          </w:p>
          <w:p w14:paraId="57F4032F" w14:textId="4306B956" w:rsidR="008E135E" w:rsidRDefault="008E135E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Cs/>
                <w:color w:val="000099"/>
              </w:rPr>
              <w:t>Ingestion of toxic Beryllium-containing dust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7400EDBC" w14:textId="77777777" w:rsidR="008E135E" w:rsidRDefault="008E135E" w:rsidP="00CE4A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Minimal quantities involved (typically 8 mm disk, 0.08 mm thick, 0.5 mm diameter holes).</w:t>
            </w:r>
          </w:p>
          <w:p w14:paraId="62AD28CD" w14:textId="77777777" w:rsidR="008E135E" w:rsidRDefault="008E135E" w:rsidP="00CE4A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Select machining parameters to minimise production of particulate matter.</w:t>
            </w:r>
          </w:p>
          <w:p w14:paraId="280322B5" w14:textId="77777777" w:rsidR="008E135E" w:rsidRDefault="008E135E" w:rsidP="00CE4A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Ensure work area is free of draughts.</w:t>
            </w:r>
          </w:p>
          <w:p w14:paraId="1B573241" w14:textId="77777777" w:rsidR="008E135E" w:rsidRDefault="008E135E" w:rsidP="00CE4A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Clean work areas thoroughly after use.</w:t>
            </w:r>
          </w:p>
          <w:p w14:paraId="7B2F9970" w14:textId="77777777" w:rsidR="008E135E" w:rsidRDefault="008E135E" w:rsidP="00CE4A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Dispose of any contaminated gloves and cleaning tissues as hazardous waste in dedicated container within the lab.</w:t>
            </w:r>
          </w:p>
          <w:p w14:paraId="472B0C3F" w14:textId="6C1E55DF" w:rsidR="008E135E" w:rsidRDefault="008E135E" w:rsidP="005916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Conform to lab rules on washing hands and not eating and drinking in the lab environment.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5981B57C" w14:textId="62D13356" w:rsidR="008E135E" w:rsidRDefault="008E135E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Minor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01C45C3" w14:textId="0EAB56AB" w:rsidR="008E135E" w:rsidRPr="001A2CC3" w:rsidRDefault="008E135E" w:rsidP="006F52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All lab users to familiarise themselves with BeCu MSDS documentation. Only trained users to work machining BeCu. 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37AD4360" w14:textId="5E288B3A" w:rsidR="008E135E" w:rsidRDefault="008E135E" w:rsidP="00854D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personnel in lab environment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0CFE852E" w14:textId="5472173F" w:rsidR="008E135E" w:rsidRDefault="008E135E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</w:tbl>
    <w:p w14:paraId="49E16D6B" w14:textId="77777777" w:rsidR="0025774F" w:rsidRPr="006F523D" w:rsidRDefault="0025774F">
      <w:pPr>
        <w:rPr>
          <w:b/>
          <w:color w:val="000099"/>
        </w:rPr>
      </w:pPr>
      <w:r w:rsidRPr="006F523D">
        <w:rPr>
          <w:b/>
          <w:color w:val="000099"/>
        </w:rPr>
        <w:t>Work should not be carried out until the assessment is completed to a suitable &amp; sufficient level and all required control measures are in place.</w:t>
      </w:r>
    </w:p>
    <w:p w14:paraId="682F9017" w14:textId="77777777" w:rsidR="0063744F" w:rsidRDefault="0063744F"/>
    <w:p w14:paraId="03B7A39E" w14:textId="77777777" w:rsidR="0025774F" w:rsidRDefault="0025774F">
      <w:r>
        <w:t>Is assessment su</w:t>
      </w:r>
      <w:r w:rsidR="00B11120">
        <w:t xml:space="preserve">itable and sufficient       </w:t>
      </w:r>
      <w:r w:rsidR="007455F9">
        <w:t>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4456"/>
        <w:gridCol w:w="974"/>
        <w:gridCol w:w="1129"/>
        <w:gridCol w:w="5735"/>
      </w:tblGrid>
      <w:tr w:rsidR="0025774F" w14:paraId="7E3DF0AF" w14:textId="77777777" w:rsidTr="0025774F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14:paraId="370C8F09" w14:textId="77777777" w:rsidR="0025774F" w:rsidRDefault="0025774F" w:rsidP="0025774F">
            <w:r>
              <w:t>Any further actions required to allow work to commence</w:t>
            </w:r>
          </w:p>
          <w:p w14:paraId="77D80D4E" w14:textId="77777777" w:rsidR="007455F9" w:rsidRDefault="007455F9" w:rsidP="0025774F"/>
          <w:p w14:paraId="36835CA7" w14:textId="77777777" w:rsidR="0025774F" w:rsidRDefault="0025774F"/>
        </w:tc>
        <w:tc>
          <w:tcPr>
            <w:tcW w:w="7970" w:type="dxa"/>
            <w:gridSpan w:val="3"/>
            <w:tcBorders>
              <w:bottom w:val="single" w:sz="4" w:space="0" w:color="auto"/>
            </w:tcBorders>
          </w:tcPr>
          <w:p w14:paraId="68863B1F" w14:textId="77777777" w:rsidR="0025774F" w:rsidRDefault="0025774F"/>
          <w:p w14:paraId="009706E8" w14:textId="77777777" w:rsidR="00E7022E" w:rsidRDefault="00E7022E"/>
          <w:p w14:paraId="3CF0A250" w14:textId="77777777" w:rsidR="00B16B23" w:rsidRDefault="00B16B23"/>
          <w:p w14:paraId="768F9B18" w14:textId="77777777" w:rsidR="00B16B23" w:rsidRDefault="00B16B23"/>
        </w:tc>
      </w:tr>
      <w:tr w:rsidR="0063744F" w14:paraId="5B6DDEBE" w14:textId="77777777" w:rsidTr="0063744F">
        <w:tc>
          <w:tcPr>
            <w:tcW w:w="6204" w:type="dxa"/>
            <w:gridSpan w:val="2"/>
            <w:tcBorders>
              <w:left w:val="nil"/>
              <w:right w:val="nil"/>
            </w:tcBorders>
          </w:tcPr>
          <w:p w14:paraId="29476B47" w14:textId="77777777" w:rsidR="0063744F" w:rsidRDefault="0063744F" w:rsidP="0025774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EB4674" w14:textId="77777777" w:rsidR="0063744F" w:rsidRDefault="0063744F"/>
        </w:tc>
        <w:tc>
          <w:tcPr>
            <w:tcW w:w="1134" w:type="dxa"/>
            <w:tcBorders>
              <w:left w:val="nil"/>
              <w:right w:val="nil"/>
            </w:tcBorders>
          </w:tcPr>
          <w:p w14:paraId="63FAAACD" w14:textId="77777777" w:rsidR="0063744F" w:rsidRDefault="0063744F"/>
        </w:tc>
        <w:tc>
          <w:tcPr>
            <w:tcW w:w="5844" w:type="dxa"/>
            <w:tcBorders>
              <w:left w:val="nil"/>
              <w:right w:val="nil"/>
            </w:tcBorders>
          </w:tcPr>
          <w:p w14:paraId="2277726F" w14:textId="77777777" w:rsidR="0063744F" w:rsidRDefault="0063744F"/>
        </w:tc>
      </w:tr>
      <w:tr w:rsidR="0063744F" w14:paraId="575C530E" w14:textId="77777777" w:rsidTr="0063744F">
        <w:tc>
          <w:tcPr>
            <w:tcW w:w="1668" w:type="dxa"/>
            <w:vAlign w:val="center"/>
          </w:tcPr>
          <w:p w14:paraId="210717BC" w14:textId="77777777" w:rsidR="0063744F" w:rsidRDefault="0063744F" w:rsidP="0025774F">
            <w:pPr>
              <w:jc w:val="right"/>
            </w:pPr>
            <w:r>
              <w:t>Approved By</w:t>
            </w:r>
          </w:p>
        </w:tc>
        <w:tc>
          <w:tcPr>
            <w:tcW w:w="4536" w:type="dxa"/>
          </w:tcPr>
          <w:p w14:paraId="282652AD" w14:textId="77777777" w:rsidR="0063744F" w:rsidRDefault="00B04F52">
            <w:r>
              <w:t>Paul Goddard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13E8658" w14:textId="77777777" w:rsidR="0063744F" w:rsidRDefault="0063744F" w:rsidP="0063744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B4D375" w14:textId="77777777" w:rsidR="0063744F" w:rsidRDefault="0063744F" w:rsidP="0025774F">
            <w:pPr>
              <w:jc w:val="right"/>
            </w:pPr>
            <w:r>
              <w:t>Position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14:paraId="52210226" w14:textId="77777777" w:rsidR="0063744F" w:rsidRDefault="00B04F52">
            <w:r>
              <w:t>Principal Investigator</w:t>
            </w:r>
          </w:p>
        </w:tc>
      </w:tr>
      <w:tr w:rsidR="0063744F" w14:paraId="66A74101" w14:textId="77777777" w:rsidTr="0063744F">
        <w:tc>
          <w:tcPr>
            <w:tcW w:w="1668" w:type="dxa"/>
            <w:vAlign w:val="center"/>
          </w:tcPr>
          <w:p w14:paraId="0BEB2578" w14:textId="77777777" w:rsidR="0063744F" w:rsidRDefault="0063744F" w:rsidP="0025774F">
            <w:pPr>
              <w:jc w:val="right"/>
            </w:pPr>
            <w:r>
              <w:t>Date</w:t>
            </w:r>
          </w:p>
        </w:tc>
        <w:tc>
          <w:tcPr>
            <w:tcW w:w="4536" w:type="dxa"/>
          </w:tcPr>
          <w:p w14:paraId="570916DA" w14:textId="77777777" w:rsidR="0063744F" w:rsidRDefault="005A1849" w:rsidP="003D4BA4">
            <w:r>
              <w:t>26</w:t>
            </w:r>
            <w:r w:rsidRPr="005A1849">
              <w:rPr>
                <w:vertAlign w:val="superscript"/>
              </w:rPr>
              <w:t>th</w:t>
            </w:r>
            <w:r>
              <w:t xml:space="preserve"> September</w:t>
            </w:r>
            <w:r w:rsidR="00B04F52">
              <w:t xml:space="preserve"> 2019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2BE941F" w14:textId="77777777" w:rsidR="0063744F" w:rsidRDefault="0063744F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4452475" w14:textId="77777777" w:rsidR="0063744F" w:rsidRDefault="0063744F"/>
        </w:tc>
        <w:tc>
          <w:tcPr>
            <w:tcW w:w="5844" w:type="dxa"/>
            <w:tcBorders>
              <w:left w:val="nil"/>
              <w:bottom w:val="nil"/>
              <w:right w:val="nil"/>
            </w:tcBorders>
          </w:tcPr>
          <w:p w14:paraId="5B946303" w14:textId="77777777" w:rsidR="0063744F" w:rsidRDefault="0063744F"/>
        </w:tc>
      </w:tr>
    </w:tbl>
    <w:p w14:paraId="3975B82D" w14:textId="77777777" w:rsidR="0025774F" w:rsidRDefault="0025774F"/>
    <w:p w14:paraId="74277701" w14:textId="77777777" w:rsidR="00DC1EDB" w:rsidRDefault="00A92CC6" w:rsidP="00B145F6">
      <w:pPr>
        <w:outlineLvl w:val="0"/>
      </w:pPr>
      <w:r w:rsidRPr="00A92CC6">
        <w:t>Please print a copy, sign it and keep for your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39"/>
        <w:gridCol w:w="1106"/>
        <w:gridCol w:w="1106"/>
        <w:gridCol w:w="1106"/>
        <w:gridCol w:w="1106"/>
        <w:gridCol w:w="2212"/>
        <w:gridCol w:w="1481"/>
        <w:gridCol w:w="1134"/>
      </w:tblGrid>
      <w:tr w:rsidR="007D42B6" w:rsidRPr="002A1B7D" w14:paraId="0C882A22" w14:textId="77777777" w:rsidTr="007D42B6">
        <w:tc>
          <w:tcPr>
            <w:tcW w:w="1809" w:type="dxa"/>
            <w:shd w:val="clear" w:color="auto" w:fill="D9D9D9"/>
          </w:tcPr>
          <w:p w14:paraId="290D4758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63" w:type="dxa"/>
            <w:gridSpan w:val="5"/>
            <w:shd w:val="clear" w:color="auto" w:fill="D9D9D9"/>
          </w:tcPr>
          <w:p w14:paraId="7D76B6AF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lang w:eastAsia="en-US"/>
              </w:rPr>
              <w:t>Severity of injury</w:t>
            </w:r>
          </w:p>
        </w:tc>
        <w:tc>
          <w:tcPr>
            <w:tcW w:w="221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E4B4EDC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A1D2E5B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7D42B6" w:rsidRPr="002A1B7D" w14:paraId="0E94B65E" w14:textId="77777777" w:rsidTr="007D42B6">
        <w:tc>
          <w:tcPr>
            <w:tcW w:w="1809" w:type="dxa"/>
            <w:shd w:val="clear" w:color="auto" w:fill="D9D9D9"/>
          </w:tcPr>
          <w:p w14:paraId="5EC5225B" w14:textId="77777777" w:rsidR="007D42B6" w:rsidRPr="002A1B7D" w:rsidRDefault="007D42B6" w:rsidP="002A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  </w:t>
            </w:r>
            <w:r w:rsidRPr="002A1B7D">
              <w:rPr>
                <w:rFonts w:ascii="Arial" w:eastAsia="Times New Roman" w:hAnsi="Arial" w:cs="Arial"/>
                <w:b/>
                <w:bCs/>
                <w:lang w:eastAsia="en-US"/>
              </w:rPr>
              <w:t>Likelihood</w:t>
            </w:r>
          </w:p>
        </w:tc>
        <w:tc>
          <w:tcPr>
            <w:tcW w:w="1239" w:type="dxa"/>
            <w:shd w:val="clear" w:color="auto" w:fill="D9D9D9"/>
          </w:tcPr>
          <w:p w14:paraId="4BC3EC40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Superficial </w:t>
            </w:r>
          </w:p>
        </w:tc>
        <w:tc>
          <w:tcPr>
            <w:tcW w:w="1106" w:type="dxa"/>
            <w:shd w:val="clear" w:color="auto" w:fill="D9D9D9"/>
          </w:tcPr>
          <w:p w14:paraId="364B425F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Minor</w:t>
            </w:r>
          </w:p>
        </w:tc>
        <w:tc>
          <w:tcPr>
            <w:tcW w:w="1106" w:type="dxa"/>
            <w:shd w:val="clear" w:color="auto" w:fill="D9D9D9"/>
          </w:tcPr>
          <w:p w14:paraId="003DF84E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Serious </w:t>
            </w:r>
          </w:p>
        </w:tc>
        <w:tc>
          <w:tcPr>
            <w:tcW w:w="1106" w:type="dxa"/>
            <w:shd w:val="clear" w:color="auto" w:fill="D9D9D9"/>
          </w:tcPr>
          <w:p w14:paraId="646B67E1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Major</w:t>
            </w:r>
          </w:p>
        </w:tc>
        <w:tc>
          <w:tcPr>
            <w:tcW w:w="1106" w:type="dxa"/>
            <w:shd w:val="clear" w:color="auto" w:fill="D9D9D9"/>
          </w:tcPr>
          <w:p w14:paraId="077D0EA4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Extreme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63A75AA8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64DB7E6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42B6" w:rsidRPr="002A1B7D" w14:paraId="10E96657" w14:textId="77777777" w:rsidTr="007D42B6">
        <w:trPr>
          <w:trHeight w:val="284"/>
        </w:trPr>
        <w:tc>
          <w:tcPr>
            <w:tcW w:w="1809" w:type="dxa"/>
            <w:shd w:val="clear" w:color="auto" w:fill="D9D9D9"/>
          </w:tcPr>
          <w:p w14:paraId="7A24F662" w14:textId="77777777" w:rsidR="007D42B6" w:rsidRPr="002A1B7D" w:rsidRDefault="007D42B6" w:rsidP="002A1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Unlikely</w:t>
            </w:r>
          </w:p>
        </w:tc>
        <w:tc>
          <w:tcPr>
            <w:tcW w:w="1239" w:type="dxa"/>
          </w:tcPr>
          <w:p w14:paraId="770CFD51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US"/>
              </w:rPr>
              <w:t>Very low</w:t>
            </w:r>
          </w:p>
        </w:tc>
        <w:tc>
          <w:tcPr>
            <w:tcW w:w="1106" w:type="dxa"/>
          </w:tcPr>
          <w:p w14:paraId="485F0609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US"/>
              </w:rPr>
              <w:t>Very low</w:t>
            </w:r>
          </w:p>
        </w:tc>
        <w:tc>
          <w:tcPr>
            <w:tcW w:w="1106" w:type="dxa"/>
          </w:tcPr>
          <w:p w14:paraId="0077599F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14:paraId="7DB5CDC6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14:paraId="42A41ACB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CA4B87C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646459D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</w:p>
        </w:tc>
      </w:tr>
      <w:tr w:rsidR="007D42B6" w:rsidRPr="00EE0AB1" w14:paraId="3D8F2AE4" w14:textId="77777777" w:rsidTr="007D42B6">
        <w:trPr>
          <w:trHeight w:val="284"/>
        </w:trPr>
        <w:tc>
          <w:tcPr>
            <w:tcW w:w="1809" w:type="dxa"/>
            <w:shd w:val="clear" w:color="auto" w:fill="D9D9D9"/>
          </w:tcPr>
          <w:p w14:paraId="6507C3F6" w14:textId="77777777" w:rsidR="007D42B6" w:rsidRPr="002A1B7D" w:rsidRDefault="007D42B6" w:rsidP="002A1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Possible </w:t>
            </w:r>
          </w:p>
        </w:tc>
        <w:tc>
          <w:tcPr>
            <w:tcW w:w="1239" w:type="dxa"/>
          </w:tcPr>
          <w:p w14:paraId="75F5A295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US"/>
              </w:rPr>
              <w:t>Very low</w:t>
            </w:r>
          </w:p>
        </w:tc>
        <w:tc>
          <w:tcPr>
            <w:tcW w:w="1106" w:type="dxa"/>
          </w:tcPr>
          <w:p w14:paraId="6B6B35BF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14:paraId="0AF9D7E7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14:paraId="2DDC619B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06" w:type="dxa"/>
          </w:tcPr>
          <w:p w14:paraId="7A9942FC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en-US"/>
              </w:rPr>
              <w:t>High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64ABA8EB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87C2473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en-US"/>
              </w:rPr>
            </w:pPr>
          </w:p>
        </w:tc>
      </w:tr>
      <w:tr w:rsidR="007D42B6" w:rsidRPr="002A1B7D" w14:paraId="4D9E0AE8" w14:textId="77777777" w:rsidTr="007D42B6">
        <w:trPr>
          <w:trHeight w:val="284"/>
        </w:trPr>
        <w:tc>
          <w:tcPr>
            <w:tcW w:w="1809" w:type="dxa"/>
            <w:shd w:val="clear" w:color="auto" w:fill="D9D9D9"/>
          </w:tcPr>
          <w:p w14:paraId="386D41DF" w14:textId="77777777" w:rsidR="007D42B6" w:rsidRPr="002A1B7D" w:rsidRDefault="007D42B6" w:rsidP="002A1B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Likely</w:t>
            </w:r>
          </w:p>
        </w:tc>
        <w:tc>
          <w:tcPr>
            <w:tcW w:w="1239" w:type="dxa"/>
          </w:tcPr>
          <w:p w14:paraId="5284E812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14:paraId="4FC7CF22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14:paraId="3F6227F7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06" w:type="dxa"/>
          </w:tcPr>
          <w:p w14:paraId="33A3F5B0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en-US"/>
              </w:rPr>
              <w:t>High</w:t>
            </w:r>
          </w:p>
        </w:tc>
        <w:tc>
          <w:tcPr>
            <w:tcW w:w="1106" w:type="dxa"/>
          </w:tcPr>
          <w:p w14:paraId="34153B4D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D90D510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84A835B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</w:p>
        </w:tc>
      </w:tr>
      <w:tr w:rsidR="007D42B6" w:rsidRPr="002A1B7D" w14:paraId="68E227B5" w14:textId="77777777" w:rsidTr="007D42B6">
        <w:trPr>
          <w:trHeight w:val="284"/>
        </w:trPr>
        <w:tc>
          <w:tcPr>
            <w:tcW w:w="1809" w:type="dxa"/>
            <w:shd w:val="clear" w:color="auto" w:fill="D9D9D9"/>
          </w:tcPr>
          <w:p w14:paraId="43153FBF" w14:textId="77777777" w:rsidR="007D42B6" w:rsidRPr="002A1B7D" w:rsidRDefault="007D42B6" w:rsidP="002A1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Very likely</w:t>
            </w:r>
          </w:p>
        </w:tc>
        <w:tc>
          <w:tcPr>
            <w:tcW w:w="1239" w:type="dxa"/>
          </w:tcPr>
          <w:p w14:paraId="213B5795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14:paraId="7C9BB6C2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06" w:type="dxa"/>
          </w:tcPr>
          <w:p w14:paraId="7CBF2330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en-US"/>
              </w:rPr>
              <w:t>High</w:t>
            </w:r>
          </w:p>
        </w:tc>
        <w:tc>
          <w:tcPr>
            <w:tcW w:w="1106" w:type="dxa"/>
          </w:tcPr>
          <w:p w14:paraId="4BB5EC3C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Very high</w:t>
            </w:r>
          </w:p>
        </w:tc>
        <w:tc>
          <w:tcPr>
            <w:tcW w:w="1106" w:type="dxa"/>
          </w:tcPr>
          <w:p w14:paraId="1D34A71F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</w:tcBorders>
            <w:shd w:val="clear" w:color="auto" w:fill="FFFFFF" w:themeFill="background1"/>
          </w:tcPr>
          <w:p w14:paraId="07FC0444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Merge w:val="restart"/>
          </w:tcPr>
          <w:p w14:paraId="6A3C5A6D" w14:textId="77777777" w:rsidR="007D42B6" w:rsidRPr="007D42B6" w:rsidRDefault="007D42B6" w:rsidP="007D42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7D4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Overall Risk Rating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(highest level found)</w:t>
            </w:r>
          </w:p>
        </w:tc>
        <w:tc>
          <w:tcPr>
            <w:tcW w:w="1134" w:type="dxa"/>
            <w:vMerge w:val="restart"/>
          </w:tcPr>
          <w:p w14:paraId="2865EA81" w14:textId="77777777" w:rsidR="007D42B6" w:rsidRPr="00EE0AB1" w:rsidRDefault="00854DD2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</w:tr>
      <w:tr w:rsidR="007D42B6" w:rsidRPr="002A1B7D" w14:paraId="5D0066DE" w14:textId="77777777" w:rsidTr="007D42B6">
        <w:trPr>
          <w:trHeight w:val="284"/>
        </w:trPr>
        <w:tc>
          <w:tcPr>
            <w:tcW w:w="1809" w:type="dxa"/>
            <w:shd w:val="clear" w:color="auto" w:fill="D9D9D9"/>
          </w:tcPr>
          <w:p w14:paraId="471A4A95" w14:textId="77777777" w:rsidR="007D42B6" w:rsidRPr="002A1B7D" w:rsidRDefault="007D42B6" w:rsidP="002A1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Extremely likely</w:t>
            </w:r>
          </w:p>
        </w:tc>
        <w:tc>
          <w:tcPr>
            <w:tcW w:w="1239" w:type="dxa"/>
          </w:tcPr>
          <w:p w14:paraId="56AC0B52" w14:textId="77777777"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06" w:type="dxa"/>
          </w:tcPr>
          <w:p w14:paraId="213B36C9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8B32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F68B32"/>
                <w:sz w:val="20"/>
                <w:szCs w:val="20"/>
                <w:lang w:eastAsia="en-US"/>
              </w:rPr>
              <w:t>High</w:t>
            </w:r>
          </w:p>
        </w:tc>
        <w:tc>
          <w:tcPr>
            <w:tcW w:w="1106" w:type="dxa"/>
          </w:tcPr>
          <w:p w14:paraId="77B1895E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Very high</w:t>
            </w:r>
          </w:p>
        </w:tc>
        <w:tc>
          <w:tcPr>
            <w:tcW w:w="1106" w:type="dxa"/>
          </w:tcPr>
          <w:p w14:paraId="70EFDEDF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Very high</w:t>
            </w:r>
          </w:p>
        </w:tc>
        <w:tc>
          <w:tcPr>
            <w:tcW w:w="1106" w:type="dxa"/>
          </w:tcPr>
          <w:p w14:paraId="3D45F770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</w:tcBorders>
            <w:shd w:val="clear" w:color="auto" w:fill="FFFFFF" w:themeFill="background1"/>
          </w:tcPr>
          <w:p w14:paraId="40326937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Merge/>
          </w:tcPr>
          <w:p w14:paraId="68FB418A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0A0E2DD1" w14:textId="77777777"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</w:p>
        </w:tc>
      </w:tr>
    </w:tbl>
    <w:p w14:paraId="73773879" w14:textId="77777777" w:rsidR="009818F3" w:rsidRPr="009818F3" w:rsidRDefault="009818F3">
      <w:pPr>
        <w:rPr>
          <w:i/>
        </w:rPr>
      </w:pPr>
      <w:r w:rsidRPr="009818F3">
        <w:rPr>
          <w:i/>
        </w:rPr>
        <w:t>See ‘Matrix for risk evaluation’ for further guidance.</w:t>
      </w:r>
    </w:p>
    <w:sectPr w:rsidR="009818F3" w:rsidRPr="009818F3" w:rsidSect="00395C2A">
      <w:headerReference w:type="default" r:id="rId8"/>
      <w:footerReference w:type="default" r:id="rId9"/>
      <w:pgSz w:w="16838" w:h="11906" w:orient="landscape"/>
      <w:pgMar w:top="851" w:right="1440" w:bottom="993" w:left="1440" w:header="708" w:footer="708" w:gutter="0"/>
      <w:pgBorders w:offsetFrom="page">
        <w:top w:val="single" w:sz="4" w:space="24" w:color="D8D8D8"/>
        <w:bottom w:val="single" w:sz="4" w:space="24" w:color="D8D8D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BF7ED" w14:textId="77777777" w:rsidR="0078302E" w:rsidRDefault="0078302E" w:rsidP="00BE0690">
      <w:pPr>
        <w:spacing w:after="0" w:line="240" w:lineRule="auto"/>
      </w:pPr>
      <w:r>
        <w:separator/>
      </w:r>
    </w:p>
  </w:endnote>
  <w:endnote w:type="continuationSeparator" w:id="0">
    <w:p w14:paraId="696A407D" w14:textId="77777777" w:rsidR="0078302E" w:rsidRDefault="0078302E" w:rsidP="00BE0690">
      <w:pPr>
        <w:spacing w:after="0" w:line="240" w:lineRule="auto"/>
      </w:pPr>
      <w:r>
        <w:continuationSeparator/>
      </w:r>
    </w:p>
  </w:endnote>
  <w:endnote w:type="continuationNotice" w:id="1">
    <w:p w14:paraId="1C25E0BE" w14:textId="77777777" w:rsidR="0078302E" w:rsidRDefault="00783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521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59B92" w14:textId="77777777" w:rsidR="00931776" w:rsidRDefault="009D213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2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E30D6" w14:textId="77777777" w:rsidR="00931776" w:rsidRDefault="009317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CDC0E" w14:textId="77777777" w:rsidR="0078302E" w:rsidRDefault="0078302E" w:rsidP="00BE0690">
      <w:pPr>
        <w:spacing w:after="0" w:line="240" w:lineRule="auto"/>
      </w:pPr>
      <w:r>
        <w:separator/>
      </w:r>
    </w:p>
  </w:footnote>
  <w:footnote w:type="continuationSeparator" w:id="0">
    <w:p w14:paraId="5A769E60" w14:textId="77777777" w:rsidR="0078302E" w:rsidRDefault="0078302E" w:rsidP="00BE0690">
      <w:pPr>
        <w:spacing w:after="0" w:line="240" w:lineRule="auto"/>
      </w:pPr>
      <w:r>
        <w:continuationSeparator/>
      </w:r>
    </w:p>
  </w:footnote>
  <w:footnote w:type="continuationNotice" w:id="1">
    <w:p w14:paraId="7A38DE19" w14:textId="77777777" w:rsidR="0078302E" w:rsidRDefault="007830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E08E3" w14:textId="77777777" w:rsidR="00931776" w:rsidRPr="00D460B5" w:rsidRDefault="00931776">
    <w:pPr>
      <w:pStyle w:val="Header"/>
      <w:rPr>
        <w:b/>
        <w:color w:val="365F91" w:themeColor="accent1" w:themeShade="BF"/>
      </w:rPr>
    </w:pPr>
    <w:r w:rsidRPr="00D460B5">
      <w:rPr>
        <w:b/>
        <w:color w:val="365F91" w:themeColor="accent1" w:themeShade="BF"/>
      </w:rPr>
      <w:t>Risk Assessment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B3"/>
    <w:rsid w:val="0002098A"/>
    <w:rsid w:val="000352A3"/>
    <w:rsid w:val="00041E7D"/>
    <w:rsid w:val="00051425"/>
    <w:rsid w:val="000A10B3"/>
    <w:rsid w:val="000B7C41"/>
    <w:rsid w:val="000D5E5F"/>
    <w:rsid w:val="00105A1F"/>
    <w:rsid w:val="00191795"/>
    <w:rsid w:val="001A1DD9"/>
    <w:rsid w:val="001A2CC3"/>
    <w:rsid w:val="001F1AD2"/>
    <w:rsid w:val="0022073A"/>
    <w:rsid w:val="0023717E"/>
    <w:rsid w:val="0025774F"/>
    <w:rsid w:val="00265B37"/>
    <w:rsid w:val="002732EA"/>
    <w:rsid w:val="002A01D8"/>
    <w:rsid w:val="002A099A"/>
    <w:rsid w:val="002A1B7D"/>
    <w:rsid w:val="002E43D8"/>
    <w:rsid w:val="00333F83"/>
    <w:rsid w:val="00350BE3"/>
    <w:rsid w:val="00351FF2"/>
    <w:rsid w:val="003612A6"/>
    <w:rsid w:val="003644C9"/>
    <w:rsid w:val="0036784B"/>
    <w:rsid w:val="003923A7"/>
    <w:rsid w:val="00395C2A"/>
    <w:rsid w:val="003D4BA4"/>
    <w:rsid w:val="003D6FFF"/>
    <w:rsid w:val="003E1E87"/>
    <w:rsid w:val="003F02AA"/>
    <w:rsid w:val="00403FC6"/>
    <w:rsid w:val="0040791F"/>
    <w:rsid w:val="00472E0E"/>
    <w:rsid w:val="00476394"/>
    <w:rsid w:val="004862FB"/>
    <w:rsid w:val="004D0046"/>
    <w:rsid w:val="00543B81"/>
    <w:rsid w:val="0059164E"/>
    <w:rsid w:val="005A1849"/>
    <w:rsid w:val="005A25C4"/>
    <w:rsid w:val="005C361A"/>
    <w:rsid w:val="005D48C9"/>
    <w:rsid w:val="005F44F7"/>
    <w:rsid w:val="0063744F"/>
    <w:rsid w:val="0064476D"/>
    <w:rsid w:val="00680010"/>
    <w:rsid w:val="006A27C3"/>
    <w:rsid w:val="006B65F4"/>
    <w:rsid w:val="006E07D1"/>
    <w:rsid w:val="006E545F"/>
    <w:rsid w:val="006F3C28"/>
    <w:rsid w:val="006F523D"/>
    <w:rsid w:val="007455F9"/>
    <w:rsid w:val="00746214"/>
    <w:rsid w:val="00756D64"/>
    <w:rsid w:val="00763E1E"/>
    <w:rsid w:val="0078302E"/>
    <w:rsid w:val="0078786D"/>
    <w:rsid w:val="007A3A3D"/>
    <w:rsid w:val="007D42B6"/>
    <w:rsid w:val="00814385"/>
    <w:rsid w:val="00815CE0"/>
    <w:rsid w:val="00854DD2"/>
    <w:rsid w:val="00864F95"/>
    <w:rsid w:val="00894D90"/>
    <w:rsid w:val="008A6C14"/>
    <w:rsid w:val="008C285F"/>
    <w:rsid w:val="008D5D4B"/>
    <w:rsid w:val="008E135E"/>
    <w:rsid w:val="00931776"/>
    <w:rsid w:val="00932C39"/>
    <w:rsid w:val="00955CEE"/>
    <w:rsid w:val="009818F3"/>
    <w:rsid w:val="00995BFE"/>
    <w:rsid w:val="009B31EA"/>
    <w:rsid w:val="009D2136"/>
    <w:rsid w:val="009D47AD"/>
    <w:rsid w:val="009E5BFA"/>
    <w:rsid w:val="00A27E1A"/>
    <w:rsid w:val="00A60F17"/>
    <w:rsid w:val="00A91EEE"/>
    <w:rsid w:val="00A92CC6"/>
    <w:rsid w:val="00AB4F2E"/>
    <w:rsid w:val="00AF1EF4"/>
    <w:rsid w:val="00B04F52"/>
    <w:rsid w:val="00B07D71"/>
    <w:rsid w:val="00B11120"/>
    <w:rsid w:val="00B145F6"/>
    <w:rsid w:val="00B15C21"/>
    <w:rsid w:val="00B16B23"/>
    <w:rsid w:val="00BC2CA9"/>
    <w:rsid w:val="00BD2C25"/>
    <w:rsid w:val="00BE0690"/>
    <w:rsid w:val="00BF7940"/>
    <w:rsid w:val="00C04EE5"/>
    <w:rsid w:val="00C27DCF"/>
    <w:rsid w:val="00C54DE0"/>
    <w:rsid w:val="00CE3EE1"/>
    <w:rsid w:val="00D1041C"/>
    <w:rsid w:val="00D357FE"/>
    <w:rsid w:val="00D3749F"/>
    <w:rsid w:val="00D4236E"/>
    <w:rsid w:val="00D43035"/>
    <w:rsid w:val="00D460B5"/>
    <w:rsid w:val="00D61777"/>
    <w:rsid w:val="00D65AB3"/>
    <w:rsid w:val="00D74411"/>
    <w:rsid w:val="00D86227"/>
    <w:rsid w:val="00DB695A"/>
    <w:rsid w:val="00DC1EDB"/>
    <w:rsid w:val="00DE2EAB"/>
    <w:rsid w:val="00DE6C1E"/>
    <w:rsid w:val="00E141B4"/>
    <w:rsid w:val="00E40C3D"/>
    <w:rsid w:val="00E7022E"/>
    <w:rsid w:val="00E872BD"/>
    <w:rsid w:val="00EB7EF6"/>
    <w:rsid w:val="00ED40DA"/>
    <w:rsid w:val="00EE0AB1"/>
    <w:rsid w:val="00F1282C"/>
    <w:rsid w:val="00F13D6E"/>
    <w:rsid w:val="00F213E4"/>
    <w:rsid w:val="00F81D9E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185C"/>
  <w15:docId w15:val="{729EB057-7ED6-4E47-AEB5-FF0F0E86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2A3"/>
  </w:style>
  <w:style w:type="paragraph" w:styleId="Heading5">
    <w:name w:val="heading 5"/>
    <w:basedOn w:val="Normal"/>
    <w:next w:val="Normal"/>
    <w:link w:val="Heading5Char"/>
    <w:qFormat/>
    <w:rsid w:val="00D3749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0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90"/>
  </w:style>
  <w:style w:type="paragraph" w:styleId="Footer">
    <w:name w:val="footer"/>
    <w:basedOn w:val="Normal"/>
    <w:link w:val="FooterChar"/>
    <w:uiPriority w:val="99"/>
    <w:unhideWhenUsed/>
    <w:rsid w:val="00BE0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90"/>
  </w:style>
  <w:style w:type="table" w:styleId="TableGrid">
    <w:name w:val="Table Grid"/>
    <w:basedOn w:val="TableNormal"/>
    <w:uiPriority w:val="59"/>
    <w:rsid w:val="00BE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3749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2">
    <w:name w:val="Body Text 2"/>
    <w:basedOn w:val="Normal"/>
    <w:link w:val="BodyText2Char"/>
    <w:semiHidden/>
    <w:rsid w:val="00D3749F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3749F"/>
    <w:rPr>
      <w:rFonts w:ascii="Arial" w:eastAsia="Times New Roman" w:hAnsi="Arial" w:cs="Arial"/>
      <w:color w:val="000000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A91E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E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45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45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NUL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20B4-E9DA-2040-AEEE-C09658BC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7220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Paul Goddard</cp:lastModifiedBy>
  <cp:revision>3</cp:revision>
  <cp:lastPrinted>2013-09-30T09:49:00Z</cp:lastPrinted>
  <dcterms:created xsi:type="dcterms:W3CDTF">2019-11-07T09:16:00Z</dcterms:created>
  <dcterms:modified xsi:type="dcterms:W3CDTF">2019-11-07T09:18:00Z</dcterms:modified>
</cp:coreProperties>
</file>