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50BE" w:rsidRDefault="006C50BE" w:rsidP="006C50BE">
      <w:pPr>
        <w:rPr>
          <w:rFonts w:ascii="Times New Roman" w:hAnsi="Times New Roman"/>
          <w:sz w:val="24"/>
          <w:szCs w:val="24"/>
        </w:rPr>
      </w:pPr>
    </w:p>
    <w:p w:rsidR="006C50BE" w:rsidRDefault="006C50BE" w:rsidP="006C50BE">
      <w:pPr>
        <w:rPr>
          <w:rFonts w:ascii="Times New Roman" w:hAnsi="Times New Roman"/>
          <w:sz w:val="24"/>
          <w:szCs w:val="24"/>
        </w:rPr>
      </w:pPr>
    </w:p>
    <w:p w:rsidR="006C50BE" w:rsidRDefault="006C50BE" w:rsidP="006C50BE">
      <w:pPr>
        <w:tabs>
          <w:tab w:val="left" w:pos="3784"/>
        </w:tabs>
        <w:rPr>
          <w:rFonts w:ascii="Times New Roman" w:hAnsi="Times New Roman"/>
          <w:sz w:val="24"/>
          <w:szCs w:val="24"/>
        </w:rPr>
      </w:pPr>
      <w:r>
        <w:rPr>
          <w:rFonts w:ascii="Times New Roman" w:hAnsi="Times New Roman"/>
          <w:sz w:val="24"/>
          <w:szCs w:val="24"/>
        </w:rPr>
        <w:tab/>
      </w:r>
    </w:p>
    <w:p w:rsidR="006C50BE" w:rsidRDefault="006C50BE" w:rsidP="006C50BE">
      <w:pPr>
        <w:tabs>
          <w:tab w:val="left" w:pos="3784"/>
        </w:tabs>
        <w:rPr>
          <w:rFonts w:ascii="Times New Roman" w:hAnsi="Times New Roman"/>
          <w:sz w:val="24"/>
          <w:szCs w:val="24"/>
        </w:rPr>
      </w:pPr>
    </w:p>
    <w:p w:rsidR="006C50BE" w:rsidRDefault="006C50BE" w:rsidP="006C50BE">
      <w:pPr>
        <w:spacing w:after="0" w:line="480" w:lineRule="auto"/>
        <w:jc w:val="center"/>
        <w:rPr>
          <w:rFonts w:ascii="Times New Roman" w:hAnsi="Times New Roman"/>
          <w:sz w:val="24"/>
          <w:szCs w:val="24"/>
        </w:rPr>
      </w:pPr>
      <w:r>
        <w:rPr>
          <w:rFonts w:ascii="Times New Roman" w:hAnsi="Times New Roman"/>
          <w:sz w:val="24"/>
          <w:szCs w:val="24"/>
        </w:rPr>
        <w:t xml:space="preserve">I hate them with perfect hatred: Exploring Psalm 139 through the Jungian lenses </w:t>
      </w:r>
    </w:p>
    <w:p w:rsidR="006C50BE" w:rsidRDefault="006C50BE" w:rsidP="006C50BE">
      <w:pPr>
        <w:spacing w:after="0" w:line="480" w:lineRule="auto"/>
        <w:jc w:val="center"/>
        <w:rPr>
          <w:rFonts w:ascii="Times New Roman" w:hAnsi="Times New Roman"/>
          <w:sz w:val="24"/>
          <w:szCs w:val="24"/>
        </w:rPr>
      </w:pPr>
      <w:proofErr w:type="gramStart"/>
      <w:r>
        <w:rPr>
          <w:rFonts w:ascii="Times New Roman" w:hAnsi="Times New Roman"/>
          <w:sz w:val="24"/>
          <w:szCs w:val="24"/>
        </w:rPr>
        <w:t>of</w:t>
      </w:r>
      <w:proofErr w:type="gramEnd"/>
      <w:r>
        <w:rPr>
          <w:rFonts w:ascii="Times New Roman" w:hAnsi="Times New Roman"/>
          <w:sz w:val="24"/>
          <w:szCs w:val="24"/>
        </w:rPr>
        <w:t xml:space="preserve"> sensing, intuition, feeling, and thinking</w:t>
      </w:r>
    </w:p>
    <w:p w:rsidR="006C50BE" w:rsidRDefault="006C50BE" w:rsidP="006C50BE">
      <w:pPr>
        <w:jc w:val="center"/>
        <w:rPr>
          <w:rFonts w:ascii="Times New Roman" w:hAnsi="Times New Roman"/>
          <w:sz w:val="24"/>
          <w:szCs w:val="24"/>
        </w:rPr>
      </w:pPr>
    </w:p>
    <w:p w:rsidR="006C50BE" w:rsidRDefault="006C50BE" w:rsidP="006C50BE">
      <w:pPr>
        <w:jc w:val="center"/>
        <w:rPr>
          <w:rFonts w:ascii="Times New Roman" w:hAnsi="Times New Roman"/>
          <w:sz w:val="24"/>
          <w:szCs w:val="24"/>
        </w:rPr>
      </w:pPr>
    </w:p>
    <w:p w:rsidR="006C50BE" w:rsidRDefault="006C50BE" w:rsidP="006C50BE">
      <w:pPr>
        <w:jc w:val="center"/>
        <w:rPr>
          <w:rFonts w:ascii="Times New Roman" w:hAnsi="Times New Roman"/>
          <w:sz w:val="24"/>
          <w:szCs w:val="24"/>
        </w:rPr>
      </w:pPr>
      <w:r>
        <w:rPr>
          <w:rFonts w:ascii="Times New Roman" w:hAnsi="Times New Roman"/>
          <w:sz w:val="24"/>
          <w:szCs w:val="24"/>
        </w:rPr>
        <w:t>Leslie J. Francis*</w:t>
      </w:r>
    </w:p>
    <w:p w:rsidR="006C50BE" w:rsidRDefault="006C50BE" w:rsidP="006C50BE">
      <w:pPr>
        <w:jc w:val="center"/>
        <w:rPr>
          <w:rFonts w:ascii="Times New Roman" w:hAnsi="Times New Roman"/>
          <w:sz w:val="24"/>
          <w:szCs w:val="24"/>
        </w:rPr>
      </w:pPr>
      <w:r>
        <w:rPr>
          <w:rFonts w:ascii="Times New Roman" w:hAnsi="Times New Roman"/>
          <w:sz w:val="24"/>
          <w:szCs w:val="24"/>
        </w:rPr>
        <w:t>University of Warwick, Coventry UK</w:t>
      </w:r>
    </w:p>
    <w:p w:rsidR="006C50BE" w:rsidRDefault="006C50BE" w:rsidP="006C50BE">
      <w:pPr>
        <w:jc w:val="center"/>
        <w:rPr>
          <w:rFonts w:ascii="Times New Roman" w:hAnsi="Times New Roman"/>
          <w:sz w:val="24"/>
          <w:szCs w:val="24"/>
        </w:rPr>
      </w:pPr>
    </w:p>
    <w:p w:rsidR="006C50BE" w:rsidRDefault="006C50BE" w:rsidP="006C50BE">
      <w:pPr>
        <w:jc w:val="center"/>
        <w:rPr>
          <w:rFonts w:ascii="Times New Roman" w:hAnsi="Times New Roman"/>
          <w:sz w:val="24"/>
          <w:szCs w:val="24"/>
        </w:rPr>
      </w:pPr>
      <w:r>
        <w:rPr>
          <w:rFonts w:ascii="Times New Roman" w:hAnsi="Times New Roman"/>
          <w:sz w:val="24"/>
          <w:szCs w:val="24"/>
        </w:rPr>
        <w:t>Greg Smith</w:t>
      </w:r>
    </w:p>
    <w:p w:rsidR="006C50BE" w:rsidRDefault="006C50BE" w:rsidP="006C50BE">
      <w:pPr>
        <w:jc w:val="center"/>
        <w:rPr>
          <w:rFonts w:ascii="Times New Roman" w:hAnsi="Times New Roman"/>
          <w:sz w:val="24"/>
          <w:szCs w:val="24"/>
        </w:rPr>
      </w:pPr>
      <w:r>
        <w:rPr>
          <w:rFonts w:ascii="Times New Roman" w:hAnsi="Times New Roman"/>
          <w:sz w:val="24"/>
          <w:szCs w:val="24"/>
        </w:rPr>
        <w:t>University of Warwick, Coventry UK</w:t>
      </w:r>
    </w:p>
    <w:p w:rsidR="006C50BE" w:rsidRDefault="006C50BE" w:rsidP="006C50BE">
      <w:pPr>
        <w:jc w:val="center"/>
        <w:rPr>
          <w:rFonts w:ascii="Times New Roman" w:hAnsi="Times New Roman"/>
          <w:sz w:val="24"/>
          <w:szCs w:val="24"/>
        </w:rPr>
      </w:pPr>
    </w:p>
    <w:p w:rsidR="006C50BE" w:rsidRDefault="006C50BE" w:rsidP="006C50BE">
      <w:pPr>
        <w:jc w:val="center"/>
        <w:rPr>
          <w:rFonts w:ascii="Times New Roman" w:hAnsi="Times New Roman"/>
          <w:sz w:val="24"/>
          <w:szCs w:val="24"/>
        </w:rPr>
      </w:pPr>
      <w:r>
        <w:rPr>
          <w:rFonts w:ascii="Times New Roman" w:hAnsi="Times New Roman"/>
          <w:sz w:val="24"/>
          <w:szCs w:val="24"/>
        </w:rPr>
        <w:t>Alec S. Corio</w:t>
      </w:r>
    </w:p>
    <w:p w:rsidR="006C50BE" w:rsidRDefault="006C50BE" w:rsidP="006C50BE">
      <w:pPr>
        <w:jc w:val="center"/>
        <w:rPr>
          <w:rFonts w:ascii="Times New Roman" w:hAnsi="Times New Roman"/>
          <w:sz w:val="24"/>
          <w:szCs w:val="24"/>
        </w:rPr>
      </w:pPr>
      <w:r>
        <w:rPr>
          <w:rFonts w:ascii="Times New Roman" w:hAnsi="Times New Roman"/>
          <w:sz w:val="24"/>
          <w:szCs w:val="24"/>
        </w:rPr>
        <w:t>St George’s Church, Stockport, UK</w:t>
      </w:r>
    </w:p>
    <w:p w:rsidR="006C50BE" w:rsidRDefault="006C50BE" w:rsidP="006C50BE">
      <w:pPr>
        <w:jc w:val="center"/>
        <w:rPr>
          <w:rFonts w:ascii="Times New Roman" w:hAnsi="Times New Roman"/>
          <w:sz w:val="24"/>
          <w:szCs w:val="24"/>
        </w:rPr>
      </w:pPr>
    </w:p>
    <w:p w:rsidR="006C50BE" w:rsidRDefault="006C50BE" w:rsidP="006C50BE">
      <w:pPr>
        <w:jc w:val="center"/>
        <w:rPr>
          <w:rFonts w:ascii="Times New Roman" w:hAnsi="Times New Roman"/>
          <w:sz w:val="24"/>
          <w:szCs w:val="24"/>
        </w:rPr>
      </w:pPr>
    </w:p>
    <w:p w:rsidR="006C50BE" w:rsidRDefault="006C50BE" w:rsidP="006C50BE">
      <w:pPr>
        <w:jc w:val="center"/>
        <w:rPr>
          <w:rFonts w:ascii="Times New Roman" w:hAnsi="Times New Roman"/>
          <w:sz w:val="24"/>
          <w:szCs w:val="24"/>
        </w:rPr>
      </w:pPr>
    </w:p>
    <w:p w:rsidR="006C50BE" w:rsidRDefault="006C50BE" w:rsidP="006C50BE">
      <w:pPr>
        <w:tabs>
          <w:tab w:val="left" w:pos="3180"/>
        </w:tabs>
        <w:spacing w:after="0" w:line="240" w:lineRule="auto"/>
        <w:ind w:right="471"/>
        <w:jc w:val="both"/>
        <w:rPr>
          <w:rFonts w:ascii="Times New Roman" w:hAnsi="Times New Roman"/>
          <w:sz w:val="24"/>
          <w:szCs w:val="24"/>
        </w:rPr>
      </w:pPr>
    </w:p>
    <w:p w:rsidR="006C50BE" w:rsidRDefault="006C50BE" w:rsidP="006C50BE">
      <w:pPr>
        <w:tabs>
          <w:tab w:val="left" w:pos="3180"/>
        </w:tabs>
        <w:spacing w:after="0" w:line="240" w:lineRule="auto"/>
        <w:ind w:right="471"/>
        <w:jc w:val="both"/>
        <w:rPr>
          <w:rFonts w:ascii="Times New Roman" w:hAnsi="Times New Roman"/>
          <w:sz w:val="24"/>
          <w:szCs w:val="24"/>
        </w:rPr>
      </w:pPr>
    </w:p>
    <w:p w:rsidR="006C50BE" w:rsidRDefault="006C50BE" w:rsidP="006C50BE">
      <w:pPr>
        <w:tabs>
          <w:tab w:val="left" w:pos="3180"/>
        </w:tabs>
        <w:spacing w:after="0" w:line="240" w:lineRule="auto"/>
        <w:ind w:right="471"/>
        <w:jc w:val="both"/>
        <w:rPr>
          <w:rFonts w:ascii="Times New Roman" w:hAnsi="Times New Roman"/>
          <w:sz w:val="24"/>
          <w:szCs w:val="24"/>
        </w:rPr>
      </w:pPr>
    </w:p>
    <w:p w:rsidR="006C50BE" w:rsidRDefault="006C50BE" w:rsidP="006C50BE">
      <w:pPr>
        <w:tabs>
          <w:tab w:val="left" w:pos="3180"/>
        </w:tabs>
        <w:spacing w:after="0" w:line="240" w:lineRule="auto"/>
        <w:ind w:right="471"/>
        <w:jc w:val="both"/>
        <w:rPr>
          <w:rFonts w:ascii="Times New Roman" w:hAnsi="Times New Roman"/>
          <w:sz w:val="24"/>
          <w:szCs w:val="24"/>
        </w:rPr>
      </w:pPr>
    </w:p>
    <w:p w:rsidR="006C50BE" w:rsidRPr="006904F7" w:rsidRDefault="006C50BE" w:rsidP="006C50BE">
      <w:pPr>
        <w:tabs>
          <w:tab w:val="left" w:pos="3180"/>
        </w:tabs>
        <w:spacing w:after="0" w:line="240" w:lineRule="auto"/>
        <w:ind w:right="471"/>
        <w:jc w:val="both"/>
        <w:rPr>
          <w:rFonts w:ascii="Times New Roman" w:hAnsi="Times New Roman"/>
          <w:sz w:val="24"/>
          <w:szCs w:val="24"/>
        </w:rPr>
      </w:pPr>
      <w:r w:rsidRPr="006904F7">
        <w:rPr>
          <w:rFonts w:ascii="Times New Roman" w:hAnsi="Times New Roman"/>
          <w:sz w:val="24"/>
          <w:szCs w:val="24"/>
        </w:rPr>
        <w:t>Author note:</w:t>
      </w:r>
      <w:r w:rsidRPr="006904F7">
        <w:rPr>
          <w:rFonts w:ascii="Times New Roman" w:hAnsi="Times New Roman"/>
          <w:sz w:val="24"/>
          <w:szCs w:val="24"/>
        </w:rPr>
        <w:tab/>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*Corresponding author:</w:t>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Leslie J</w:t>
      </w:r>
      <w:r>
        <w:rPr>
          <w:rFonts w:ascii="Times New Roman" w:hAnsi="Times New Roman"/>
          <w:sz w:val="24"/>
          <w:szCs w:val="24"/>
        </w:rPr>
        <w:t>.</w:t>
      </w:r>
      <w:r w:rsidRPr="006904F7">
        <w:rPr>
          <w:rFonts w:ascii="Times New Roman" w:hAnsi="Times New Roman"/>
          <w:sz w:val="24"/>
          <w:szCs w:val="24"/>
        </w:rPr>
        <w:t xml:space="preserve"> Francis</w:t>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Warwick Religions &amp; Education Research Unit</w:t>
      </w:r>
    </w:p>
    <w:p w:rsidR="006C50BE" w:rsidRPr="006904F7" w:rsidRDefault="006C50BE" w:rsidP="006C50BE">
      <w:pPr>
        <w:spacing w:after="0" w:line="240" w:lineRule="auto"/>
        <w:ind w:right="471"/>
        <w:jc w:val="both"/>
        <w:rPr>
          <w:rFonts w:ascii="Times New Roman" w:hAnsi="Times New Roman"/>
          <w:sz w:val="24"/>
          <w:szCs w:val="24"/>
        </w:rPr>
      </w:pPr>
      <w:r>
        <w:rPr>
          <w:rFonts w:ascii="Times New Roman" w:hAnsi="Times New Roman"/>
          <w:sz w:val="24"/>
          <w:szCs w:val="24"/>
        </w:rPr>
        <w:t xml:space="preserve">Centre for </w:t>
      </w:r>
      <w:r w:rsidRPr="006904F7">
        <w:rPr>
          <w:rFonts w:ascii="Times New Roman" w:hAnsi="Times New Roman"/>
          <w:sz w:val="24"/>
          <w:szCs w:val="24"/>
        </w:rPr>
        <w:t>Education</w:t>
      </w:r>
      <w:r>
        <w:rPr>
          <w:rFonts w:ascii="Times New Roman" w:hAnsi="Times New Roman"/>
          <w:sz w:val="24"/>
          <w:szCs w:val="24"/>
        </w:rPr>
        <w:t xml:space="preserve"> Studies</w:t>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The University of Warwick</w:t>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Coventry CV4 7AL United Kingdom</w:t>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Tel:     +44 (0)24 7652 2539</w:t>
      </w:r>
    </w:p>
    <w:p w:rsidR="006C50BE" w:rsidRPr="006904F7" w:rsidRDefault="006C50BE" w:rsidP="006C50BE">
      <w:pPr>
        <w:spacing w:after="0" w:line="240" w:lineRule="auto"/>
        <w:ind w:right="471"/>
        <w:jc w:val="both"/>
        <w:rPr>
          <w:rFonts w:ascii="Times New Roman" w:hAnsi="Times New Roman"/>
          <w:sz w:val="24"/>
          <w:szCs w:val="24"/>
        </w:rPr>
      </w:pPr>
      <w:r w:rsidRPr="006904F7">
        <w:rPr>
          <w:rFonts w:ascii="Times New Roman" w:hAnsi="Times New Roman"/>
          <w:sz w:val="24"/>
          <w:szCs w:val="24"/>
        </w:rPr>
        <w:t>Fax:    +44 (0)24 7657 2638</w:t>
      </w:r>
    </w:p>
    <w:p w:rsidR="006C50BE" w:rsidRPr="006904F7" w:rsidRDefault="006C50BE" w:rsidP="006C50BE">
      <w:pPr>
        <w:spacing w:after="0" w:line="240" w:lineRule="auto"/>
        <w:ind w:right="471"/>
        <w:rPr>
          <w:rFonts w:ascii="Times New Roman" w:hAnsi="Times New Roman"/>
          <w:sz w:val="24"/>
          <w:szCs w:val="24"/>
        </w:rPr>
      </w:pPr>
      <w:r w:rsidRPr="006904F7">
        <w:rPr>
          <w:rFonts w:ascii="Times New Roman" w:hAnsi="Times New Roman"/>
          <w:sz w:val="24"/>
          <w:szCs w:val="24"/>
        </w:rPr>
        <w:t xml:space="preserve">Email:   </w:t>
      </w:r>
      <w:hyperlink r:id="rId5" w:history="1">
        <w:r w:rsidRPr="00662905">
          <w:rPr>
            <w:rStyle w:val="Hyperlink"/>
            <w:rFonts w:ascii="Times New Roman" w:hAnsi="Times New Roman"/>
            <w:sz w:val="24"/>
            <w:szCs w:val="24"/>
          </w:rPr>
          <w:t>leslie.francis@warwick.ac.uk</w:t>
        </w:r>
      </w:hyperlink>
      <w:r>
        <w:rPr>
          <w:rFonts w:ascii="Times New Roman" w:hAnsi="Times New Roman"/>
          <w:sz w:val="24"/>
          <w:szCs w:val="24"/>
        </w:rPr>
        <w:t xml:space="preserve"> </w:t>
      </w:r>
    </w:p>
    <w:p w:rsidR="006C50BE" w:rsidRDefault="006C50BE" w:rsidP="006C50BE">
      <w:pPr>
        <w:spacing w:after="0" w:line="480" w:lineRule="auto"/>
        <w:jc w:val="center"/>
        <w:rPr>
          <w:rFonts w:ascii="Times New Roman" w:hAnsi="Times New Roman"/>
          <w:sz w:val="24"/>
          <w:szCs w:val="24"/>
        </w:rPr>
      </w:pPr>
      <w:r>
        <w:rPr>
          <w:rFonts w:ascii="Times New Roman" w:hAnsi="Times New Roman"/>
          <w:b/>
          <w:sz w:val="24"/>
          <w:szCs w:val="24"/>
        </w:rPr>
        <w:br w:type="page"/>
      </w:r>
      <w:r>
        <w:rPr>
          <w:rFonts w:ascii="Times New Roman" w:hAnsi="Times New Roman"/>
          <w:b/>
          <w:sz w:val="24"/>
          <w:szCs w:val="24"/>
        </w:rPr>
        <w:lastRenderedPageBreak/>
        <w:t>Abstract</w:t>
      </w:r>
    </w:p>
    <w:p w:rsidR="006C50BE" w:rsidRPr="00721122" w:rsidRDefault="006C50BE" w:rsidP="006C50BE">
      <w:pPr>
        <w:spacing w:after="0" w:line="480" w:lineRule="auto"/>
        <w:rPr>
          <w:rFonts w:ascii="Times New Roman" w:hAnsi="Times New Roman"/>
          <w:sz w:val="24"/>
          <w:szCs w:val="24"/>
        </w:rPr>
      </w:pPr>
      <w:r w:rsidRPr="00721122">
        <w:rPr>
          <w:rFonts w:ascii="Times New Roman" w:hAnsi="Times New Roman"/>
          <w:sz w:val="24"/>
          <w:szCs w:val="24"/>
        </w:rPr>
        <w:t xml:space="preserve">Psalm 139 provides both great opportunities and huge challenges for the preacher. It is a </w:t>
      </w:r>
      <w:r>
        <w:rPr>
          <w:rFonts w:ascii="Times New Roman" w:hAnsi="Times New Roman"/>
          <w:sz w:val="24"/>
          <w:szCs w:val="24"/>
        </w:rPr>
        <w:t>P</w:t>
      </w:r>
      <w:r w:rsidRPr="00721122">
        <w:rPr>
          <w:rFonts w:ascii="Times New Roman" w:hAnsi="Times New Roman"/>
          <w:sz w:val="24"/>
          <w:szCs w:val="24"/>
        </w:rPr>
        <w:t xml:space="preserve">salm crafted in four parts: part two is an imaginative and poetic affirmation of God’s omnipresence; part four is a fierce and uncompromising diatribe against God’s enemies. Interpretations of these two sections of the Psalm are explored among a sample of 30 Anglican </w:t>
      </w:r>
      <w:r>
        <w:rPr>
          <w:rFonts w:ascii="Times New Roman" w:hAnsi="Times New Roman"/>
          <w:sz w:val="24"/>
          <w:szCs w:val="24"/>
        </w:rPr>
        <w:t xml:space="preserve">deacons and </w:t>
      </w:r>
      <w:r w:rsidRPr="00721122">
        <w:rPr>
          <w:rFonts w:ascii="Times New Roman" w:hAnsi="Times New Roman"/>
          <w:sz w:val="24"/>
          <w:szCs w:val="24"/>
        </w:rPr>
        <w:t>priests</w:t>
      </w:r>
      <w:r>
        <w:rPr>
          <w:rFonts w:ascii="Times New Roman" w:hAnsi="Times New Roman"/>
          <w:sz w:val="24"/>
          <w:szCs w:val="24"/>
        </w:rPr>
        <w:t xml:space="preserve"> serving as curates who were</w:t>
      </w:r>
      <w:r w:rsidRPr="00721122">
        <w:rPr>
          <w:rFonts w:ascii="Times New Roman" w:hAnsi="Times New Roman"/>
          <w:sz w:val="24"/>
          <w:szCs w:val="24"/>
        </w:rPr>
        <w:t xml:space="preserve"> invited to work in small hermeneutical communities structured according to psychological type theory and designed to test the SIFT approach to biblical hermeneutics and liturgical preaching. The poetic power of part two was </w:t>
      </w:r>
      <w:r>
        <w:rPr>
          <w:rFonts w:ascii="Times New Roman" w:hAnsi="Times New Roman"/>
          <w:sz w:val="24"/>
          <w:szCs w:val="24"/>
        </w:rPr>
        <w:t>perceiv</w:t>
      </w:r>
      <w:r w:rsidRPr="00721122">
        <w:rPr>
          <w:rFonts w:ascii="Times New Roman" w:hAnsi="Times New Roman"/>
          <w:sz w:val="24"/>
          <w:szCs w:val="24"/>
        </w:rPr>
        <w:t xml:space="preserve">ed quite differently by sensing types and by intuitive types. The judgement against God’s enemies in part four was evaluated quite differently by feeling types and by thinking types. The implications of these different readings of sacred text are discussed in relation both to hermeneutical theory and to homiletic practice. </w:t>
      </w:r>
    </w:p>
    <w:p w:rsidR="006C50BE" w:rsidRPr="00721122" w:rsidRDefault="006C50BE" w:rsidP="006C50BE">
      <w:pPr>
        <w:spacing w:after="0" w:line="480" w:lineRule="auto"/>
        <w:rPr>
          <w:rFonts w:ascii="Times New Roman" w:hAnsi="Times New Roman"/>
          <w:sz w:val="24"/>
          <w:szCs w:val="24"/>
        </w:rPr>
      </w:pPr>
      <w:r w:rsidRPr="00721122">
        <w:rPr>
          <w:rFonts w:ascii="Times New Roman" w:hAnsi="Times New Roman"/>
          <w:i/>
          <w:sz w:val="24"/>
          <w:szCs w:val="24"/>
        </w:rPr>
        <w:t>Keywords</w:t>
      </w:r>
      <w:r w:rsidRPr="00721122">
        <w:rPr>
          <w:rFonts w:ascii="Times New Roman" w:hAnsi="Times New Roman"/>
          <w:sz w:val="24"/>
          <w:szCs w:val="24"/>
        </w:rPr>
        <w:t>: biblical hermeneutics, preaching, reader perspective, psychological type theory</w:t>
      </w:r>
    </w:p>
    <w:p w:rsidR="00903721" w:rsidRDefault="00903721">
      <w:bookmarkStart w:id="0" w:name="_GoBack"/>
      <w:bookmarkEnd w:id="0"/>
    </w:p>
    <w:sectPr w:rsidR="009037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0BE"/>
    <w:rsid w:val="006C50BE"/>
    <w:rsid w:val="00903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50B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6C50B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50B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6C50B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leslie.francis@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252</Words>
  <Characters>1437</Characters>
  <Application>Microsoft Office Word</Application>
  <DocSecurity>0</DocSecurity>
  <Lines>11</Lines>
  <Paragraphs>3</Paragraphs>
  <ScaleCrop>false</ScaleCrop>
  <Company>Hewlett-Packard Company</Company>
  <LinksUpToDate>false</LinksUpToDate>
  <CharactersWithSpaces>1686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 Mary's</dc:creator>
  <cp:lastModifiedBy>St Mary's</cp:lastModifiedBy>
  <cp:revision>1</cp:revision>
  <dcterms:created xsi:type="dcterms:W3CDTF">2017-10-17T07:47:00Z</dcterms:created>
  <dcterms:modified xsi:type="dcterms:W3CDTF">2017-10-17T07:47:00Z</dcterms:modified>
</cp:coreProperties>
</file>