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6A54" w:rsidRDefault="00666A54" w:rsidP="004572F3">
      <w:pPr>
        <w:spacing w:line="360" w:lineRule="auto"/>
        <w:rPr>
          <w:b/>
          <w:sz w:val="24"/>
          <w:szCs w:val="24"/>
        </w:rPr>
      </w:pPr>
      <w:r w:rsidRPr="00C405FA">
        <w:rPr>
          <w:b/>
          <w:sz w:val="24"/>
          <w:szCs w:val="24"/>
        </w:rPr>
        <w:t>Teachers, Pedagogy and Practices</w:t>
      </w:r>
    </w:p>
    <w:p w:rsidR="00666A54" w:rsidRDefault="00666A54" w:rsidP="00E60AE2">
      <w:pPr>
        <w:spacing w:line="360" w:lineRule="auto"/>
        <w:jc w:val="both"/>
      </w:pPr>
      <w:r w:rsidRPr="002C4E48">
        <w:rPr>
          <w:b/>
          <w:color w:val="E36C0A"/>
        </w:rPr>
        <w:t>Pedagogy,</w:t>
      </w:r>
      <w:r>
        <w:t xml:space="preserve"> as defined by the Oxford English Dictionary, is the ‘science of teaching’. Authors such as Alexander (1992), Watkins and Mortimore (1999), Fang (1996), Moseley et al (1999) and Loveless et al. (2001) identify teaching methods, student organisation, classroom management, content, ways of presenting subject knowledge and the teachers’ ideas and beliefs  about subject matter, teaching and learning values as being included in this definition. Pedagogy is complex, being influenced by the interaction in a range of these, for example, ideas and beliefs of teachers and policy makers with ‘</w:t>
      </w:r>
      <w:r w:rsidRPr="00B6777A">
        <w:rPr>
          <w:i/>
        </w:rPr>
        <w:t>conceptions of learning, knowledge and the purpose of education’</w:t>
      </w:r>
      <w:r>
        <w:t xml:space="preserve"> (Mortimore, 1999 cited in Loveless et al. 2001). In addition some writers include personal characteristics, the teachers’ perception of their current situation, teaching behaviours and the context in which they are teaching. The concept of pedagogy is not universally the same. Loveless et al. (2001) illustrate the difference between the definition of continental European and that of the </w:t>
      </w:r>
      <w:smartTag w:uri="urn:schemas-microsoft-com:office:smarttags" w:element="country-region">
        <w:r>
          <w:t>USA</w:t>
        </w:r>
      </w:smartTag>
      <w:r>
        <w:t xml:space="preserve"> and </w:t>
      </w:r>
      <w:smartTag w:uri="urn:schemas-microsoft-com:office:smarttags" w:element="country-region">
        <w:smartTag w:uri="urn:schemas-microsoft-com:office:smarttags" w:element="place">
          <w:r>
            <w:t>UK</w:t>
          </w:r>
        </w:smartTag>
      </w:smartTag>
      <w:r>
        <w:t>.</w:t>
      </w:r>
    </w:p>
    <w:p w:rsidR="00666A54" w:rsidRDefault="00666A54" w:rsidP="00E60AE2">
      <w:pPr>
        <w:spacing w:line="360" w:lineRule="auto"/>
        <w:jc w:val="both"/>
      </w:pPr>
      <w:r>
        <w:t xml:space="preserve">In the case of using ICT within lessons, there has been much focus on the content and technical aspects rather than </w:t>
      </w:r>
      <w:r w:rsidRPr="00751F9F">
        <w:rPr>
          <w:b/>
          <w:color w:val="C00000"/>
        </w:rPr>
        <w:t>pedagogical practice</w:t>
      </w:r>
      <w:r>
        <w:t xml:space="preserve"> (Webb, 2002) so many teachers are not aware of alternative, effective, methods of delivering lessons. This is particularly true of teachers who are not ICT specialists but are using ICT within their lessons. Webb (2002) also suggests that there whilst there is agreement about what there is to be taught, specifications give little guidance regarding the pedagogical skills needed to deliver the content, whether this be in ICT as a subject or ICT within other subjects (DfEE (1999). In developing teachers’ practice it is necessary to cope with the past, present and usual practices. According to Loveless et al (2001) ICT impacts on:</w:t>
      </w:r>
    </w:p>
    <w:p w:rsidR="00666A54" w:rsidRDefault="00666A54" w:rsidP="00E60AE2">
      <w:pPr>
        <w:spacing w:after="0" w:line="360" w:lineRule="auto"/>
        <w:ind w:left="567" w:right="567"/>
        <w:jc w:val="both"/>
        <w:rPr>
          <w:i/>
        </w:rPr>
      </w:pPr>
      <w:r>
        <w:t>‘</w:t>
      </w:r>
      <w:r>
        <w:rPr>
          <w:i/>
        </w:rPr>
        <w:t>approaches to teaching, beliefs about subject matter, subject knowledge, pedagogical content knowledge, ‘craft’ skills in organisation and management, personal characteristics and perceptions of the current situation, teaching behaviours, context in which they are teaching.’</w:t>
      </w:r>
    </w:p>
    <w:p w:rsidR="00666A54" w:rsidRDefault="00666A54" w:rsidP="00E60AE2">
      <w:pPr>
        <w:spacing w:after="0" w:line="360" w:lineRule="auto"/>
        <w:ind w:left="720"/>
        <w:jc w:val="right"/>
      </w:pPr>
      <w:r>
        <w:t>Loveless et al (2001) p.68</w:t>
      </w:r>
    </w:p>
    <w:p w:rsidR="00666A54" w:rsidRPr="0046267F" w:rsidRDefault="00666A54" w:rsidP="00E60AE2">
      <w:pPr>
        <w:spacing w:after="0" w:line="360" w:lineRule="auto"/>
        <w:ind w:left="720"/>
        <w:jc w:val="right"/>
        <w:rPr>
          <w:i/>
        </w:rPr>
      </w:pPr>
    </w:p>
    <w:p w:rsidR="00666A54" w:rsidRDefault="00666A54" w:rsidP="00E60AE2">
      <w:pPr>
        <w:spacing w:line="360" w:lineRule="auto"/>
        <w:jc w:val="both"/>
      </w:pPr>
      <w:r>
        <w:t xml:space="preserve">While Alexander (1992) focuses on teaching methods and pupil organisation in his description of pedagogy, Shulman (1987) shifts the focus to knowledge and beliefs. In the classroom, the teacher has many roles to play including mentor, facilitator, demonstrator, manager, and instructor. Alexander  (1992) suggests that, in the </w:t>
      </w:r>
      <w:smartTag w:uri="urn:schemas-microsoft-com:office:smarttags" w:element="City">
        <w:smartTag w:uri="urn:schemas-microsoft-com:office:smarttags" w:element="place">
          <w:smartTag w:uri="urn:schemas-microsoft-com:office:smarttags" w:element="country-region">
            <w:r>
              <w:t>UK</w:t>
            </w:r>
          </w:smartTag>
        </w:smartTag>
      </w:smartTag>
      <w:r>
        <w:t xml:space="preserve">, there has been a greater emphasis on content rather than pedagogy rather than looking at the two together for improved teaching and learning. The computer provides opportunities for teachers to change their role and approaches to teaching, however they need to accept that the introduction of computers into classrooms will need them to accept change, at a personal level, before this can be effective (Duchâteau, 1995). In learning to use ICT the teacher becomes a learner and may find that they are learning alongside their class. For some teachers this is problematic as they are not used to learners being more informed and skilled and this threatens their status as a ‘fountain of all knowledge’. These teachers do need more support and encouragement than is often acknowledged, or provided. Those who have the power, and inclination, to lead developmental change may not understand the processes in </w:t>
      </w:r>
      <w:r w:rsidRPr="00751F9F">
        <w:rPr>
          <w:b/>
          <w:color w:val="C00000"/>
        </w:rPr>
        <w:t>managing change</w:t>
      </w:r>
      <w:r>
        <w:t xml:space="preserve"> nor given the tools to inform others how change would be beneficial to teaching and learning.  To be able to evaluate the effectiveness of new ideas needs time and support within the school management structure as well as those delivering the lessons, but with targets to meet, changes to the curriculum and examination structure many do not find this an easy route to follow. To be successful change needs to be embedded in a nurturing environment and is likely to succeed when it lets one achieve goals easier, life is more ‘fun’, easier and desirable by the community at large, i.e. teachers and pupils. Ridgeway and Passey (1995) list seven steps in the sequence for introducing change. These are innovation, fire lighting, promotion, growth, coordination, integration and extension (into everyday usage). Webb (2002), however, suggests that the sequence for delivering ICT can be broken down into comprehension of the content to be taught, transformation into a way that enables students to access and learn from it followed by instruction involving a variety of teaching and management skills and finally evaluation of the activities with a mind to make and necessary or desired changes for the next cycle. Webb Includes, within the transformation phase, activities relating to preparation of ideas and materials to deliver the desired concepts and skills, ways these will be represented, including any adaptations and tailoring, for the specified classes. The instructional stage, which includes teachers’ comprehension, beliefs and values about the teaching itself and the receiving class, is a key point. </w:t>
      </w:r>
    </w:p>
    <w:p w:rsidR="00666A54" w:rsidRDefault="00666A54" w:rsidP="00E60AE2">
      <w:pPr>
        <w:spacing w:line="360" w:lineRule="auto"/>
        <w:jc w:val="both"/>
      </w:pPr>
    </w:p>
    <w:p w:rsidR="00666A54" w:rsidRDefault="00666A54" w:rsidP="0069512F">
      <w:pPr>
        <w:spacing w:line="360" w:lineRule="auto"/>
        <w:jc w:val="both"/>
      </w:pPr>
      <w:r>
        <w:t xml:space="preserve">Within </w:t>
      </w:r>
      <w:r w:rsidRPr="00751F9F">
        <w:rPr>
          <w:b/>
          <w:color w:val="C00000"/>
        </w:rPr>
        <w:t>classroom situations,</w:t>
      </w:r>
      <w:r>
        <w:t xml:space="preserve"> teachers consider which approach they need to adopt to afford their students the opportunities to develop concepts and skills. This will be based in their own beliefs on teaching styles and the availability of resources with which they are familiar and their own school context. According to Webb (2002) teachers:</w:t>
      </w:r>
    </w:p>
    <w:p w:rsidR="00666A54" w:rsidRDefault="00666A54" w:rsidP="0069512F">
      <w:pPr>
        <w:spacing w:line="360" w:lineRule="auto"/>
        <w:ind w:left="720"/>
        <w:jc w:val="both"/>
        <w:rPr>
          <w:i/>
        </w:rPr>
      </w:pPr>
      <w:r w:rsidRPr="0069512F">
        <w:rPr>
          <w:i/>
        </w:rPr>
        <w:t>may use their beliefs to filter their knowledge-bases at the start so that during the processes of pedagogical reasoning the</w:t>
      </w:r>
      <w:r>
        <w:rPr>
          <w:i/>
        </w:rPr>
        <w:t>y ar</w:t>
      </w:r>
      <w:r w:rsidRPr="0069512F">
        <w:rPr>
          <w:i/>
        </w:rPr>
        <w:t>e only drawing on a limited subset of the knowledge-base.</w:t>
      </w:r>
    </w:p>
    <w:p w:rsidR="00666A54" w:rsidRDefault="00666A54" w:rsidP="0069512F">
      <w:pPr>
        <w:spacing w:line="360" w:lineRule="auto"/>
        <w:jc w:val="right"/>
      </w:pPr>
      <w:r w:rsidRPr="0069512F">
        <w:t>Webb 2002 p.241</w:t>
      </w:r>
    </w:p>
    <w:p w:rsidR="00666A54" w:rsidRDefault="00666A54" w:rsidP="006A5EBB">
      <w:pPr>
        <w:spacing w:line="360" w:lineRule="auto"/>
        <w:jc w:val="both"/>
      </w:pPr>
      <w:r>
        <w:t>The teacher’s views on the importance and effective of ICT in this process will be considered as part of this decision. Over time teacher’s pedagogical reasoning will change through experience, knowledge of the students, reflection, the changing, particularly technological, resources and changes to subject curricula. Additionally teachers might respond to input from CPD activities that reflect on pedagogical practices, although Deforges, (1995) suggests that reflecting on the result of their practice does not automatically lead to teachers changing their beliefs and practices. The teachers’ role has developed through the use of ICT to be more of a facilitator than one who ‘transmits truth and knowledge’ (Hodgson, 1995) in a fairly dogmatic and unidirectional way. Some teachers have accepted this role, showing a willingness to become familiar with new resources and ways of working,</w:t>
      </w:r>
      <w:r w:rsidRPr="004F7B5E">
        <w:t xml:space="preserve"> </w:t>
      </w:r>
      <w:r>
        <w:t xml:space="preserve">(Loveless, 1995),  but for others the need to be more ‘relaxed’ regarding control of the lesson is more problematic, whether this is from the more open-ended approach to tasks or the real or imagined responses of students to this change. Knowing when to intervene is a skill that tends to be modified when using ICT, as whilst encouraging pupil autonomy, teachers still need to guide the pupils for them to benefit from the task (Loveless et al. 2001). This guidance includes knowing when to question, when to challenge, when to provide new skills. This shift passes greater control of the activity and learning to the pupil. There is also the issue of the value of making these changes and how much benefit they are to learning and teaching, bearing in mind the time taken to find or adapt resources and the time aspect of covering the set curriculum. </w:t>
      </w:r>
    </w:p>
    <w:p w:rsidR="00666A54" w:rsidRPr="00656DA1" w:rsidRDefault="00666A54" w:rsidP="006A5EBB">
      <w:pPr>
        <w:spacing w:line="360" w:lineRule="auto"/>
        <w:jc w:val="both"/>
        <w:rPr>
          <w:color w:val="FF0000"/>
        </w:rPr>
      </w:pPr>
      <w:r>
        <w:t xml:space="preserve">The </w:t>
      </w:r>
      <w:r w:rsidRPr="00751F9F">
        <w:rPr>
          <w:b/>
          <w:color w:val="C00000"/>
        </w:rPr>
        <w:t>inclusion of ICT within subject teaching</w:t>
      </w:r>
      <w:r>
        <w:t xml:space="preserve"> necessitates teachers examining not only how they deliver the curriculum, but also their role as ICT provides different learning opportunities. McLoughlin and Oliver (1999) have defined pedagogic roles for teachers in a technology supported situation which are different to those seen in many mathematics classrooms, particularly where the teaching tends to be didactic. Their definition includes promoting student self-management, supporting meta-cognition, fostering multiple perspectives and rotating roles which suggest that the student has a more interactive role in their learning. Somekh, (1998) refers to a change in task structure as a ‘walled garden’ rather than ‘stepping stones’ intimating that there are looser boundaries with ICT and the learner is freer to explore. For some mathematics teachers this freedom is a challenge as they are unsure of where the boundaries are and how to scaffold their learners. </w:t>
      </w:r>
      <w:r>
        <w:rPr>
          <w:color w:val="FF0000"/>
        </w:rPr>
        <w:t>More useful references in this book</w:t>
      </w:r>
    </w:p>
    <w:p w:rsidR="00666A54" w:rsidRDefault="00666A54" w:rsidP="006A5EBB">
      <w:pPr>
        <w:spacing w:line="360" w:lineRule="auto"/>
        <w:jc w:val="both"/>
      </w:pPr>
      <w:r>
        <w:t>Cornu, (1995)</w:t>
      </w:r>
      <w:r w:rsidRPr="002C4E48">
        <w:t xml:space="preserve"> </w:t>
      </w:r>
      <w:r>
        <w:t>refers to there being both generalisation and integration. Referring to generalisation, he reports that computers in schools are used mostly by the most enthusiastic teachers who are prepared to spend time learning to use hardware and software and thinking how they can incorporate it into their teaching through identifying suitable contexts, ideas and skills they wish to deliver.</w:t>
      </w:r>
      <w:r w:rsidRPr="00234473">
        <w:t xml:space="preserve"> </w:t>
      </w:r>
      <w:r>
        <w:t xml:space="preserve">The features and functionality of software is an aspect that subject teachers also have to contend with, especially as it is continually being developed and updated. ‘New technology’ is often seen as a supplementary tool rather than a fundamental tool that is integrated into teaching. Cornu, (1995) raises the point that usage needs to spread to other teachers and questions how this might be achieved. He suggests that information technology was, in essence, ‘bolt-on’, i.e. equipment installed in another classroom, provision of dedicated curriculum time, subject books having some IT tasks included. This was ‘on top of’ existing subject matter rather than being inclusive. He suggests that, for real integration, there is a need for consideration as to the manner of transmission of knowledge and classroom management, hardware should be in classrooms rather than a computer suite and software usage should be throughout books rather than in dedicated chapters in order for the integration of IT into the curriculum. With the advent of smaller and cheaper computers, this is becoming more feasible; however, the inclusion of activity within chapters is an issue that remains for some subjects, such as mathematics. </w:t>
      </w:r>
    </w:p>
    <w:p w:rsidR="00666A54" w:rsidRDefault="00666A54" w:rsidP="006A5EBB">
      <w:pPr>
        <w:spacing w:line="360" w:lineRule="auto"/>
        <w:jc w:val="both"/>
      </w:pPr>
      <w:r>
        <w:t>According to Ridgway and Passey (1995):</w:t>
      </w:r>
    </w:p>
    <w:p w:rsidR="00666A54" w:rsidRDefault="00666A54" w:rsidP="006A5EBB">
      <w:pPr>
        <w:spacing w:line="360" w:lineRule="auto"/>
        <w:ind w:firstLine="720"/>
        <w:jc w:val="both"/>
        <w:rPr>
          <w:i/>
        </w:rPr>
      </w:pPr>
      <w:r w:rsidRPr="00C8196B">
        <w:rPr>
          <w:i/>
        </w:rPr>
        <w:t xml:space="preserve">IT is seen by teachers </w:t>
      </w:r>
      <w:r>
        <w:rPr>
          <w:i/>
        </w:rPr>
        <w:t>to be concerned with the</w:t>
      </w:r>
      <w:r w:rsidRPr="00C8196B">
        <w:rPr>
          <w:i/>
        </w:rPr>
        <w:t xml:space="preserve"> acquisition of technical skills, </w:t>
      </w:r>
      <w:r>
        <w:rPr>
          <w:i/>
        </w:rPr>
        <w:t>or as a support for administration: a small number are terrified of IT, rather more are unconvinced of the benefits of IT, and only a minority of teachers use IT to support their teaching.</w:t>
      </w:r>
      <w:r w:rsidRPr="00C8196B">
        <w:t xml:space="preserve"> </w:t>
      </w:r>
    </w:p>
    <w:p w:rsidR="00666A54" w:rsidRDefault="00666A54" w:rsidP="006A5EBB">
      <w:pPr>
        <w:spacing w:line="360" w:lineRule="auto"/>
        <w:ind w:firstLine="720"/>
        <w:jc w:val="both"/>
      </w:pPr>
      <w:r>
        <w:t>Ridgway and Passey (1995) p.59</w:t>
      </w:r>
    </w:p>
    <w:p w:rsidR="00666A54" w:rsidRDefault="00666A54" w:rsidP="006A5EBB">
      <w:pPr>
        <w:spacing w:line="360" w:lineRule="auto"/>
        <w:jc w:val="both"/>
      </w:pPr>
      <w:r>
        <w:t>Cornu (1995) suggests making IT inclusive will also lead to generalisation and vice versa.</w:t>
      </w:r>
      <w:r w:rsidRPr="00816BC4">
        <w:t xml:space="preserve"> </w:t>
      </w:r>
      <w:r>
        <w:t xml:space="preserve">Within mathematics, for instance, there is the ability to process data, draw geometric figures quickly and accurately and to explore and use formulae of greater complexity using specialist software. However not all teachers will have received training in using this software and many texts in common use include few IT examples for pupil activities. </w:t>
      </w:r>
    </w:p>
    <w:p w:rsidR="00666A54" w:rsidRDefault="00666A54" w:rsidP="006A5EBB">
      <w:pPr>
        <w:spacing w:line="360" w:lineRule="auto"/>
        <w:jc w:val="both"/>
      </w:pPr>
      <w:r>
        <w:t xml:space="preserve">Integration is affected by not only the teachers’ attitudes and beliefs, but also physical situations such as the location of the computers and access problems, lack of time, the teacher’s background knowledge, their didactical role and the restricted sense of the learning potential of the material.  In many schools, computers have to be booked in advance for the whole lesson and thus do not lend themselves to spontaneity. With regards the time implications introducing ICT into a subject requires time and thought as to how to integrate, within the access constraints, into classroom routines, re-writing curriculum materials, researching software, restructuring classroom layout where necessary.  In the National Strategies for Mathematics, especially at Primary level, there was some assistance with this in that suitable ICT opportunities were included but this did not negate the time taken to familiarise oneself with the software. Hodgson (1995) quotes the ImpacT study (Watson, 1993) as saying that the three main </w:t>
      </w:r>
      <w:r w:rsidRPr="00BD48B7">
        <w:t>resource-related</w:t>
      </w:r>
      <w:r>
        <w:t xml:space="preserve"> factors as to whether teachers use IT in lessons are access to computers, the organisation of IT in the classroom, teacher’s skills and enthusiasm for using IT in the curriculum. The most important is the latter. </w:t>
      </w:r>
    </w:p>
    <w:p w:rsidR="00666A54" w:rsidRDefault="00666A54" w:rsidP="006A5EBB">
      <w:pPr>
        <w:spacing w:line="360" w:lineRule="auto"/>
        <w:jc w:val="both"/>
      </w:pPr>
      <w:r>
        <w:t xml:space="preserve">The </w:t>
      </w:r>
      <w:r w:rsidRPr="00751F9F">
        <w:rPr>
          <w:b/>
          <w:color w:val="C00000"/>
        </w:rPr>
        <w:t>teachers’ use of ICT</w:t>
      </w:r>
      <w:r>
        <w:t xml:space="preserve"> in the classroom will be influenced by how they use it for personal and administrative reasons, their attitude towards ICT and how they view the benefit to teaching and learning (Cox, 1997). Their use will also be influenced by the knowledge of the classes they teach and this in turn will have an effect on the approaches and strategies they will use. Bromme (1995) found that practices differed between primary and secondary teachers, and also between subjects while suggesting that a reason for this being that primary teachers’ beliefs will be tempered by their whole curriculum teaching whilst secondary teachers are subject specific. In primary schools teachers tend to spend more time with one class and will see how the class approaches use of ICT in different situations and also have more time flexibility than their secondary subject teaching colleagues.</w:t>
      </w:r>
    </w:p>
    <w:p w:rsidR="00666A54" w:rsidRDefault="00666A54" w:rsidP="004572F3">
      <w:pPr>
        <w:spacing w:line="360" w:lineRule="auto"/>
      </w:pPr>
      <w:r>
        <w:t>In mathematics, use of ICT enables a shift in teaching with the emphasis moved to processes and investigation. This allows for the changing roles of skills and content as mathematical modelling becomes more accessible with the processing power of programs such as Excel, removing the need for laborious calculation in order to appreciate the model. According to Hodgson (1995) teachers need to develop:</w:t>
      </w:r>
    </w:p>
    <w:p w:rsidR="00666A54" w:rsidRDefault="00666A54" w:rsidP="0046118F">
      <w:pPr>
        <w:spacing w:line="360" w:lineRule="auto"/>
        <w:ind w:left="720"/>
        <w:rPr>
          <w:i/>
        </w:rPr>
      </w:pPr>
      <w:r>
        <w:rPr>
          <w:i/>
        </w:rPr>
        <w:t xml:space="preserve">A deep epistemological view of this subject, enabling an understanding of its origins, its history, its changing role in society and its growing applicability’. </w:t>
      </w:r>
    </w:p>
    <w:p w:rsidR="00666A54" w:rsidRDefault="00666A54" w:rsidP="0046118F">
      <w:pPr>
        <w:spacing w:line="360" w:lineRule="auto"/>
        <w:jc w:val="right"/>
      </w:pPr>
      <w:r>
        <w:t>Hodgson (1995) p. 32</w:t>
      </w:r>
    </w:p>
    <w:p w:rsidR="00666A54" w:rsidRDefault="00666A54" w:rsidP="004572F3">
      <w:pPr>
        <w:spacing w:line="360" w:lineRule="auto"/>
      </w:pPr>
      <w:r>
        <w:t xml:space="preserve">In a study on </w:t>
      </w:r>
      <w:r w:rsidRPr="00751F9F">
        <w:rPr>
          <w:b/>
          <w:color w:val="C00000"/>
        </w:rPr>
        <w:t>using ICT in literacy and numeracy in primary schools</w:t>
      </w:r>
      <w:r>
        <w:t>, Moseley et. al. (1999) found that:</w:t>
      </w:r>
    </w:p>
    <w:p w:rsidR="00666A54" w:rsidRDefault="00666A54" w:rsidP="00E16BA8">
      <w:pPr>
        <w:spacing w:line="360" w:lineRule="auto"/>
        <w:ind w:left="567"/>
        <w:jc w:val="center"/>
        <w:rPr>
          <w:color w:val="FF0000"/>
        </w:rPr>
      </w:pPr>
      <w:r>
        <w:rPr>
          <w:i/>
        </w:rPr>
        <w:t>Teachers’ thinking and beliefs about teaching and learning were linked to what they did in the classroom</w:t>
      </w:r>
      <w:r w:rsidRPr="00451F3C">
        <w:t xml:space="preserve"> cited in Webb and Cox</w:t>
      </w:r>
      <w:r>
        <w:t xml:space="preserve"> (2004) </w:t>
      </w:r>
      <w:r>
        <w:rPr>
          <w:color w:val="FF0000"/>
        </w:rPr>
        <w:t>put in page</w:t>
      </w:r>
    </w:p>
    <w:p w:rsidR="00666A54" w:rsidRPr="00451F3C" w:rsidRDefault="00666A54" w:rsidP="00DD460C">
      <w:pPr>
        <w:spacing w:line="360" w:lineRule="auto"/>
      </w:pPr>
      <w:r>
        <w:t>They also found that there was a link between different characteristics, e.g. the number of years they had been teaching, and their approach to teaching. From this, they</w:t>
      </w:r>
      <w:r w:rsidRPr="00451F3C">
        <w:t xml:space="preserve"> concluded that</w:t>
      </w:r>
      <w:r>
        <w:t xml:space="preserve"> teachers who favoured ICT were l</w:t>
      </w:r>
      <w:r w:rsidRPr="00451F3C">
        <w:t xml:space="preserve">ikely to have well developed </w:t>
      </w:r>
      <w:r>
        <w:t xml:space="preserve">personal </w:t>
      </w:r>
      <w:r w:rsidRPr="00451F3C">
        <w:t>ICT skills</w:t>
      </w:r>
      <w:r>
        <w:t>, and saw</w:t>
      </w:r>
      <w:r w:rsidRPr="00451F3C">
        <w:t xml:space="preserve"> ICT as important for teaching and learning</w:t>
      </w:r>
      <w:r>
        <w:t>. These teachers were more p</w:t>
      </w:r>
      <w:r w:rsidRPr="00451F3C">
        <w:t xml:space="preserve">repared </w:t>
      </w:r>
      <w:r>
        <w:t>to have ‘learner centred’ approach,</w:t>
      </w:r>
      <w:r w:rsidRPr="00451F3C">
        <w:t xml:space="preserve"> </w:t>
      </w:r>
      <w:r>
        <w:t>valuing</w:t>
      </w:r>
      <w:r w:rsidRPr="00451F3C">
        <w:t xml:space="preserve"> collaborative working, enquiry and decision making by pupils</w:t>
      </w:r>
      <w:r>
        <w:t>. They were also a</w:t>
      </w:r>
      <w:r w:rsidRPr="00451F3C">
        <w:t>ble to give effective explanations</w:t>
      </w:r>
      <w:r>
        <w:t xml:space="preserve">. Teachers who were not so enthusiastic adopted a more directive style of teaching and pupils were organised to work more individually. To make the change from ‘old’ types of activities requires new ways of thinking about subject content and adopting different approaches. To be effective this will require the teachers to be reflective about their practice and be prepared to revise and change their approach. </w:t>
      </w:r>
    </w:p>
    <w:p w:rsidR="00666A54" w:rsidRDefault="00666A54" w:rsidP="00751F9F">
      <w:pPr>
        <w:spacing w:line="360" w:lineRule="auto"/>
      </w:pPr>
      <w:r>
        <w:t>There are continual expressions by governments and employers about standards of literacy and numeracy. The National Strategies that existed for primary and Key Stage 3 between 1999 and 2010 aimed to address this. In 1998 the DfEE, in their document ‘The implementation of the National Numeracy Strategy: The final report of the Numeracy Task Force’ admitted that they did not have “sufficient time or opportunity to study the use of ICT in mathematics in depth and do not give detailed in this report”, although they did realise that there was potential. The potential for curriculum reform is lost to the many forces that shape it, such as school management, politicians, government departments and quangos, commercial organisations, such as publishers, and examination boards, and special interest groups including university departments. Commercialisation includes the selling of programs ‘to make life easier and more efficient’ such as management information systems (MIS), pupil subject tracking programs,  such as integrated learning systems (ILS), and those with skills practice that can be used for homework or ‘cover lessons. It is questionable as to what the pedagogy is, the independent learning and creative thinking opportunities really offered by the last two.</w:t>
      </w:r>
    </w:p>
    <w:p w:rsidR="00666A54" w:rsidRDefault="00666A54" w:rsidP="00751F9F">
      <w:pPr>
        <w:spacing w:line="360" w:lineRule="auto"/>
      </w:pPr>
      <w:r>
        <w:t xml:space="preserve">As the </w:t>
      </w:r>
      <w:r w:rsidRPr="004F7B5E">
        <w:rPr>
          <w:b/>
          <w:color w:val="C00000"/>
        </w:rPr>
        <w:t xml:space="preserve">mathematics </w:t>
      </w:r>
      <w:r w:rsidRPr="00751F9F">
        <w:rPr>
          <w:b/>
          <w:color w:val="C00000"/>
        </w:rPr>
        <w:t>curriculum undergoes few drastic changes</w:t>
      </w:r>
      <w:r>
        <w:t xml:space="preserve"> over time, many secondary mathematics teachers do not see the need for further development of their subject knowledge. </w:t>
      </w:r>
      <w:r w:rsidRPr="00D14DEE">
        <w:t>Secondary mathematics syllabi are not up-to-date</w:t>
      </w:r>
      <w:r>
        <w:t>, much of the content at GCSE level is similar to that which was taught 50 years ago at General Certificate of Education (GCE) ‘O’ level or CSE (Certificate of Secondary Education).</w:t>
      </w:r>
      <w:r>
        <w:rPr>
          <w:b/>
          <w:color w:val="C00000"/>
        </w:rPr>
        <w:t xml:space="preserve">  </w:t>
      </w:r>
      <w:r>
        <w:t xml:space="preserve">This content is much the same as that taught to the majority of practising teachers today. The examination boards’ examination papers showing little real change in format mean that many teachers see no reason to change their approach to content deliveryperpetuating the lack of change. Although calculators have been available since the 1990s the students still had to complete the majority of calculation questions without calculators at GCSE. The questions do not demand knowledge of calculator or computer facilities such as spreadsheets, dynamic geometry or graphing, hence many teachers have not questioned their beliefs  as they see no purpose in developing their own skills for using them for teaching and learning when they are Satisfied with the outcomes of their teaching without making change to their own practice. To make change to practice requires time and effort (Deforges, 1995) in restructuring their beliefs about learning and teaching, especially if not supported by others within the school, especially if there are others against change. This situation has left many students and teachers not appreciating the possible use of/how to use a calculator or computer facilities efficiently for solving mathematical problems in the classroom.  Teachers do find it difficult to make computers part of the classroom while preserving their non-computer practice as using computers enable subject content to be seen in different ways, but this does need a culture of enquiry. IN adopting a more ICT rich environment issues such as teacher comfort, class size, the mix of students in the class, time to learn a new approach, time to find or develop new resources and the ability to convince other teachers that this is an effective way forward have to be addressed. Therefore, teachers need help to make the change in their pedagogical beliefs to cope with the need to change their practice. They need support and help to identify how coverage of the curriculum can be enhanced using ICT. Once they are able to see the possibilities, and feel secure in their knowledge of, and how to use, the hardware and software, teachers are more likely to develop a positive attitude and be prepared to adapt their teaching. (Cox et al. 1999) </w:t>
      </w:r>
    </w:p>
    <w:p w:rsidR="00666A54" w:rsidRDefault="00666A54" w:rsidP="004572F3">
      <w:pPr>
        <w:spacing w:line="360" w:lineRule="auto"/>
      </w:pPr>
      <w:r w:rsidRPr="002F750B">
        <w:t xml:space="preserve">Many </w:t>
      </w:r>
      <w:r w:rsidRPr="002F750B">
        <w:rPr>
          <w:color w:val="C00000"/>
        </w:rPr>
        <w:t>mathematical ideas</w:t>
      </w:r>
      <w:r>
        <w:rPr>
          <w:b/>
          <w:color w:val="C00000"/>
        </w:rPr>
        <w:t xml:space="preserve"> </w:t>
      </w:r>
      <w:r w:rsidRPr="002F750B">
        <w:t xml:space="preserve">have become more accessible </w:t>
      </w:r>
      <w:r>
        <w:t>since the introduction of</w:t>
      </w:r>
      <w:r w:rsidRPr="002F750B">
        <w:t xml:space="preserve"> calculators and computers</w:t>
      </w:r>
      <w:r>
        <w:t>. It is possible to model, as in engineering and science, situations and scenarios without having deal manually with large amounts of arithmetic (Selinger, 2001). This presents the opportunity for pupils to develop an understanding of how mathematics affects many everyday events rather than dealing with more abstract situations</w:t>
      </w:r>
      <w:r w:rsidRPr="002F750B">
        <w:t>.</w:t>
      </w:r>
      <w:r>
        <w:rPr>
          <w:b/>
          <w:color w:val="C00000"/>
        </w:rPr>
        <w:t xml:space="preserve"> </w:t>
      </w:r>
      <w:r w:rsidRPr="00234473">
        <w:rPr>
          <w:b/>
          <w:color w:val="C00000"/>
        </w:rPr>
        <w:t>Secondary mathematics</w:t>
      </w:r>
      <w:r>
        <w:t xml:space="preserve"> teachers, as a group, are strongly orientated towards a ‘</w:t>
      </w:r>
      <w:r w:rsidRPr="002C19DC">
        <w:rPr>
          <w:color w:val="C00000"/>
        </w:rPr>
        <w:t>transmission</w:t>
      </w:r>
      <w:r>
        <w:t xml:space="preserve">’ view of teaching as opposed to one of ‘constructivist’ (Ruthven &amp; Hennessy, 2002). Many mathematics teachers use ICT to support their practices with these beliefs in mind, but in order to provide greater learning opportunities for students through task interaction, collaborative working and consolidating learning they will need to adapt their practices (Webb &amp; Cox, 2004). This will include a decrease in teacher direction and exposition allowing students’ more control over their learning whilst being supported and scaffolded by the teacher when and where needed. The case for change has not been made to such an extent that mathematics teachers see the reason for change, what it is, how it fits with their present practice and how to implement it. </w:t>
      </w:r>
    </w:p>
    <w:p w:rsidR="00666A54" w:rsidRDefault="00666A54" w:rsidP="003A4D12">
      <w:pPr>
        <w:spacing w:line="360" w:lineRule="auto"/>
      </w:pPr>
      <w:r>
        <w:t xml:space="preserve">In </w:t>
      </w:r>
      <w:r w:rsidRPr="00234473">
        <w:rPr>
          <w:b/>
          <w:color w:val="C00000"/>
        </w:rPr>
        <w:t>studies using Logo</w:t>
      </w:r>
      <w:r>
        <w:t xml:space="preserve"> Hoyles &amp; Noss (1992) and Clements (2000) found that teachers’ beliefs played an important role in the efficacy of Logo in developing skills and concepts. This was most effective where the students were working within a controlled framework with the teacher supporting and underpinning the theories behind the activities and using questioning and encouragement rather than the students being expected to ‘discover for themselves’. Duchâteau (1995) suggests that through Logo learners explore or experience a way of learning to learn and thinking about their learning.  Papert, (1980) created Logo to enable pupils to explore and develop understanding of mathematics using the ideas of Piaget and the development of the constructivist theories of learning where children built their own intellectual structures through finding for themselves they specific knowledge they need within a supportive environment. </w:t>
      </w:r>
    </w:p>
    <w:p w:rsidR="00666A54" w:rsidRDefault="00666A54" w:rsidP="004572F3">
      <w:pPr>
        <w:spacing w:line="360" w:lineRule="auto"/>
      </w:pPr>
      <w:r>
        <w:t xml:space="preserve">Laborde and Laborde (1995) have developed Cabri-géomètre (a </w:t>
      </w:r>
      <w:r w:rsidRPr="007D2D04">
        <w:rPr>
          <w:b/>
          <w:color w:val="C00000"/>
        </w:rPr>
        <w:t>dynamic geometry</w:t>
      </w:r>
      <w:r>
        <w:t xml:space="preserve"> program) since 1986 at the University of Grenoble, France.  They stated that:</w:t>
      </w:r>
    </w:p>
    <w:p w:rsidR="00666A54" w:rsidRDefault="00666A54" w:rsidP="00234473">
      <w:pPr>
        <w:spacing w:line="360" w:lineRule="auto"/>
        <w:ind w:left="720"/>
        <w:rPr>
          <w:i/>
        </w:rPr>
      </w:pPr>
      <w:r>
        <w:rPr>
          <w:i/>
        </w:rPr>
        <w:t>‘Much research provides evidence that listening to the discourse of the teacher, to a clear presentation of the mathematical content, does not guarantee the learning which was expected. According to constructivist theory which is widely used amongst mathematics educators, knowledge is actively built up by the cognizing subject when interacting with mathematical learning environments.’</w:t>
      </w:r>
    </w:p>
    <w:p w:rsidR="00666A54" w:rsidRPr="00AB3DF3" w:rsidRDefault="00666A54" w:rsidP="00196245">
      <w:pPr>
        <w:spacing w:line="360" w:lineRule="auto"/>
      </w:pPr>
      <w:r w:rsidRPr="00196245">
        <w:t>In mathematics, problems are</w:t>
      </w:r>
      <w:r>
        <w:t xml:space="preserve"> both practical and theoretical and use of dynamic software allows learners to understand the subtle difference between a drawing and a constructed ‘figure’ by moving lines and vertices and identify the effects of doing so, something that it is not possible to readily demonstrate with static representations. The visualisation of the dynamics assists in understanding but many mathematics teachers do not have access to such programs as a matter of course not have they received training. Texas Instruments linked with Cabri to enable dynamic files to be built on their TI72 calculators. More recently (2011) the interactive whiteboard suppliers (Promethean, Hitachi and Smart Technologies) have collaborated with Cabri-géomètre to make the software fully functional on their boards.</w:t>
      </w:r>
      <w:r w:rsidRPr="007D2D04">
        <w:t xml:space="preserve"> </w:t>
      </w:r>
      <w:r>
        <w:t>There are also share-ware programs, such as GeoGebra, that enable teachers to demonstrate this dynamism, (the only constraint being that some schools do not have Java enabled) and not all teachers have been given training in using dynamic geometry software as a matter of course. With dynamic geometry teachers need to reappraise how they will present the task and the prior knowledge required by the students as they will have to understand the elements of construction rather than be able to use ‘hit and miss’ drawings. The dynamic element will allow the learners to construct more examples, but how they record their work will need to also be considered, whether this is to be submitted as geometry file or pasted into a page.</w:t>
      </w:r>
      <w:r w:rsidRPr="00F935AB">
        <w:rPr>
          <w:color w:val="FF0000"/>
        </w:rPr>
        <w:t xml:space="preserve"> </w:t>
      </w:r>
      <w:r>
        <w:rPr>
          <w:color w:val="FF0000"/>
        </w:rPr>
        <w:t>Add more from this into chapter on mathematical resources or another chapter.</w:t>
      </w:r>
    </w:p>
    <w:p w:rsidR="00666A54" w:rsidRDefault="00666A54" w:rsidP="002D207D">
      <w:pPr>
        <w:spacing w:line="360" w:lineRule="auto"/>
      </w:pPr>
      <w:r>
        <w:t xml:space="preserve">Studies, such as that of Underwood (1997), show that once a teacher has completed their initial teacher training many </w:t>
      </w:r>
      <w:r w:rsidRPr="00751F9F">
        <w:rPr>
          <w:b/>
          <w:color w:val="C00000"/>
        </w:rPr>
        <w:t>do not take further courses</w:t>
      </w:r>
      <w:r>
        <w:t xml:space="preserve"> to improve their skills. The NOF training was meant to address this concerning ICT usage but, there were, from many teachers’ perspectives problems with how this was delivered, e.g. teachers had to do it in their own time and unpaid, quality of the training depended on who the school chose as a provider, whether training  was delivered ‘in-house’ or via external attendance.  Cornu (1995) states that integration of IT should form part of teacher training if teachers are to be able to break out from the models by which they were taught. He suggests that technology needs to be used in training so that they experience the opportunities and learning experiences technology can afford.</w:t>
      </w:r>
    </w:p>
    <w:p w:rsidR="00666A54" w:rsidRDefault="00666A54" w:rsidP="002D207D">
      <w:pPr>
        <w:spacing w:line="360" w:lineRule="auto"/>
        <w:rPr>
          <w:i/>
        </w:rPr>
      </w:pPr>
      <w:r>
        <w:rPr>
          <w:i/>
        </w:rPr>
        <w:tab/>
        <w:t>‘Future teachers do not teach the way we tell them to; they reproduce they way they are taught’</w:t>
      </w:r>
    </w:p>
    <w:p w:rsidR="00666A54" w:rsidRPr="00CE4E7E" w:rsidRDefault="00666A54" w:rsidP="002D207D">
      <w:pPr>
        <w:spacing w:line="360" w:lineRule="auto"/>
        <w:jc w:val="right"/>
        <w:rPr>
          <w:i/>
        </w:rPr>
      </w:pPr>
      <w:r>
        <w:t>Cornu (1995) p.10</w:t>
      </w:r>
    </w:p>
    <w:p w:rsidR="00666A54" w:rsidRPr="007D610D" w:rsidRDefault="00666A54" w:rsidP="004572F3">
      <w:pPr>
        <w:spacing w:line="360" w:lineRule="auto"/>
      </w:pPr>
      <w:r>
        <w:t xml:space="preserve">Whilst newer teachers have had some IT training in their ITT courses, the government became aware that many practicing teachers had not received ICT training, the problem was then getting practising teachers to ‘get up to speed’.  Between 1998 and 2004, the DfES surveyed primary and secondary schools’ use and provision of ICT. The data collected included </w:t>
      </w:r>
      <w:r w:rsidRPr="00234473">
        <w:rPr>
          <w:b/>
          <w:color w:val="C00000"/>
        </w:rPr>
        <w:t>teachers confidence and training</w:t>
      </w:r>
      <w:r>
        <w:t xml:space="preserve"> received and this included the period of National Opportunities Fund (NOF) training for teachers that took place in the period 1999 to 2003/4. It was expected that teachers would become more proficient in using  IT  for administration and whilst teaching their own subject. At the same time there was a scheme called Laptops for Teachers which enabled certain teachers (including mathematics specialists) to receive a contribution to purchasing their own laptop. Unfortunately this CPD opportunity was not always differentiated taking into account teachers’ prior knowledge and was therefore regarded by Ofsted (2002b) as inadequate. </w:t>
      </w:r>
    </w:p>
    <w:tbl>
      <w:tblPr>
        <w:tblW w:w="0" w:type="auto"/>
        <w:tblBorders>
          <w:top w:val="single" w:sz="8" w:space="0" w:color="000000"/>
          <w:bottom w:val="single" w:sz="8" w:space="0" w:color="000000"/>
        </w:tblBorders>
        <w:tblLook w:val="00A0"/>
      </w:tblPr>
      <w:tblGrid>
        <w:gridCol w:w="4876"/>
        <w:gridCol w:w="663"/>
        <w:gridCol w:w="663"/>
        <w:gridCol w:w="663"/>
        <w:gridCol w:w="663"/>
        <w:gridCol w:w="663"/>
        <w:gridCol w:w="663"/>
        <w:gridCol w:w="663"/>
      </w:tblGrid>
      <w:tr w:rsidR="00666A54" w:rsidRPr="00FE1085" w:rsidTr="00FE1085">
        <w:tc>
          <w:tcPr>
            <w:tcW w:w="0" w:type="auto"/>
            <w:tcBorders>
              <w:top w:val="single" w:sz="8" w:space="0" w:color="000000"/>
              <w:left w:val="nil"/>
              <w:bottom w:val="single" w:sz="8" w:space="0" w:color="000000"/>
              <w:right w:val="nil"/>
            </w:tcBorders>
          </w:tcPr>
          <w:p w:rsidR="00666A54" w:rsidRPr="00FE1085" w:rsidRDefault="00666A54" w:rsidP="00FE1085">
            <w:pPr>
              <w:spacing w:after="0" w:line="360" w:lineRule="auto"/>
              <w:rPr>
                <w:b/>
                <w:bCs/>
                <w:color w:val="000000"/>
              </w:rPr>
            </w:pPr>
          </w:p>
        </w:tc>
        <w:tc>
          <w:tcPr>
            <w:tcW w:w="0" w:type="auto"/>
            <w:tcBorders>
              <w:top w:val="single" w:sz="8" w:space="0" w:color="000000"/>
              <w:left w:val="nil"/>
              <w:bottom w:val="single" w:sz="8" w:space="0" w:color="000000"/>
              <w:right w:val="nil"/>
            </w:tcBorders>
          </w:tcPr>
          <w:p w:rsidR="00666A54" w:rsidRPr="00FE1085" w:rsidRDefault="00666A54" w:rsidP="00FE1085">
            <w:pPr>
              <w:spacing w:after="0" w:line="360" w:lineRule="auto"/>
              <w:rPr>
                <w:b/>
                <w:bCs/>
                <w:color w:val="000000"/>
              </w:rPr>
            </w:pPr>
            <w:r w:rsidRPr="00FE1085">
              <w:rPr>
                <w:b/>
                <w:bCs/>
                <w:color w:val="000000"/>
              </w:rPr>
              <w:t>1998</w:t>
            </w:r>
          </w:p>
        </w:tc>
        <w:tc>
          <w:tcPr>
            <w:tcW w:w="0" w:type="auto"/>
            <w:tcBorders>
              <w:top w:val="single" w:sz="8" w:space="0" w:color="000000"/>
              <w:left w:val="nil"/>
              <w:bottom w:val="single" w:sz="8" w:space="0" w:color="000000"/>
              <w:right w:val="nil"/>
            </w:tcBorders>
          </w:tcPr>
          <w:p w:rsidR="00666A54" w:rsidRPr="00FE1085" w:rsidRDefault="00666A54" w:rsidP="00FE1085">
            <w:pPr>
              <w:spacing w:after="0" w:line="360" w:lineRule="auto"/>
              <w:rPr>
                <w:b/>
                <w:bCs/>
                <w:color w:val="000000"/>
              </w:rPr>
            </w:pPr>
            <w:r w:rsidRPr="00FE1085">
              <w:rPr>
                <w:b/>
                <w:bCs/>
                <w:color w:val="000000"/>
              </w:rPr>
              <w:t>1999</w:t>
            </w:r>
          </w:p>
        </w:tc>
        <w:tc>
          <w:tcPr>
            <w:tcW w:w="0" w:type="auto"/>
            <w:tcBorders>
              <w:top w:val="single" w:sz="8" w:space="0" w:color="000000"/>
              <w:left w:val="nil"/>
              <w:bottom w:val="single" w:sz="8" w:space="0" w:color="000000"/>
              <w:right w:val="nil"/>
            </w:tcBorders>
          </w:tcPr>
          <w:p w:rsidR="00666A54" w:rsidRPr="00FE1085" w:rsidRDefault="00666A54" w:rsidP="00FE1085">
            <w:pPr>
              <w:spacing w:after="0" w:line="360" w:lineRule="auto"/>
              <w:rPr>
                <w:b/>
                <w:bCs/>
                <w:color w:val="000000"/>
              </w:rPr>
            </w:pPr>
            <w:r w:rsidRPr="00FE1085">
              <w:rPr>
                <w:b/>
                <w:bCs/>
                <w:color w:val="000000"/>
              </w:rPr>
              <w:t>2000</w:t>
            </w:r>
          </w:p>
        </w:tc>
        <w:tc>
          <w:tcPr>
            <w:tcW w:w="0" w:type="auto"/>
            <w:tcBorders>
              <w:top w:val="single" w:sz="8" w:space="0" w:color="000000"/>
              <w:left w:val="nil"/>
              <w:bottom w:val="single" w:sz="8" w:space="0" w:color="000000"/>
              <w:right w:val="nil"/>
            </w:tcBorders>
          </w:tcPr>
          <w:p w:rsidR="00666A54" w:rsidRPr="00FE1085" w:rsidRDefault="00666A54" w:rsidP="00FE1085">
            <w:pPr>
              <w:spacing w:after="0" w:line="360" w:lineRule="auto"/>
              <w:rPr>
                <w:b/>
                <w:bCs/>
                <w:color w:val="000000"/>
              </w:rPr>
            </w:pPr>
            <w:r w:rsidRPr="00FE1085">
              <w:rPr>
                <w:b/>
                <w:bCs/>
                <w:color w:val="000000"/>
              </w:rPr>
              <w:t>2001</w:t>
            </w:r>
          </w:p>
        </w:tc>
        <w:tc>
          <w:tcPr>
            <w:tcW w:w="0" w:type="auto"/>
            <w:tcBorders>
              <w:top w:val="single" w:sz="8" w:space="0" w:color="000000"/>
              <w:left w:val="nil"/>
              <w:bottom w:val="single" w:sz="8" w:space="0" w:color="000000"/>
              <w:right w:val="nil"/>
            </w:tcBorders>
          </w:tcPr>
          <w:p w:rsidR="00666A54" w:rsidRPr="00FE1085" w:rsidRDefault="00666A54" w:rsidP="00FE1085">
            <w:pPr>
              <w:spacing w:after="0" w:line="360" w:lineRule="auto"/>
              <w:rPr>
                <w:b/>
                <w:bCs/>
                <w:color w:val="000000"/>
              </w:rPr>
            </w:pPr>
            <w:r w:rsidRPr="00FE1085">
              <w:rPr>
                <w:b/>
                <w:bCs/>
                <w:color w:val="000000"/>
              </w:rPr>
              <w:t>2002</w:t>
            </w:r>
          </w:p>
        </w:tc>
        <w:tc>
          <w:tcPr>
            <w:tcW w:w="0" w:type="auto"/>
            <w:tcBorders>
              <w:top w:val="single" w:sz="8" w:space="0" w:color="000000"/>
              <w:left w:val="nil"/>
              <w:bottom w:val="single" w:sz="8" w:space="0" w:color="000000"/>
              <w:right w:val="nil"/>
            </w:tcBorders>
          </w:tcPr>
          <w:p w:rsidR="00666A54" w:rsidRPr="00FE1085" w:rsidRDefault="00666A54" w:rsidP="00FE1085">
            <w:pPr>
              <w:spacing w:after="0" w:line="360" w:lineRule="auto"/>
              <w:rPr>
                <w:b/>
                <w:bCs/>
                <w:color w:val="000000"/>
              </w:rPr>
            </w:pPr>
            <w:r w:rsidRPr="00FE1085">
              <w:rPr>
                <w:b/>
                <w:bCs/>
                <w:color w:val="000000"/>
              </w:rPr>
              <w:t>2003</w:t>
            </w:r>
          </w:p>
        </w:tc>
        <w:tc>
          <w:tcPr>
            <w:tcW w:w="0" w:type="auto"/>
            <w:tcBorders>
              <w:top w:val="single" w:sz="8" w:space="0" w:color="000000"/>
              <w:left w:val="nil"/>
              <w:bottom w:val="single" w:sz="8" w:space="0" w:color="000000"/>
              <w:right w:val="nil"/>
            </w:tcBorders>
          </w:tcPr>
          <w:p w:rsidR="00666A54" w:rsidRPr="00FE1085" w:rsidRDefault="00666A54" w:rsidP="00FE1085">
            <w:pPr>
              <w:spacing w:after="0" w:line="360" w:lineRule="auto"/>
              <w:rPr>
                <w:b/>
                <w:bCs/>
                <w:color w:val="000000"/>
              </w:rPr>
            </w:pPr>
            <w:r w:rsidRPr="00FE1085">
              <w:rPr>
                <w:b/>
                <w:bCs/>
                <w:color w:val="000000"/>
              </w:rPr>
              <w:t>2004</w:t>
            </w:r>
          </w:p>
        </w:tc>
      </w:tr>
      <w:tr w:rsidR="00666A54" w:rsidRPr="00FE1085" w:rsidTr="00FE1085">
        <w:tc>
          <w:tcPr>
            <w:tcW w:w="0" w:type="auto"/>
            <w:tcBorders>
              <w:left w:val="nil"/>
              <w:right w:val="nil"/>
            </w:tcBorders>
            <w:shd w:val="clear" w:color="auto" w:fill="C0C0C0"/>
          </w:tcPr>
          <w:p w:rsidR="00666A54" w:rsidRPr="00FE1085" w:rsidRDefault="00666A54" w:rsidP="00FE1085">
            <w:pPr>
              <w:spacing w:after="0" w:line="360" w:lineRule="auto"/>
              <w:rPr>
                <w:b/>
                <w:bCs/>
                <w:color w:val="000000"/>
              </w:rPr>
            </w:pPr>
            <w:r w:rsidRPr="00FE1085">
              <w:rPr>
                <w:b/>
                <w:bCs/>
                <w:color w:val="000000"/>
              </w:rPr>
              <w:t>Primary teachers confidence %</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65</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68</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67</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76</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81</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87</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85</w:t>
            </w:r>
          </w:p>
        </w:tc>
      </w:tr>
      <w:tr w:rsidR="00666A54" w:rsidRPr="00FE1085" w:rsidTr="00FE1085">
        <w:tc>
          <w:tcPr>
            <w:tcW w:w="0" w:type="auto"/>
          </w:tcPr>
          <w:p w:rsidR="00666A54" w:rsidRPr="00FE1085" w:rsidRDefault="00666A54" w:rsidP="00FE1085">
            <w:pPr>
              <w:spacing w:after="0" w:line="360" w:lineRule="auto"/>
              <w:rPr>
                <w:b/>
                <w:bCs/>
                <w:color w:val="000000"/>
              </w:rPr>
            </w:pPr>
            <w:r w:rsidRPr="00FE1085">
              <w:rPr>
                <w:b/>
                <w:bCs/>
                <w:color w:val="000000"/>
              </w:rPr>
              <w:t>Secondary teachers confidence %</w:t>
            </w:r>
          </w:p>
        </w:tc>
        <w:tc>
          <w:tcPr>
            <w:tcW w:w="0" w:type="auto"/>
          </w:tcPr>
          <w:p w:rsidR="00666A54" w:rsidRPr="00FE1085" w:rsidRDefault="00666A54" w:rsidP="00FE1085">
            <w:pPr>
              <w:spacing w:after="0" w:line="360" w:lineRule="auto"/>
              <w:jc w:val="center"/>
              <w:rPr>
                <w:color w:val="000000"/>
              </w:rPr>
            </w:pPr>
            <w:r w:rsidRPr="00FE1085">
              <w:rPr>
                <w:color w:val="000000"/>
              </w:rPr>
              <w:t>61</w:t>
            </w:r>
          </w:p>
        </w:tc>
        <w:tc>
          <w:tcPr>
            <w:tcW w:w="0" w:type="auto"/>
          </w:tcPr>
          <w:p w:rsidR="00666A54" w:rsidRPr="00FE1085" w:rsidRDefault="00666A54" w:rsidP="00FE1085">
            <w:pPr>
              <w:spacing w:after="0" w:line="360" w:lineRule="auto"/>
              <w:jc w:val="center"/>
              <w:rPr>
                <w:color w:val="000000"/>
              </w:rPr>
            </w:pPr>
            <w:r w:rsidRPr="00FE1085">
              <w:rPr>
                <w:color w:val="000000"/>
              </w:rPr>
              <w:t>66</w:t>
            </w:r>
          </w:p>
        </w:tc>
        <w:tc>
          <w:tcPr>
            <w:tcW w:w="0" w:type="auto"/>
          </w:tcPr>
          <w:p w:rsidR="00666A54" w:rsidRPr="00FE1085" w:rsidRDefault="00666A54" w:rsidP="00FE1085">
            <w:pPr>
              <w:spacing w:after="0" w:line="360" w:lineRule="auto"/>
              <w:jc w:val="center"/>
              <w:rPr>
                <w:color w:val="000000"/>
              </w:rPr>
            </w:pPr>
            <w:r w:rsidRPr="00FE1085">
              <w:rPr>
                <w:color w:val="000000"/>
              </w:rPr>
              <w:t>65</w:t>
            </w:r>
          </w:p>
        </w:tc>
        <w:tc>
          <w:tcPr>
            <w:tcW w:w="0" w:type="auto"/>
          </w:tcPr>
          <w:p w:rsidR="00666A54" w:rsidRPr="00FE1085" w:rsidRDefault="00666A54" w:rsidP="00FE1085">
            <w:pPr>
              <w:spacing w:after="0" w:line="360" w:lineRule="auto"/>
              <w:jc w:val="center"/>
              <w:rPr>
                <w:color w:val="000000"/>
              </w:rPr>
            </w:pPr>
            <w:r w:rsidRPr="00FE1085">
              <w:rPr>
                <w:color w:val="000000"/>
              </w:rPr>
              <w:t>70</w:t>
            </w:r>
          </w:p>
        </w:tc>
        <w:tc>
          <w:tcPr>
            <w:tcW w:w="0" w:type="auto"/>
          </w:tcPr>
          <w:p w:rsidR="00666A54" w:rsidRPr="00FE1085" w:rsidRDefault="00666A54" w:rsidP="00FE1085">
            <w:pPr>
              <w:spacing w:after="0" w:line="360" w:lineRule="auto"/>
              <w:jc w:val="center"/>
              <w:rPr>
                <w:color w:val="000000"/>
              </w:rPr>
            </w:pPr>
            <w:r w:rsidRPr="00FE1085">
              <w:rPr>
                <w:color w:val="000000"/>
              </w:rPr>
              <w:t>75</w:t>
            </w:r>
          </w:p>
        </w:tc>
        <w:tc>
          <w:tcPr>
            <w:tcW w:w="0" w:type="auto"/>
          </w:tcPr>
          <w:p w:rsidR="00666A54" w:rsidRPr="00FE1085" w:rsidRDefault="00666A54" w:rsidP="00FE1085">
            <w:pPr>
              <w:spacing w:after="0" w:line="360" w:lineRule="auto"/>
              <w:jc w:val="center"/>
              <w:rPr>
                <w:color w:val="000000"/>
              </w:rPr>
            </w:pPr>
            <w:r w:rsidRPr="00FE1085">
              <w:rPr>
                <w:color w:val="000000"/>
              </w:rPr>
              <w:t>82</w:t>
            </w:r>
          </w:p>
        </w:tc>
        <w:tc>
          <w:tcPr>
            <w:tcW w:w="0" w:type="auto"/>
          </w:tcPr>
          <w:p w:rsidR="00666A54" w:rsidRPr="00FE1085" w:rsidRDefault="00666A54" w:rsidP="00FE1085">
            <w:pPr>
              <w:spacing w:after="0" w:line="360" w:lineRule="auto"/>
              <w:jc w:val="center"/>
              <w:rPr>
                <w:color w:val="000000"/>
              </w:rPr>
            </w:pPr>
            <w:r w:rsidRPr="00FE1085">
              <w:rPr>
                <w:color w:val="000000"/>
              </w:rPr>
              <w:t>81</w:t>
            </w:r>
          </w:p>
        </w:tc>
      </w:tr>
      <w:tr w:rsidR="00666A54" w:rsidRPr="00FE1085" w:rsidTr="00FE1085">
        <w:tc>
          <w:tcPr>
            <w:tcW w:w="0" w:type="auto"/>
            <w:tcBorders>
              <w:left w:val="nil"/>
              <w:right w:val="nil"/>
            </w:tcBorders>
            <w:shd w:val="clear" w:color="auto" w:fill="C0C0C0"/>
          </w:tcPr>
          <w:p w:rsidR="00666A54" w:rsidRPr="00FE1085" w:rsidRDefault="00666A54" w:rsidP="00FE1085">
            <w:pPr>
              <w:spacing w:after="0" w:line="360" w:lineRule="auto"/>
              <w:rPr>
                <w:b/>
                <w:bCs/>
                <w:color w:val="000000"/>
              </w:rPr>
            </w:pPr>
            <w:r w:rsidRPr="00FE1085">
              <w:rPr>
                <w:b/>
                <w:bCs/>
                <w:color w:val="000000"/>
              </w:rPr>
              <w:t>Primary staff receiving some training %</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90</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92</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82</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80</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93</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w:t>
            </w:r>
          </w:p>
        </w:tc>
      </w:tr>
      <w:tr w:rsidR="00666A54" w:rsidRPr="00FE1085" w:rsidTr="00FE1085">
        <w:tc>
          <w:tcPr>
            <w:tcW w:w="0" w:type="auto"/>
          </w:tcPr>
          <w:p w:rsidR="00666A54" w:rsidRPr="00FE1085" w:rsidRDefault="00666A54" w:rsidP="00FE1085">
            <w:pPr>
              <w:spacing w:after="0" w:line="360" w:lineRule="auto"/>
              <w:rPr>
                <w:b/>
                <w:bCs/>
                <w:color w:val="000000"/>
              </w:rPr>
            </w:pPr>
            <w:r w:rsidRPr="00FE1085">
              <w:rPr>
                <w:b/>
                <w:bCs/>
                <w:color w:val="000000"/>
              </w:rPr>
              <w:t>Secondary staff receiving some training</w:t>
            </w:r>
          </w:p>
        </w:tc>
        <w:tc>
          <w:tcPr>
            <w:tcW w:w="0" w:type="auto"/>
          </w:tcPr>
          <w:p w:rsidR="00666A54" w:rsidRPr="00FE1085" w:rsidRDefault="00666A54" w:rsidP="00FE1085">
            <w:pPr>
              <w:spacing w:after="0" w:line="360" w:lineRule="auto"/>
              <w:jc w:val="center"/>
              <w:rPr>
                <w:color w:val="000000"/>
              </w:rPr>
            </w:pPr>
            <w:r w:rsidRPr="00FE1085">
              <w:rPr>
                <w:color w:val="000000"/>
              </w:rPr>
              <w:t>85</w:t>
            </w:r>
          </w:p>
        </w:tc>
        <w:tc>
          <w:tcPr>
            <w:tcW w:w="0" w:type="auto"/>
          </w:tcPr>
          <w:p w:rsidR="00666A54" w:rsidRPr="00FE1085" w:rsidRDefault="00666A54" w:rsidP="00FE1085">
            <w:pPr>
              <w:spacing w:after="0" w:line="360" w:lineRule="auto"/>
              <w:jc w:val="center"/>
              <w:rPr>
                <w:color w:val="000000"/>
              </w:rPr>
            </w:pPr>
            <w:r w:rsidRPr="00FE1085">
              <w:rPr>
                <w:color w:val="000000"/>
              </w:rPr>
              <w:t>88</w:t>
            </w:r>
          </w:p>
        </w:tc>
        <w:tc>
          <w:tcPr>
            <w:tcW w:w="0" w:type="auto"/>
          </w:tcPr>
          <w:p w:rsidR="00666A54" w:rsidRPr="00FE1085" w:rsidRDefault="00666A54" w:rsidP="00FE1085">
            <w:pPr>
              <w:spacing w:after="0" w:line="360" w:lineRule="auto"/>
              <w:jc w:val="center"/>
              <w:rPr>
                <w:color w:val="000000"/>
              </w:rPr>
            </w:pPr>
            <w:r w:rsidRPr="00FE1085">
              <w:rPr>
                <w:color w:val="000000"/>
              </w:rPr>
              <w:t>75</w:t>
            </w:r>
          </w:p>
        </w:tc>
        <w:tc>
          <w:tcPr>
            <w:tcW w:w="0" w:type="auto"/>
          </w:tcPr>
          <w:p w:rsidR="00666A54" w:rsidRPr="00FE1085" w:rsidRDefault="00666A54" w:rsidP="00FE1085">
            <w:pPr>
              <w:spacing w:after="0" w:line="360" w:lineRule="auto"/>
              <w:jc w:val="center"/>
              <w:rPr>
                <w:color w:val="000000"/>
              </w:rPr>
            </w:pPr>
            <w:r w:rsidRPr="00FE1085">
              <w:rPr>
                <w:color w:val="000000"/>
              </w:rPr>
              <w:t>65</w:t>
            </w:r>
          </w:p>
        </w:tc>
        <w:tc>
          <w:tcPr>
            <w:tcW w:w="0" w:type="auto"/>
          </w:tcPr>
          <w:p w:rsidR="00666A54" w:rsidRPr="00FE1085" w:rsidRDefault="00666A54" w:rsidP="00FE1085">
            <w:pPr>
              <w:spacing w:after="0" w:line="360" w:lineRule="auto"/>
              <w:jc w:val="center"/>
              <w:rPr>
                <w:color w:val="000000"/>
              </w:rPr>
            </w:pPr>
            <w:r w:rsidRPr="00FE1085">
              <w:rPr>
                <w:color w:val="000000"/>
              </w:rPr>
              <w:t>73</w:t>
            </w:r>
          </w:p>
        </w:tc>
        <w:tc>
          <w:tcPr>
            <w:tcW w:w="0" w:type="auto"/>
          </w:tcPr>
          <w:p w:rsidR="00666A54" w:rsidRPr="00FE1085" w:rsidRDefault="00666A54" w:rsidP="00FE1085">
            <w:pPr>
              <w:spacing w:after="0" w:line="360" w:lineRule="auto"/>
              <w:jc w:val="center"/>
              <w:rPr>
                <w:color w:val="000000"/>
              </w:rPr>
            </w:pPr>
            <w:r w:rsidRPr="00FE1085">
              <w:rPr>
                <w:color w:val="000000"/>
              </w:rPr>
              <w:t>-</w:t>
            </w:r>
          </w:p>
        </w:tc>
        <w:tc>
          <w:tcPr>
            <w:tcW w:w="0" w:type="auto"/>
          </w:tcPr>
          <w:p w:rsidR="00666A54" w:rsidRPr="00FE1085" w:rsidRDefault="00666A54" w:rsidP="00FE1085">
            <w:pPr>
              <w:spacing w:after="0" w:line="360" w:lineRule="auto"/>
              <w:jc w:val="center"/>
              <w:rPr>
                <w:color w:val="000000"/>
              </w:rPr>
            </w:pPr>
            <w:r w:rsidRPr="00FE1085">
              <w:rPr>
                <w:color w:val="000000"/>
              </w:rPr>
              <w:t>-</w:t>
            </w:r>
          </w:p>
        </w:tc>
      </w:tr>
      <w:tr w:rsidR="00666A54" w:rsidRPr="00FE1085" w:rsidTr="00FE1085">
        <w:tc>
          <w:tcPr>
            <w:tcW w:w="0" w:type="auto"/>
            <w:tcBorders>
              <w:left w:val="nil"/>
              <w:right w:val="nil"/>
            </w:tcBorders>
            <w:shd w:val="clear" w:color="auto" w:fill="C0C0C0"/>
          </w:tcPr>
          <w:p w:rsidR="00666A54" w:rsidRPr="00FE1085" w:rsidRDefault="00666A54" w:rsidP="00FE1085">
            <w:pPr>
              <w:spacing w:after="0" w:line="360" w:lineRule="auto"/>
              <w:rPr>
                <w:b/>
                <w:bCs/>
                <w:color w:val="000000"/>
              </w:rPr>
            </w:pPr>
            <w:r w:rsidRPr="00FE1085">
              <w:rPr>
                <w:b/>
                <w:bCs/>
                <w:color w:val="000000"/>
              </w:rPr>
              <w:t>Primary staff with updated training (last 2 yrs) %</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45</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46</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60</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72</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87</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w:t>
            </w:r>
          </w:p>
        </w:tc>
        <w:tc>
          <w:tcPr>
            <w:tcW w:w="0" w:type="auto"/>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w:t>
            </w:r>
          </w:p>
        </w:tc>
      </w:tr>
      <w:tr w:rsidR="00666A54" w:rsidRPr="00FE1085" w:rsidTr="00FE1085">
        <w:tc>
          <w:tcPr>
            <w:tcW w:w="0" w:type="auto"/>
            <w:tcBorders>
              <w:bottom w:val="single" w:sz="8" w:space="0" w:color="000000"/>
            </w:tcBorders>
          </w:tcPr>
          <w:p w:rsidR="00666A54" w:rsidRPr="00FE1085" w:rsidRDefault="00666A54" w:rsidP="00FE1085">
            <w:pPr>
              <w:spacing w:after="0" w:line="360" w:lineRule="auto"/>
              <w:rPr>
                <w:b/>
                <w:bCs/>
                <w:color w:val="000000"/>
              </w:rPr>
            </w:pPr>
            <w:r w:rsidRPr="00FE1085">
              <w:rPr>
                <w:b/>
                <w:bCs/>
                <w:color w:val="000000"/>
              </w:rPr>
              <w:t>Secondary staff with updated training (last 2 yrs) %</w:t>
            </w:r>
          </w:p>
        </w:tc>
        <w:tc>
          <w:tcPr>
            <w:tcW w:w="0" w:type="auto"/>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36</w:t>
            </w:r>
          </w:p>
        </w:tc>
        <w:tc>
          <w:tcPr>
            <w:tcW w:w="0" w:type="auto"/>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39</w:t>
            </w:r>
          </w:p>
        </w:tc>
        <w:tc>
          <w:tcPr>
            <w:tcW w:w="0" w:type="auto"/>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49</w:t>
            </w:r>
          </w:p>
        </w:tc>
        <w:tc>
          <w:tcPr>
            <w:tcW w:w="0" w:type="auto"/>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53</w:t>
            </w:r>
          </w:p>
        </w:tc>
        <w:tc>
          <w:tcPr>
            <w:tcW w:w="0" w:type="auto"/>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84</w:t>
            </w:r>
          </w:p>
        </w:tc>
        <w:tc>
          <w:tcPr>
            <w:tcW w:w="0" w:type="auto"/>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w:t>
            </w:r>
          </w:p>
        </w:tc>
        <w:tc>
          <w:tcPr>
            <w:tcW w:w="0" w:type="auto"/>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w:t>
            </w:r>
          </w:p>
        </w:tc>
      </w:tr>
    </w:tbl>
    <w:p w:rsidR="00666A54" w:rsidRDefault="00666A54" w:rsidP="00D36400">
      <w:pPr>
        <w:spacing w:line="360" w:lineRule="auto"/>
        <w:jc w:val="right"/>
      </w:pPr>
      <w:r>
        <w:t>DfES (2002, 2004)</w:t>
      </w:r>
    </w:p>
    <w:p w:rsidR="00666A54" w:rsidRDefault="00666A54" w:rsidP="004572F3">
      <w:pPr>
        <w:spacing w:line="360" w:lineRule="auto"/>
      </w:pPr>
      <w:r>
        <w:t xml:space="preserve">Several authors cite the </w:t>
      </w:r>
      <w:r w:rsidRPr="00751F9F">
        <w:rPr>
          <w:b/>
          <w:color w:val="C00000"/>
        </w:rPr>
        <w:t>lack of effective training</w:t>
      </w:r>
      <w:r>
        <w:t xml:space="preserve"> as being a barrier to change in pedagogy e.g. Becta (2004), Cox et al (1999). Unfortunately, many post-qualification training courses focus on the technical aspect of hardware and software and omit the pedagogical aspect. Whilst a teacher might feel confident in using ICT for their own and administration purposes, using it in a teaching role requires different skills. In the classroom the teacher not only has to be knowledgeable about how they wish the technology to be used and able to give good instruction, but also be prepared to quickly troubleshoot any technical problems that might arise.  Consideration of the time needed for pedagogical training is often omitted (Becta, 2004) and time is problematical when planning to use ICT in lessons, especially when using subject-specific software. Teachers need time to explore and practice using the resources they are going to use in the classroom over and above that needed to prepare lessons that are more traditional. Additionally they need to consider how they are going to present and organise the lesson and whether this will need to be different from their norm.  If teachers who do not feel well skilled in ICT are unable to devote time to this then it increases their anxiety when using ICT in front of students – especially as students are likely to be more confident with technology and have greater ICT skills. For teachers to be prepared to put in the extra time then the case for using it to enhance teaching and learning in their subject has to be made.</w:t>
      </w:r>
    </w:p>
    <w:p w:rsidR="00666A54" w:rsidRDefault="00666A54" w:rsidP="004572F3">
      <w:pPr>
        <w:spacing w:line="360" w:lineRule="auto"/>
      </w:pPr>
      <w:r>
        <w:t>In the DfES 2002 survey, the use of ICT in areas of the curriculum was also included. For mathematics, this produced the following data:</w:t>
      </w:r>
    </w:p>
    <w:tbl>
      <w:tblPr>
        <w:tblW w:w="5000" w:type="pct"/>
        <w:tblBorders>
          <w:top w:val="single" w:sz="8" w:space="0" w:color="000000"/>
          <w:bottom w:val="single" w:sz="8" w:space="0" w:color="000000"/>
        </w:tblBorders>
        <w:tblLook w:val="00A0"/>
      </w:tblPr>
      <w:tblGrid>
        <w:gridCol w:w="2859"/>
        <w:gridCol w:w="1544"/>
        <w:gridCol w:w="1544"/>
        <w:gridCol w:w="1544"/>
        <w:gridCol w:w="1053"/>
        <w:gridCol w:w="1032"/>
      </w:tblGrid>
      <w:tr w:rsidR="00666A54" w:rsidRPr="00FE1085" w:rsidTr="00FE1085">
        <w:tc>
          <w:tcPr>
            <w:tcW w:w="1493" w:type="pct"/>
            <w:tcBorders>
              <w:top w:val="single" w:sz="8" w:space="0" w:color="000000"/>
              <w:left w:val="nil"/>
              <w:bottom w:val="single" w:sz="8" w:space="0" w:color="000000"/>
              <w:right w:val="nil"/>
            </w:tcBorders>
          </w:tcPr>
          <w:p w:rsidR="00666A54" w:rsidRPr="00FE1085" w:rsidRDefault="00666A54" w:rsidP="00FE1085">
            <w:pPr>
              <w:spacing w:after="0" w:line="360" w:lineRule="auto"/>
              <w:rPr>
                <w:b/>
                <w:bCs/>
                <w:color w:val="000000"/>
              </w:rPr>
            </w:pPr>
          </w:p>
        </w:tc>
        <w:tc>
          <w:tcPr>
            <w:tcW w:w="806" w:type="pct"/>
            <w:tcBorders>
              <w:top w:val="single" w:sz="8" w:space="0" w:color="000000"/>
              <w:left w:val="nil"/>
              <w:bottom w:val="single" w:sz="8" w:space="0" w:color="000000"/>
              <w:right w:val="nil"/>
            </w:tcBorders>
          </w:tcPr>
          <w:p w:rsidR="00666A54" w:rsidRPr="00FE1085" w:rsidRDefault="00666A54" w:rsidP="00FE1085">
            <w:pPr>
              <w:spacing w:after="0" w:line="360" w:lineRule="auto"/>
              <w:jc w:val="center"/>
              <w:rPr>
                <w:b/>
                <w:bCs/>
                <w:color w:val="000000"/>
              </w:rPr>
            </w:pPr>
            <w:r w:rsidRPr="00FE1085">
              <w:rPr>
                <w:b/>
                <w:bCs/>
                <w:color w:val="000000"/>
              </w:rPr>
              <w:t>2001</w:t>
            </w:r>
          </w:p>
          <w:p w:rsidR="00666A54" w:rsidRPr="00FE1085" w:rsidRDefault="00666A54" w:rsidP="00FE1085">
            <w:pPr>
              <w:spacing w:after="0" w:line="360" w:lineRule="auto"/>
              <w:jc w:val="center"/>
              <w:rPr>
                <w:b/>
                <w:bCs/>
                <w:color w:val="000000"/>
              </w:rPr>
            </w:pPr>
            <w:r w:rsidRPr="00FE1085">
              <w:rPr>
                <w:b/>
                <w:bCs/>
                <w:color w:val="000000"/>
              </w:rPr>
              <w:t>Substantial (%)</w:t>
            </w:r>
          </w:p>
        </w:tc>
        <w:tc>
          <w:tcPr>
            <w:tcW w:w="806" w:type="pct"/>
            <w:tcBorders>
              <w:top w:val="single" w:sz="8" w:space="0" w:color="000000"/>
              <w:left w:val="nil"/>
              <w:bottom w:val="single" w:sz="8" w:space="0" w:color="000000"/>
              <w:right w:val="nil"/>
            </w:tcBorders>
          </w:tcPr>
          <w:p w:rsidR="00666A54" w:rsidRPr="00FE1085" w:rsidRDefault="00666A54" w:rsidP="00FE1085">
            <w:pPr>
              <w:spacing w:after="0" w:line="360" w:lineRule="auto"/>
              <w:jc w:val="center"/>
              <w:rPr>
                <w:b/>
                <w:bCs/>
                <w:color w:val="000000"/>
              </w:rPr>
            </w:pPr>
            <w:r w:rsidRPr="00FE1085">
              <w:rPr>
                <w:b/>
                <w:bCs/>
                <w:color w:val="000000"/>
              </w:rPr>
              <w:t>2001</w:t>
            </w:r>
          </w:p>
          <w:p w:rsidR="00666A54" w:rsidRPr="00FE1085" w:rsidRDefault="00666A54" w:rsidP="00FE1085">
            <w:pPr>
              <w:spacing w:after="0" w:line="360" w:lineRule="auto"/>
              <w:jc w:val="center"/>
              <w:rPr>
                <w:b/>
                <w:bCs/>
                <w:color w:val="000000"/>
              </w:rPr>
            </w:pPr>
            <w:r w:rsidRPr="00FE1085">
              <w:rPr>
                <w:b/>
                <w:bCs/>
                <w:color w:val="000000"/>
              </w:rPr>
              <w:t>Little/none (%)</w:t>
            </w:r>
          </w:p>
        </w:tc>
        <w:tc>
          <w:tcPr>
            <w:tcW w:w="806" w:type="pct"/>
            <w:tcBorders>
              <w:top w:val="single" w:sz="8" w:space="0" w:color="000000"/>
              <w:left w:val="nil"/>
              <w:bottom w:val="single" w:sz="8" w:space="0" w:color="000000"/>
              <w:right w:val="nil"/>
            </w:tcBorders>
          </w:tcPr>
          <w:p w:rsidR="00666A54" w:rsidRPr="00FE1085" w:rsidRDefault="00666A54" w:rsidP="00FE1085">
            <w:pPr>
              <w:spacing w:after="0" w:line="360" w:lineRule="auto"/>
              <w:jc w:val="center"/>
              <w:rPr>
                <w:b/>
                <w:bCs/>
                <w:color w:val="000000"/>
              </w:rPr>
            </w:pPr>
            <w:r w:rsidRPr="00FE1085">
              <w:rPr>
                <w:b/>
                <w:bCs/>
                <w:color w:val="000000"/>
              </w:rPr>
              <w:t>2002</w:t>
            </w:r>
          </w:p>
          <w:p w:rsidR="00666A54" w:rsidRPr="00FE1085" w:rsidRDefault="00666A54" w:rsidP="00FE1085">
            <w:pPr>
              <w:spacing w:after="0" w:line="360" w:lineRule="auto"/>
              <w:jc w:val="center"/>
              <w:rPr>
                <w:b/>
                <w:bCs/>
                <w:color w:val="000000"/>
              </w:rPr>
            </w:pPr>
            <w:r w:rsidRPr="00FE1085">
              <w:rPr>
                <w:b/>
                <w:bCs/>
                <w:color w:val="000000"/>
              </w:rPr>
              <w:t>Substantial (%)</w:t>
            </w:r>
          </w:p>
        </w:tc>
        <w:tc>
          <w:tcPr>
            <w:tcW w:w="550" w:type="pct"/>
            <w:tcBorders>
              <w:top w:val="single" w:sz="8" w:space="0" w:color="000000"/>
              <w:left w:val="nil"/>
              <w:bottom w:val="single" w:sz="8" w:space="0" w:color="000000"/>
              <w:right w:val="nil"/>
            </w:tcBorders>
          </w:tcPr>
          <w:p w:rsidR="00666A54" w:rsidRPr="00FE1085" w:rsidRDefault="00666A54" w:rsidP="00FE1085">
            <w:pPr>
              <w:spacing w:after="0" w:line="360" w:lineRule="auto"/>
              <w:jc w:val="center"/>
              <w:rPr>
                <w:b/>
                <w:bCs/>
                <w:color w:val="000000"/>
              </w:rPr>
            </w:pPr>
            <w:r w:rsidRPr="00FE1085">
              <w:rPr>
                <w:b/>
                <w:bCs/>
                <w:color w:val="000000"/>
              </w:rPr>
              <w:t>2002</w:t>
            </w:r>
          </w:p>
          <w:p w:rsidR="00666A54" w:rsidRPr="00FE1085" w:rsidRDefault="00666A54" w:rsidP="00FE1085">
            <w:pPr>
              <w:spacing w:after="0" w:line="360" w:lineRule="auto"/>
              <w:jc w:val="center"/>
              <w:rPr>
                <w:b/>
                <w:bCs/>
                <w:color w:val="000000"/>
              </w:rPr>
            </w:pPr>
            <w:r w:rsidRPr="00FE1085">
              <w:rPr>
                <w:b/>
                <w:bCs/>
                <w:color w:val="000000"/>
              </w:rPr>
              <w:t>Some (%)</w:t>
            </w:r>
          </w:p>
        </w:tc>
        <w:tc>
          <w:tcPr>
            <w:tcW w:w="539" w:type="pct"/>
            <w:tcBorders>
              <w:top w:val="single" w:sz="8" w:space="0" w:color="000000"/>
              <w:left w:val="nil"/>
              <w:bottom w:val="single" w:sz="8" w:space="0" w:color="000000"/>
              <w:right w:val="nil"/>
            </w:tcBorders>
          </w:tcPr>
          <w:p w:rsidR="00666A54" w:rsidRPr="00FE1085" w:rsidRDefault="00666A54" w:rsidP="00FE1085">
            <w:pPr>
              <w:spacing w:after="0" w:line="360" w:lineRule="auto"/>
              <w:jc w:val="center"/>
              <w:rPr>
                <w:b/>
                <w:bCs/>
                <w:color w:val="000000"/>
              </w:rPr>
            </w:pPr>
            <w:r w:rsidRPr="00FE1085">
              <w:rPr>
                <w:b/>
                <w:bCs/>
                <w:color w:val="000000"/>
              </w:rPr>
              <w:t>2002</w:t>
            </w:r>
          </w:p>
          <w:p w:rsidR="00666A54" w:rsidRPr="00FE1085" w:rsidRDefault="00666A54" w:rsidP="00FE1085">
            <w:pPr>
              <w:spacing w:after="0" w:line="360" w:lineRule="auto"/>
              <w:jc w:val="center"/>
              <w:rPr>
                <w:b/>
                <w:bCs/>
                <w:color w:val="000000"/>
              </w:rPr>
            </w:pPr>
            <w:r w:rsidRPr="00FE1085">
              <w:rPr>
                <w:b/>
                <w:bCs/>
                <w:color w:val="000000"/>
              </w:rPr>
              <w:t>None (%)</w:t>
            </w:r>
          </w:p>
        </w:tc>
      </w:tr>
      <w:tr w:rsidR="00666A54" w:rsidRPr="00FE1085" w:rsidTr="00FE1085">
        <w:tc>
          <w:tcPr>
            <w:tcW w:w="1493" w:type="pct"/>
            <w:tcBorders>
              <w:left w:val="nil"/>
              <w:right w:val="nil"/>
            </w:tcBorders>
            <w:shd w:val="clear" w:color="auto" w:fill="C0C0C0"/>
          </w:tcPr>
          <w:p w:rsidR="00666A54" w:rsidRPr="00FE1085" w:rsidRDefault="00666A54" w:rsidP="00FE1085">
            <w:pPr>
              <w:spacing w:after="0" w:line="360" w:lineRule="auto"/>
              <w:rPr>
                <w:b/>
                <w:bCs/>
                <w:color w:val="000000"/>
              </w:rPr>
            </w:pPr>
            <w:r w:rsidRPr="00FE1085">
              <w:rPr>
                <w:b/>
                <w:bCs/>
                <w:color w:val="000000"/>
              </w:rPr>
              <w:t xml:space="preserve">Use in primary </w:t>
            </w:r>
          </w:p>
        </w:tc>
        <w:tc>
          <w:tcPr>
            <w:tcW w:w="806"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74</w:t>
            </w:r>
          </w:p>
        </w:tc>
        <w:tc>
          <w:tcPr>
            <w:tcW w:w="806"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26</w:t>
            </w:r>
          </w:p>
        </w:tc>
        <w:tc>
          <w:tcPr>
            <w:tcW w:w="806"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48</w:t>
            </w:r>
          </w:p>
        </w:tc>
        <w:tc>
          <w:tcPr>
            <w:tcW w:w="550"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45</w:t>
            </w:r>
          </w:p>
        </w:tc>
        <w:tc>
          <w:tcPr>
            <w:tcW w:w="539"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7</w:t>
            </w:r>
          </w:p>
        </w:tc>
      </w:tr>
      <w:tr w:rsidR="00666A54" w:rsidRPr="00FE1085" w:rsidTr="00FE1085">
        <w:tc>
          <w:tcPr>
            <w:tcW w:w="1493" w:type="pct"/>
          </w:tcPr>
          <w:p w:rsidR="00666A54" w:rsidRPr="00FE1085" w:rsidRDefault="00666A54" w:rsidP="00FE1085">
            <w:pPr>
              <w:spacing w:after="0" w:line="360" w:lineRule="auto"/>
              <w:rPr>
                <w:b/>
                <w:bCs/>
                <w:color w:val="000000"/>
              </w:rPr>
            </w:pPr>
            <w:r w:rsidRPr="00FE1085">
              <w:rPr>
                <w:b/>
                <w:bCs/>
                <w:color w:val="000000"/>
              </w:rPr>
              <w:t xml:space="preserve">Use in secondary </w:t>
            </w:r>
          </w:p>
        </w:tc>
        <w:tc>
          <w:tcPr>
            <w:tcW w:w="806" w:type="pct"/>
          </w:tcPr>
          <w:p w:rsidR="00666A54" w:rsidRPr="00FE1085" w:rsidRDefault="00666A54" w:rsidP="00FE1085">
            <w:pPr>
              <w:spacing w:after="0" w:line="360" w:lineRule="auto"/>
              <w:jc w:val="center"/>
              <w:rPr>
                <w:color w:val="000000"/>
              </w:rPr>
            </w:pPr>
            <w:r w:rsidRPr="00FE1085">
              <w:rPr>
                <w:color w:val="000000"/>
              </w:rPr>
              <w:t>60</w:t>
            </w:r>
          </w:p>
        </w:tc>
        <w:tc>
          <w:tcPr>
            <w:tcW w:w="806" w:type="pct"/>
          </w:tcPr>
          <w:p w:rsidR="00666A54" w:rsidRPr="00FE1085" w:rsidRDefault="00666A54" w:rsidP="00FE1085">
            <w:pPr>
              <w:spacing w:after="0" w:line="360" w:lineRule="auto"/>
              <w:jc w:val="center"/>
              <w:rPr>
                <w:color w:val="000000"/>
              </w:rPr>
            </w:pPr>
            <w:r w:rsidRPr="00FE1085">
              <w:rPr>
                <w:color w:val="000000"/>
              </w:rPr>
              <w:t>40</w:t>
            </w:r>
          </w:p>
        </w:tc>
        <w:tc>
          <w:tcPr>
            <w:tcW w:w="806" w:type="pct"/>
          </w:tcPr>
          <w:p w:rsidR="00666A54" w:rsidRPr="00FE1085" w:rsidRDefault="00666A54" w:rsidP="00FE1085">
            <w:pPr>
              <w:spacing w:after="0" w:line="360" w:lineRule="auto"/>
              <w:jc w:val="center"/>
              <w:rPr>
                <w:color w:val="000000"/>
              </w:rPr>
            </w:pPr>
            <w:r w:rsidRPr="00FE1085">
              <w:rPr>
                <w:color w:val="000000"/>
              </w:rPr>
              <w:t>21</w:t>
            </w:r>
          </w:p>
        </w:tc>
        <w:tc>
          <w:tcPr>
            <w:tcW w:w="550" w:type="pct"/>
          </w:tcPr>
          <w:p w:rsidR="00666A54" w:rsidRPr="00FE1085" w:rsidRDefault="00666A54" w:rsidP="00FE1085">
            <w:pPr>
              <w:spacing w:after="0" w:line="360" w:lineRule="auto"/>
              <w:jc w:val="center"/>
              <w:rPr>
                <w:color w:val="000000"/>
              </w:rPr>
            </w:pPr>
            <w:r w:rsidRPr="00FE1085">
              <w:rPr>
                <w:color w:val="000000"/>
              </w:rPr>
              <w:t>60</w:t>
            </w:r>
          </w:p>
        </w:tc>
        <w:tc>
          <w:tcPr>
            <w:tcW w:w="539" w:type="pct"/>
          </w:tcPr>
          <w:p w:rsidR="00666A54" w:rsidRPr="00FE1085" w:rsidRDefault="00666A54" w:rsidP="00FE1085">
            <w:pPr>
              <w:spacing w:after="0" w:line="360" w:lineRule="auto"/>
              <w:jc w:val="center"/>
              <w:rPr>
                <w:color w:val="000000"/>
              </w:rPr>
            </w:pPr>
            <w:r w:rsidRPr="00FE1085">
              <w:rPr>
                <w:color w:val="000000"/>
              </w:rPr>
              <w:t>19</w:t>
            </w:r>
          </w:p>
        </w:tc>
      </w:tr>
      <w:tr w:rsidR="00666A54" w:rsidRPr="00FE1085" w:rsidTr="00FE1085">
        <w:tc>
          <w:tcPr>
            <w:tcW w:w="1493" w:type="pct"/>
            <w:tcBorders>
              <w:left w:val="nil"/>
              <w:right w:val="nil"/>
            </w:tcBorders>
            <w:shd w:val="clear" w:color="auto" w:fill="C0C0C0"/>
          </w:tcPr>
          <w:p w:rsidR="00666A54" w:rsidRPr="00FE1085" w:rsidRDefault="00666A54" w:rsidP="00FE1085">
            <w:pPr>
              <w:spacing w:after="0" w:line="360" w:lineRule="auto"/>
              <w:rPr>
                <w:b/>
                <w:bCs/>
                <w:color w:val="000000"/>
              </w:rPr>
            </w:pPr>
            <w:r w:rsidRPr="00FE1085">
              <w:rPr>
                <w:b/>
                <w:bCs/>
                <w:color w:val="000000"/>
              </w:rPr>
              <w:t>Perceived benefits,  primary</w:t>
            </w:r>
          </w:p>
        </w:tc>
        <w:tc>
          <w:tcPr>
            <w:tcW w:w="806"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68</w:t>
            </w:r>
          </w:p>
        </w:tc>
        <w:tc>
          <w:tcPr>
            <w:tcW w:w="806"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32</w:t>
            </w:r>
          </w:p>
        </w:tc>
        <w:tc>
          <w:tcPr>
            <w:tcW w:w="806"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40</w:t>
            </w:r>
          </w:p>
        </w:tc>
        <w:tc>
          <w:tcPr>
            <w:tcW w:w="550"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51</w:t>
            </w:r>
          </w:p>
        </w:tc>
        <w:tc>
          <w:tcPr>
            <w:tcW w:w="539" w:type="pct"/>
            <w:tcBorders>
              <w:left w:val="nil"/>
              <w:right w:val="nil"/>
            </w:tcBorders>
            <w:shd w:val="clear" w:color="auto" w:fill="C0C0C0"/>
          </w:tcPr>
          <w:p w:rsidR="00666A54" w:rsidRPr="00FE1085" w:rsidRDefault="00666A54" w:rsidP="00FE1085">
            <w:pPr>
              <w:spacing w:after="0" w:line="360" w:lineRule="auto"/>
              <w:jc w:val="center"/>
              <w:rPr>
                <w:color w:val="000000"/>
              </w:rPr>
            </w:pPr>
            <w:r w:rsidRPr="00FE1085">
              <w:rPr>
                <w:color w:val="000000"/>
              </w:rPr>
              <w:t>8</w:t>
            </w:r>
          </w:p>
        </w:tc>
      </w:tr>
      <w:tr w:rsidR="00666A54" w:rsidRPr="00FE1085" w:rsidTr="00FE1085">
        <w:tc>
          <w:tcPr>
            <w:tcW w:w="1493" w:type="pct"/>
            <w:tcBorders>
              <w:bottom w:val="single" w:sz="8" w:space="0" w:color="000000"/>
            </w:tcBorders>
          </w:tcPr>
          <w:p w:rsidR="00666A54" w:rsidRPr="00FE1085" w:rsidRDefault="00666A54" w:rsidP="00FE1085">
            <w:pPr>
              <w:spacing w:after="0" w:line="240" w:lineRule="auto"/>
              <w:rPr>
                <w:b/>
                <w:bCs/>
                <w:color w:val="000000"/>
              </w:rPr>
            </w:pPr>
            <w:r w:rsidRPr="00FE1085">
              <w:rPr>
                <w:b/>
                <w:bCs/>
                <w:color w:val="000000"/>
              </w:rPr>
              <w:t>Perceived benefits, secondary</w:t>
            </w:r>
          </w:p>
        </w:tc>
        <w:tc>
          <w:tcPr>
            <w:tcW w:w="806" w:type="pct"/>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60</w:t>
            </w:r>
          </w:p>
        </w:tc>
        <w:tc>
          <w:tcPr>
            <w:tcW w:w="806" w:type="pct"/>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40</w:t>
            </w:r>
          </w:p>
        </w:tc>
        <w:tc>
          <w:tcPr>
            <w:tcW w:w="806" w:type="pct"/>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23</w:t>
            </w:r>
          </w:p>
        </w:tc>
        <w:tc>
          <w:tcPr>
            <w:tcW w:w="550" w:type="pct"/>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62</w:t>
            </w:r>
          </w:p>
        </w:tc>
        <w:tc>
          <w:tcPr>
            <w:tcW w:w="539" w:type="pct"/>
            <w:tcBorders>
              <w:bottom w:val="single" w:sz="8" w:space="0" w:color="000000"/>
            </w:tcBorders>
          </w:tcPr>
          <w:p w:rsidR="00666A54" w:rsidRPr="00FE1085" w:rsidRDefault="00666A54" w:rsidP="00FE1085">
            <w:pPr>
              <w:spacing w:after="0" w:line="360" w:lineRule="auto"/>
              <w:jc w:val="center"/>
              <w:rPr>
                <w:color w:val="000000"/>
              </w:rPr>
            </w:pPr>
            <w:r w:rsidRPr="00FE1085">
              <w:rPr>
                <w:color w:val="000000"/>
              </w:rPr>
              <w:t>15</w:t>
            </w:r>
          </w:p>
        </w:tc>
      </w:tr>
    </w:tbl>
    <w:p w:rsidR="00666A54" w:rsidRDefault="00666A54" w:rsidP="00D36400">
      <w:pPr>
        <w:spacing w:line="360" w:lineRule="auto"/>
        <w:jc w:val="right"/>
      </w:pPr>
      <w:r>
        <w:t>DfES (2002)</w:t>
      </w:r>
    </w:p>
    <w:p w:rsidR="00666A54" w:rsidRDefault="00666A54" w:rsidP="002F7550">
      <w:pPr>
        <w:spacing w:line="360" w:lineRule="auto"/>
      </w:pPr>
      <w:r>
        <w:t>Hodgson (1995) suggests that explanations for the underuse of computers in mathematics classrooms include the restricted availability of computers with good processing powers, a lack of quality software, and the complexity of the user interface making it difficult for sustained use in the classroom. He points out that, when computers were introduced into schools, there was much debate on the type and number of machines, rather than the pedagogy. The early core of enthusiastic teachers were described by Hodgson (1995) as ‘multiplicative agents’, being expected to pass down their knowledge to their colleagues. This is still evident in schools but now referred to as the ‘cascade model’ with one or two teachers attending courses then expected to cascade to colleagues. Unfortunately there is not always time devoted to this and it is not always the teachers best suited to do this that attend the courses or receive the training, resulting in those who are ‘cascaded to’ receiving a poor substitute for proper training.</w:t>
      </w:r>
    </w:p>
    <w:p w:rsidR="00666A54" w:rsidRDefault="00666A54" w:rsidP="002F7550">
      <w:pPr>
        <w:spacing w:line="360" w:lineRule="auto"/>
      </w:pPr>
      <w:r>
        <w:t xml:space="preserve">The </w:t>
      </w:r>
      <w:r w:rsidRPr="00751F9F">
        <w:rPr>
          <w:b/>
          <w:color w:val="C00000"/>
        </w:rPr>
        <w:t>introduction of the interactive whiteboard</w:t>
      </w:r>
      <w:r>
        <w:t xml:space="preserve"> (IWB) necessitated a change in pedagogy. Glover &amp; Miller (2001) found that where teachers failed to appreciate the interactivity offered by the IWB there is less impact on learning and teaching. Once teachers understand its potential and adjust pedagogy to accommodate the interactivity, there is greater impact and engagement with students.</w:t>
      </w:r>
    </w:p>
    <w:p w:rsidR="00666A54" w:rsidRDefault="00666A54" w:rsidP="002F7550">
      <w:pPr>
        <w:spacing w:line="360" w:lineRule="auto"/>
      </w:pPr>
    </w:p>
    <w:p w:rsidR="00666A54" w:rsidRDefault="00666A54" w:rsidP="004572F3">
      <w:pPr>
        <w:spacing w:line="360" w:lineRule="auto"/>
      </w:pPr>
      <w:r w:rsidRPr="00751F9F">
        <w:rPr>
          <w:b/>
          <w:color w:val="C00000"/>
        </w:rPr>
        <w:t>Software development</w:t>
      </w:r>
      <w:r>
        <w:t xml:space="preserve"> particularly that for management purposes, is now carried out, in the main, by large companies with a non-educational background and thus will only have a snapshot view of school life. In the early days of computing, enthusiasts were developing software for use in their own classes and beyond.  With the complexity of computer languages, this has become more difficult and as more ‘frills’ are expected, costly in time and development costs. Olson (1995) suggested that a way forward in developing appropriate software is for teachers to be involved in the development stage rather than the implementation stage. The availability of the internet has allowed sharing of resources and there are internationally developed open-source programs available, such as GeoGebra for mathematics.</w:t>
      </w:r>
    </w:p>
    <w:p w:rsidR="00666A54" w:rsidRDefault="00666A54" w:rsidP="004572F3">
      <w:pPr>
        <w:spacing w:line="360" w:lineRule="auto"/>
      </w:pPr>
      <w:r>
        <w:t>In seeking to answer the questions ‘What is the purpose of ICT and why should it be used in education?’ one needs to look at ‘life after school’ and any benefits in working to raise achievement and assisting teaching and learning to become more efficient.</w:t>
      </w:r>
    </w:p>
    <w:sectPr w:rsidR="00666A54" w:rsidSect="0008558D">
      <w:headerReference w:type="default" r:id="rId7"/>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6A54" w:rsidRDefault="00666A54" w:rsidP="00CA16BC">
      <w:pPr>
        <w:spacing w:after="0" w:line="240" w:lineRule="auto"/>
      </w:pPr>
      <w:r>
        <w:separator/>
      </w:r>
    </w:p>
  </w:endnote>
  <w:endnote w:type="continuationSeparator" w:id="0">
    <w:p w:rsidR="00666A54" w:rsidRDefault="00666A54" w:rsidP="00CA16B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6A54" w:rsidRDefault="00666A54" w:rsidP="00CA16BC">
      <w:pPr>
        <w:spacing w:after="0" w:line="240" w:lineRule="auto"/>
      </w:pPr>
      <w:r>
        <w:separator/>
      </w:r>
    </w:p>
  </w:footnote>
  <w:footnote w:type="continuationSeparator" w:id="0">
    <w:p w:rsidR="00666A54" w:rsidRDefault="00666A54" w:rsidP="00CA16B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A54" w:rsidRDefault="00666A54">
    <w:pPr>
      <w:pStyle w:val="Header"/>
      <w:jc w:val="right"/>
    </w:pPr>
    <w:fldSimple w:instr=" PAGE   \* MERGEFORMAT ">
      <w:r>
        <w:rPr>
          <w:noProof/>
        </w:rPr>
        <w:t>1</w:t>
      </w:r>
    </w:fldSimple>
  </w:p>
  <w:p w:rsidR="00666A54" w:rsidRDefault="00666A5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EB2184"/>
    <w:multiLevelType w:val="hybridMultilevel"/>
    <w:tmpl w:val="E800C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90C8C"/>
    <w:rsid w:val="00011528"/>
    <w:rsid w:val="00080114"/>
    <w:rsid w:val="0008558D"/>
    <w:rsid w:val="000B44CA"/>
    <w:rsid w:val="000C159F"/>
    <w:rsid w:val="000C4628"/>
    <w:rsid w:val="000D46AA"/>
    <w:rsid w:val="000F1454"/>
    <w:rsid w:val="000F70FF"/>
    <w:rsid w:val="001022D0"/>
    <w:rsid w:val="001137A1"/>
    <w:rsid w:val="00141E24"/>
    <w:rsid w:val="00172874"/>
    <w:rsid w:val="00174350"/>
    <w:rsid w:val="0019190D"/>
    <w:rsid w:val="00196245"/>
    <w:rsid w:val="001B067B"/>
    <w:rsid w:val="001B3500"/>
    <w:rsid w:val="001C1DB8"/>
    <w:rsid w:val="001C286F"/>
    <w:rsid w:val="00205954"/>
    <w:rsid w:val="00233C5E"/>
    <w:rsid w:val="00234473"/>
    <w:rsid w:val="002B38D1"/>
    <w:rsid w:val="002C19DC"/>
    <w:rsid w:val="002C4E48"/>
    <w:rsid w:val="002D207D"/>
    <w:rsid w:val="002F750B"/>
    <w:rsid w:val="002F7550"/>
    <w:rsid w:val="00310DF0"/>
    <w:rsid w:val="00322872"/>
    <w:rsid w:val="00326EF1"/>
    <w:rsid w:val="00331F8C"/>
    <w:rsid w:val="00346995"/>
    <w:rsid w:val="00360560"/>
    <w:rsid w:val="003A4D12"/>
    <w:rsid w:val="00430534"/>
    <w:rsid w:val="00451F3C"/>
    <w:rsid w:val="004572F3"/>
    <w:rsid w:val="0046118F"/>
    <w:rsid w:val="0046267F"/>
    <w:rsid w:val="004A65B8"/>
    <w:rsid w:val="004B7AC2"/>
    <w:rsid w:val="004B7EDE"/>
    <w:rsid w:val="004F525B"/>
    <w:rsid w:val="004F7B5E"/>
    <w:rsid w:val="005207CE"/>
    <w:rsid w:val="00590C8C"/>
    <w:rsid w:val="005A12A5"/>
    <w:rsid w:val="006418A2"/>
    <w:rsid w:val="00656DA1"/>
    <w:rsid w:val="00666A54"/>
    <w:rsid w:val="00676B17"/>
    <w:rsid w:val="0069512F"/>
    <w:rsid w:val="006A5EBB"/>
    <w:rsid w:val="00716C53"/>
    <w:rsid w:val="00721CF1"/>
    <w:rsid w:val="00726A29"/>
    <w:rsid w:val="007409A2"/>
    <w:rsid w:val="0074418A"/>
    <w:rsid w:val="00751F9F"/>
    <w:rsid w:val="00762C7B"/>
    <w:rsid w:val="007C44CE"/>
    <w:rsid w:val="007D2D04"/>
    <w:rsid w:val="007D610D"/>
    <w:rsid w:val="00816BC4"/>
    <w:rsid w:val="00822DA6"/>
    <w:rsid w:val="00886AC0"/>
    <w:rsid w:val="00894530"/>
    <w:rsid w:val="008D3DEB"/>
    <w:rsid w:val="008E3CC2"/>
    <w:rsid w:val="009261CF"/>
    <w:rsid w:val="00986B9E"/>
    <w:rsid w:val="009E3211"/>
    <w:rsid w:val="00A0580A"/>
    <w:rsid w:val="00A3564F"/>
    <w:rsid w:val="00A41AA2"/>
    <w:rsid w:val="00A437B8"/>
    <w:rsid w:val="00A658BB"/>
    <w:rsid w:val="00A80C9A"/>
    <w:rsid w:val="00A822DE"/>
    <w:rsid w:val="00A839FC"/>
    <w:rsid w:val="00A9163B"/>
    <w:rsid w:val="00AA66AC"/>
    <w:rsid w:val="00AB0CC5"/>
    <w:rsid w:val="00AB3DF3"/>
    <w:rsid w:val="00AC5564"/>
    <w:rsid w:val="00AE445E"/>
    <w:rsid w:val="00B3164B"/>
    <w:rsid w:val="00B46E91"/>
    <w:rsid w:val="00B4754A"/>
    <w:rsid w:val="00B6777A"/>
    <w:rsid w:val="00B765B8"/>
    <w:rsid w:val="00B807BE"/>
    <w:rsid w:val="00B81706"/>
    <w:rsid w:val="00BB18F9"/>
    <w:rsid w:val="00BB3BE1"/>
    <w:rsid w:val="00BC6EF6"/>
    <w:rsid w:val="00BD48B7"/>
    <w:rsid w:val="00BE25A7"/>
    <w:rsid w:val="00BE4F9E"/>
    <w:rsid w:val="00C022A2"/>
    <w:rsid w:val="00C047C0"/>
    <w:rsid w:val="00C12E88"/>
    <w:rsid w:val="00C405FA"/>
    <w:rsid w:val="00C4261D"/>
    <w:rsid w:val="00C54319"/>
    <w:rsid w:val="00C75F5D"/>
    <w:rsid w:val="00C8196B"/>
    <w:rsid w:val="00CA16BC"/>
    <w:rsid w:val="00CC13BF"/>
    <w:rsid w:val="00CD37D3"/>
    <w:rsid w:val="00CE4E7E"/>
    <w:rsid w:val="00D02778"/>
    <w:rsid w:val="00D14DEE"/>
    <w:rsid w:val="00D36400"/>
    <w:rsid w:val="00D41D4B"/>
    <w:rsid w:val="00D52478"/>
    <w:rsid w:val="00D72971"/>
    <w:rsid w:val="00D93358"/>
    <w:rsid w:val="00D96311"/>
    <w:rsid w:val="00DD460C"/>
    <w:rsid w:val="00E118C3"/>
    <w:rsid w:val="00E16BA8"/>
    <w:rsid w:val="00E60AE2"/>
    <w:rsid w:val="00E70E0C"/>
    <w:rsid w:val="00E736C7"/>
    <w:rsid w:val="00E83866"/>
    <w:rsid w:val="00ED617E"/>
    <w:rsid w:val="00ED66B1"/>
    <w:rsid w:val="00F05B6C"/>
    <w:rsid w:val="00F935AB"/>
    <w:rsid w:val="00FA49FF"/>
    <w:rsid w:val="00FD10D2"/>
    <w:rsid w:val="00FE1085"/>
    <w:rsid w:val="00FE37F2"/>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country-region"/>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558D"/>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451F3C"/>
    <w:pPr>
      <w:ind w:left="720"/>
      <w:contextualSpacing/>
    </w:pPr>
  </w:style>
  <w:style w:type="table" w:styleId="TableGrid">
    <w:name w:val="Table Grid"/>
    <w:basedOn w:val="TableNormal"/>
    <w:uiPriority w:val="99"/>
    <w:rsid w:val="00D9631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
    <w:name w:val="Light Shading1"/>
    <w:uiPriority w:val="99"/>
    <w:rsid w:val="00BB18F9"/>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Header">
    <w:name w:val="header"/>
    <w:basedOn w:val="Normal"/>
    <w:link w:val="HeaderChar"/>
    <w:uiPriority w:val="99"/>
    <w:rsid w:val="00CA16BC"/>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CA16BC"/>
    <w:rPr>
      <w:rFonts w:cs="Times New Roman"/>
      <w:lang w:val="en-GB"/>
    </w:rPr>
  </w:style>
  <w:style w:type="paragraph" w:styleId="Footer">
    <w:name w:val="footer"/>
    <w:basedOn w:val="Normal"/>
    <w:link w:val="FooterChar"/>
    <w:uiPriority w:val="99"/>
    <w:semiHidden/>
    <w:rsid w:val="00CA16BC"/>
    <w:pPr>
      <w:tabs>
        <w:tab w:val="center" w:pos="4513"/>
        <w:tab w:val="right" w:pos="9026"/>
      </w:tabs>
      <w:spacing w:after="0" w:line="240" w:lineRule="auto"/>
    </w:pPr>
  </w:style>
  <w:style w:type="character" w:customStyle="1" w:styleId="FooterChar">
    <w:name w:val="Footer Char"/>
    <w:basedOn w:val="DefaultParagraphFont"/>
    <w:link w:val="Footer"/>
    <w:uiPriority w:val="99"/>
    <w:semiHidden/>
    <w:locked/>
    <w:rsid w:val="00CA16BC"/>
    <w:rPr>
      <w:rFonts w:cs="Times New Roman"/>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3116</TotalTime>
  <Pages>11</Pages>
  <Words>4448</Words>
  <Characters>25357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Parish</dc:creator>
  <cp:keywords/>
  <dc:description/>
  <cp:lastModifiedBy>Parish</cp:lastModifiedBy>
  <cp:revision>32</cp:revision>
  <dcterms:created xsi:type="dcterms:W3CDTF">2011-09-06T07:23:00Z</dcterms:created>
  <dcterms:modified xsi:type="dcterms:W3CDTF">2011-11-17T23:00:00Z</dcterms:modified>
</cp:coreProperties>
</file>