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32DB" w:rsidRDefault="00D53132" w:rsidP="0037535E">
      <w:pPr>
        <w:jc w:val="center"/>
        <w:rPr>
          <w:b/>
          <w:sz w:val="24"/>
          <w:szCs w:val="24"/>
        </w:rPr>
      </w:pPr>
      <w:r w:rsidRPr="00D53132">
        <w:rPr>
          <w:b/>
          <w:sz w:val="24"/>
          <w:szCs w:val="24"/>
        </w:rPr>
        <w:t xml:space="preserve">Teaching Schedule for Teach First </w:t>
      </w:r>
      <w:r w:rsidR="00A06B14">
        <w:rPr>
          <w:b/>
          <w:sz w:val="24"/>
          <w:szCs w:val="24"/>
        </w:rPr>
        <w:t>Improving Urban Schools</w:t>
      </w:r>
      <w:r w:rsidR="00C22234">
        <w:rPr>
          <w:b/>
          <w:sz w:val="24"/>
          <w:szCs w:val="24"/>
        </w:rPr>
        <w:t xml:space="preserve"> Module</w:t>
      </w:r>
      <w:r w:rsidR="005D7EFC">
        <w:rPr>
          <w:b/>
          <w:sz w:val="24"/>
          <w:szCs w:val="24"/>
        </w:rPr>
        <w:t xml:space="preserve"> (</w:t>
      </w:r>
      <w:r w:rsidR="00B10F8B">
        <w:rPr>
          <w:b/>
          <w:sz w:val="24"/>
          <w:szCs w:val="24"/>
        </w:rPr>
        <w:t>North East</w:t>
      </w:r>
      <w:r w:rsidR="005D7EFC">
        <w:rPr>
          <w:b/>
          <w:sz w:val="24"/>
          <w:szCs w:val="24"/>
        </w:rPr>
        <w:t>)</w:t>
      </w:r>
    </w:p>
    <w:p w:rsidR="0037535E" w:rsidRDefault="0037535E" w:rsidP="0037535E">
      <w:pPr>
        <w:jc w:val="center"/>
        <w:rPr>
          <w:b/>
          <w:sz w:val="24"/>
          <w:szCs w:val="24"/>
        </w:rPr>
      </w:pPr>
    </w:p>
    <w:p w:rsidR="007615B3" w:rsidRPr="001214F5" w:rsidRDefault="0037535E" w:rsidP="0037535E">
      <w:pPr>
        <w:jc w:val="center"/>
        <w:rPr>
          <w:rFonts w:ascii="Algerian" w:hAnsi="Algerian"/>
          <w:b/>
          <w:i/>
          <w:sz w:val="36"/>
          <w:szCs w:val="36"/>
        </w:rPr>
      </w:pPr>
      <w:r w:rsidRPr="001214F5">
        <w:rPr>
          <w:rFonts w:ascii="Algerian" w:hAnsi="Algerian"/>
          <w:b/>
          <w:i/>
          <w:sz w:val="36"/>
          <w:szCs w:val="36"/>
        </w:rPr>
        <w:t>Instructional and distributed leadership</w:t>
      </w:r>
    </w:p>
    <w:p w:rsidR="00271343" w:rsidRPr="001214F5" w:rsidRDefault="007615B3" w:rsidP="0037535E">
      <w:pPr>
        <w:jc w:val="center"/>
        <w:rPr>
          <w:b/>
          <w:sz w:val="36"/>
          <w:szCs w:val="36"/>
        </w:rPr>
      </w:pPr>
      <w:r w:rsidRPr="001214F5">
        <w:rPr>
          <w:rFonts w:ascii="Algerian" w:hAnsi="Algerian"/>
          <w:b/>
          <w:i/>
          <w:sz w:val="36"/>
          <w:szCs w:val="36"/>
        </w:rPr>
        <w:t>Schools as learning organisations</w:t>
      </w:r>
      <w:r w:rsidR="0037535E" w:rsidRPr="001214F5">
        <w:rPr>
          <w:rFonts w:ascii="Algerian" w:hAnsi="Algerian"/>
          <w:b/>
          <w:i/>
          <w:sz w:val="36"/>
          <w:szCs w:val="36"/>
        </w:rPr>
        <w:t xml:space="preserve"> </w:t>
      </w:r>
    </w:p>
    <w:p w:rsidR="0037535E" w:rsidRDefault="0037535E" w:rsidP="0037535E">
      <w:pPr>
        <w:jc w:val="center"/>
        <w:rPr>
          <w:b/>
          <w:sz w:val="24"/>
          <w:szCs w:val="24"/>
        </w:rPr>
      </w:pPr>
    </w:p>
    <w:p w:rsidR="007175B4" w:rsidRPr="00C22234" w:rsidRDefault="00D53132" w:rsidP="0037535E">
      <w:pPr>
        <w:jc w:val="center"/>
        <w:rPr>
          <w:rFonts w:asciiTheme="minorHAnsi" w:hAnsiTheme="minorHAnsi"/>
          <w:b/>
          <w:sz w:val="24"/>
          <w:szCs w:val="24"/>
        </w:rPr>
      </w:pPr>
      <w:r w:rsidRPr="0037535E">
        <w:rPr>
          <w:b/>
          <w:sz w:val="24"/>
          <w:szCs w:val="24"/>
        </w:rPr>
        <w:t xml:space="preserve">Saturday </w:t>
      </w:r>
      <w:r w:rsidR="002B71E3">
        <w:rPr>
          <w:b/>
          <w:sz w:val="24"/>
          <w:szCs w:val="24"/>
        </w:rPr>
        <w:t xml:space="preserve">1 December </w:t>
      </w:r>
      <w:r w:rsidRPr="0037535E">
        <w:rPr>
          <w:b/>
          <w:sz w:val="24"/>
          <w:szCs w:val="24"/>
        </w:rPr>
        <w:t>201</w:t>
      </w:r>
      <w:r w:rsidR="005D7EFC">
        <w:rPr>
          <w:b/>
          <w:sz w:val="24"/>
          <w:szCs w:val="24"/>
        </w:rPr>
        <w:t>2</w:t>
      </w:r>
    </w:p>
    <w:p w:rsidR="0037535E" w:rsidRDefault="0037535E" w:rsidP="0037535E">
      <w:pPr>
        <w:rPr>
          <w:rFonts w:asciiTheme="minorHAnsi" w:hAnsiTheme="minorHAnsi"/>
          <w:b/>
          <w:sz w:val="24"/>
          <w:szCs w:val="24"/>
          <w:u w:val="single"/>
        </w:rPr>
      </w:pPr>
    </w:p>
    <w:tbl>
      <w:tblPr>
        <w:tblpPr w:leftFromText="181" w:rightFromText="181" w:vertAnchor="page" w:horzAnchor="margin" w:tblpY="3271"/>
        <w:tblOverlap w:val="never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776"/>
        <w:gridCol w:w="8699"/>
        <w:gridCol w:w="29"/>
      </w:tblGrid>
      <w:tr w:rsidR="0014054D" w:rsidRPr="00C22234" w:rsidTr="0014054D">
        <w:trPr>
          <w:cantSplit/>
          <w:trHeight w:val="448"/>
        </w:trPr>
        <w:tc>
          <w:tcPr>
            <w:tcW w:w="1630" w:type="dxa"/>
            <w:tcBorders>
              <w:bottom w:val="single" w:sz="4" w:space="0" w:color="auto"/>
            </w:tcBorders>
          </w:tcPr>
          <w:p w:rsidR="0014054D" w:rsidRPr="00C22234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9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:30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10:0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 xml:space="preserve">0 </w:t>
            </w:r>
          </w:p>
          <w:p w:rsidR="0014054D" w:rsidRPr="00C22234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</w:p>
        </w:tc>
        <w:tc>
          <w:tcPr>
            <w:tcW w:w="8728" w:type="dxa"/>
            <w:gridSpan w:val="2"/>
            <w:tcBorders>
              <w:bottom w:val="single" w:sz="4" w:space="0" w:color="auto"/>
            </w:tcBorders>
          </w:tcPr>
          <w:p w:rsidR="0014054D" w:rsidRPr="00C22234" w:rsidRDefault="0014054D" w:rsidP="0014054D">
            <w:pPr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sz w:val="24"/>
                <w:szCs w:val="24"/>
              </w:rPr>
              <w:t>Arrival, registration and coffee</w:t>
            </w:r>
          </w:p>
        </w:tc>
      </w:tr>
      <w:tr w:rsidR="0014054D" w:rsidRPr="00C22234" w:rsidTr="0014054D">
        <w:trPr>
          <w:cantSplit/>
          <w:trHeight w:val="769"/>
        </w:trPr>
        <w:tc>
          <w:tcPr>
            <w:tcW w:w="1630" w:type="dxa"/>
            <w:tcBorders>
              <w:top w:val="single" w:sz="4" w:space="0" w:color="auto"/>
              <w:bottom w:val="single" w:sz="4" w:space="0" w:color="auto"/>
            </w:tcBorders>
          </w:tcPr>
          <w:p w:rsidR="0014054D" w:rsidRPr="00C22234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  <w:r>
              <w:rPr>
                <w:rFonts w:asciiTheme="minorHAnsi" w:hAnsiTheme="minorHAnsi" w:cs="Arial"/>
                <w:b/>
                <w:sz w:val="24"/>
                <w:szCs w:val="24"/>
              </w:rPr>
              <w:t>10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0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 xml:space="preserve">0 – 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10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1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5</w:t>
            </w:r>
          </w:p>
        </w:tc>
        <w:tc>
          <w:tcPr>
            <w:tcW w:w="872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4054D" w:rsidRDefault="0014054D" w:rsidP="0014054D">
            <w:pPr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sz w:val="24"/>
                <w:szCs w:val="24"/>
              </w:rPr>
              <w:t>Welcome and Introductions</w:t>
            </w:r>
            <w:r w:rsidR="001214F5">
              <w:rPr>
                <w:rFonts w:asciiTheme="minorHAnsi" w:hAnsiTheme="minorHAnsi" w:cs="Arial"/>
                <w:sz w:val="24"/>
                <w:szCs w:val="24"/>
              </w:rPr>
              <w:t xml:space="preserve"> / </w:t>
            </w:r>
            <w:r w:rsidRPr="00C22234">
              <w:rPr>
                <w:rFonts w:asciiTheme="minorHAnsi" w:hAnsiTheme="minorHAnsi" w:cs="Arial"/>
                <w:sz w:val="24"/>
                <w:szCs w:val="24"/>
              </w:rPr>
              <w:t>Programme for the Day</w:t>
            </w:r>
          </w:p>
          <w:p w:rsidR="0014054D" w:rsidRPr="00C22234" w:rsidRDefault="0014054D" w:rsidP="0014054D">
            <w:pPr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sz w:val="24"/>
                <w:szCs w:val="24"/>
              </w:rPr>
              <w:t xml:space="preserve"> </w:t>
            </w:r>
          </w:p>
        </w:tc>
      </w:tr>
      <w:tr w:rsidR="0014054D" w:rsidRPr="00C22234" w:rsidTr="0014054D">
        <w:trPr>
          <w:cantSplit/>
          <w:trHeight w:val="574"/>
        </w:trPr>
        <w:tc>
          <w:tcPr>
            <w:tcW w:w="1630" w:type="dxa"/>
            <w:tcBorders>
              <w:top w:val="single" w:sz="4" w:space="0" w:color="auto"/>
            </w:tcBorders>
          </w:tcPr>
          <w:p w:rsidR="00400444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  <w:r>
              <w:rPr>
                <w:rFonts w:asciiTheme="minorHAnsi" w:hAnsiTheme="minorHAnsi" w:cs="Arial"/>
                <w:b/>
                <w:sz w:val="24"/>
                <w:szCs w:val="24"/>
              </w:rPr>
              <w:lastRenderedPageBreak/>
              <w:t>10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15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 xml:space="preserve"> – 1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1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1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5</w:t>
            </w:r>
          </w:p>
          <w:p w:rsidR="0014054D" w:rsidRPr="00C22234" w:rsidRDefault="00400444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  <w:r>
              <w:rPr>
                <w:rFonts w:asciiTheme="minorHAnsi" w:hAnsiTheme="minorHAnsi" w:cs="Arial"/>
                <w:b/>
                <w:sz w:val="24"/>
                <w:szCs w:val="24"/>
              </w:rPr>
              <w:drawing>
                <wp:inline distT="0" distB="0" distL="0" distR="0">
                  <wp:extent cx="962025" cy="1369037"/>
                  <wp:effectExtent l="19050" t="0" r="9525" b="0"/>
                  <wp:docPr id="1" name="Picture 0" descr="Pendulum Swing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endulum Swings.jp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1905" cy="13688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14054D" w:rsidRPr="00C22234">
              <w:rPr>
                <w:rFonts w:asciiTheme="minorHAnsi" w:hAnsiTheme="minorHAnsi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8728" w:type="dxa"/>
            <w:gridSpan w:val="2"/>
            <w:tcBorders>
              <w:top w:val="single" w:sz="4" w:space="0" w:color="auto"/>
            </w:tcBorders>
          </w:tcPr>
          <w:p w:rsidR="0014054D" w:rsidRDefault="0014054D" w:rsidP="0014054D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14054D">
              <w:rPr>
                <w:rFonts w:asciiTheme="minorHAnsi" w:hAnsiTheme="minorHAnsi" w:cstheme="minorHAnsi"/>
                <w:sz w:val="24"/>
                <w:szCs w:val="24"/>
              </w:rPr>
              <w:t xml:space="preserve">Session 1: Guest Lecture by </w:t>
            </w:r>
            <w:hyperlink r:id="rId6" w:history="1">
              <w:r w:rsidRPr="0014054D">
                <w:rPr>
                  <w:rStyle w:val="Hyperlink"/>
                  <w:rFonts w:asciiTheme="minorHAnsi" w:hAnsiTheme="minorHAnsi" w:cstheme="minorHAnsi"/>
                  <w:sz w:val="24"/>
                  <w:szCs w:val="24"/>
                </w:rPr>
                <w:t>Professor Bernard Barker</w:t>
              </w:r>
            </w:hyperlink>
          </w:p>
          <w:p w:rsidR="00400444" w:rsidRDefault="00400444" w:rsidP="0014054D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400444" w:rsidRDefault="0014054D" w:rsidP="0014054D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14054D">
              <w:rPr>
                <w:rFonts w:asciiTheme="minorHAnsi" w:hAnsiTheme="minorHAnsi" w:cstheme="minorHAnsi"/>
                <w:sz w:val="24"/>
                <w:szCs w:val="24"/>
              </w:rPr>
              <w:t>Emeritus Professor of Educational Leadership at the University of Leicester</w:t>
            </w:r>
            <w:r w:rsidR="00400444">
              <w:rPr>
                <w:rFonts w:asciiTheme="minorHAnsi" w:hAnsiTheme="minorHAnsi" w:cstheme="minorHAnsi"/>
                <w:sz w:val="24"/>
                <w:szCs w:val="24"/>
              </w:rPr>
              <w:t xml:space="preserve">; </w:t>
            </w:r>
          </w:p>
          <w:p w:rsidR="00400444" w:rsidRDefault="00400444" w:rsidP="0014054D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="0014054D" w:rsidRPr="0014054D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4054D">
              <w:rPr>
                <w:rFonts w:asciiTheme="minorHAnsi" w:hAnsiTheme="minorHAnsi" w:cstheme="minorHAnsi"/>
                <w:sz w:val="24"/>
                <w:szCs w:val="24"/>
              </w:rPr>
              <w:t xml:space="preserve">former secondary </w:t>
            </w:r>
            <w:r w:rsidR="0014054D" w:rsidRPr="0014054D">
              <w:rPr>
                <w:rFonts w:asciiTheme="minorHAnsi" w:hAnsiTheme="minorHAnsi" w:cstheme="minorHAnsi"/>
                <w:sz w:val="24"/>
                <w:szCs w:val="24"/>
              </w:rPr>
              <w:t xml:space="preserve">head </w:t>
            </w:r>
            <w:r w:rsidR="0014054D">
              <w:rPr>
                <w:rFonts w:asciiTheme="minorHAnsi" w:hAnsiTheme="minorHAnsi" w:cstheme="minorHAnsi"/>
                <w:sz w:val="24"/>
                <w:szCs w:val="24"/>
              </w:rPr>
              <w:t>(with 19 years of headship experience)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; </w:t>
            </w:r>
          </w:p>
          <w:p w:rsidR="00400444" w:rsidRDefault="00A44153" w:rsidP="0014054D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Author of </w:t>
            </w:r>
            <w:hyperlink r:id="rId7" w:history="1">
              <w:r w:rsidRPr="00400444">
                <w:rPr>
                  <w:rStyle w:val="Hyperlink"/>
                  <w:rFonts w:asciiTheme="minorHAnsi" w:hAnsiTheme="minorHAnsi" w:cstheme="minorHAnsi"/>
                  <w:sz w:val="24"/>
                  <w:szCs w:val="24"/>
                </w:rPr>
                <w:t>The Pendulum Swing</w:t>
              </w:r>
              <w:r w:rsidR="00400444">
                <w:rPr>
                  <w:rStyle w:val="Hyperlink"/>
                  <w:rFonts w:asciiTheme="minorHAnsi" w:hAnsiTheme="minorHAnsi" w:cstheme="minorHAnsi"/>
                  <w:sz w:val="24"/>
                  <w:szCs w:val="24"/>
                </w:rPr>
                <w:t>s: transforming school reform</w:t>
              </w:r>
            </w:hyperlink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  <w:p w:rsidR="00400444" w:rsidRDefault="00400444" w:rsidP="0014054D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14054D" w:rsidRPr="0014054D" w:rsidRDefault="0014054D" w:rsidP="0014054D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14054D">
              <w:rPr>
                <w:rFonts w:asciiTheme="minorHAnsi" w:hAnsiTheme="minorHAnsi" w:cstheme="minorHAnsi"/>
                <w:sz w:val="24"/>
                <w:szCs w:val="24"/>
              </w:rPr>
              <w:t>Click on the link</w:t>
            </w:r>
            <w:r w:rsidR="00400444">
              <w:rPr>
                <w:rFonts w:asciiTheme="minorHAnsi" w:hAnsiTheme="minorHAnsi" w:cstheme="minorHAnsi"/>
                <w:sz w:val="24"/>
                <w:szCs w:val="24"/>
              </w:rPr>
              <w:t>s</w:t>
            </w:r>
            <w:r w:rsidRPr="0014054D">
              <w:rPr>
                <w:rFonts w:asciiTheme="minorHAnsi" w:hAnsiTheme="minorHAnsi" w:cstheme="minorHAnsi"/>
                <w:sz w:val="24"/>
                <w:szCs w:val="24"/>
              </w:rPr>
              <w:t xml:space="preserve"> for further details</w:t>
            </w:r>
          </w:p>
          <w:p w:rsidR="0014054D" w:rsidRPr="0014054D" w:rsidRDefault="0014054D" w:rsidP="0014054D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054D" w:rsidRPr="00C22234" w:rsidTr="0014054D">
        <w:trPr>
          <w:cantSplit/>
          <w:trHeight w:val="770"/>
        </w:trPr>
        <w:tc>
          <w:tcPr>
            <w:tcW w:w="1630" w:type="dxa"/>
          </w:tcPr>
          <w:p w:rsidR="0014054D" w:rsidRPr="00C22234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11: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15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 xml:space="preserve"> – 12: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45</w:t>
            </w:r>
          </w:p>
        </w:tc>
        <w:tc>
          <w:tcPr>
            <w:tcW w:w="8728" w:type="dxa"/>
            <w:gridSpan w:val="2"/>
          </w:tcPr>
          <w:p w:rsidR="0014054D" w:rsidRPr="0014054D" w:rsidRDefault="0014054D" w:rsidP="0014054D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14054D">
              <w:rPr>
                <w:rFonts w:asciiTheme="minorHAnsi" w:hAnsiTheme="minorHAnsi" w:cstheme="minorHAnsi"/>
                <w:sz w:val="24"/>
                <w:szCs w:val="24"/>
              </w:rPr>
              <w:t xml:space="preserve">Session 2:  Seven Strong Claims about Successful School Leadership </w:t>
            </w:r>
          </w:p>
          <w:p w:rsidR="0014054D" w:rsidRPr="0014054D" w:rsidRDefault="0014054D" w:rsidP="0014054D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14054D">
              <w:rPr>
                <w:rFonts w:asciiTheme="minorHAnsi" w:hAnsiTheme="minorHAnsi" w:cstheme="minorHAnsi"/>
                <w:sz w:val="24"/>
                <w:szCs w:val="24"/>
              </w:rPr>
              <w:t>Discussion of guest lecture and the first three pre-readings  (Breakout groups)</w:t>
            </w:r>
          </w:p>
          <w:p w:rsidR="0014054D" w:rsidRPr="0014054D" w:rsidRDefault="0014054D" w:rsidP="0014054D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14054D" w:rsidRPr="00C22234" w:rsidTr="0014054D">
        <w:trPr>
          <w:cantSplit/>
          <w:trHeight w:val="646"/>
        </w:trPr>
        <w:tc>
          <w:tcPr>
            <w:tcW w:w="1630" w:type="dxa"/>
          </w:tcPr>
          <w:p w:rsidR="0014054D" w:rsidRPr="00C22234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12: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45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 xml:space="preserve"> - 13: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30</w:t>
            </w:r>
          </w:p>
        </w:tc>
        <w:tc>
          <w:tcPr>
            <w:tcW w:w="8728" w:type="dxa"/>
            <w:gridSpan w:val="2"/>
          </w:tcPr>
          <w:p w:rsidR="0014054D" w:rsidRDefault="0014054D" w:rsidP="0014054D">
            <w:pPr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sz w:val="24"/>
                <w:szCs w:val="24"/>
              </w:rPr>
              <w:t xml:space="preserve">LUNCH (provided) </w:t>
            </w:r>
          </w:p>
          <w:p w:rsidR="0014054D" w:rsidRPr="00C22234" w:rsidRDefault="0014054D" w:rsidP="0014054D">
            <w:pPr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14054D" w:rsidRPr="00C22234" w:rsidTr="0014054D">
        <w:trPr>
          <w:gridAfter w:val="1"/>
          <w:wAfter w:w="29" w:type="dxa"/>
          <w:cantSplit/>
          <w:trHeight w:val="774"/>
        </w:trPr>
        <w:tc>
          <w:tcPr>
            <w:tcW w:w="1630" w:type="dxa"/>
            <w:shd w:val="clear" w:color="auto" w:fill="auto"/>
          </w:tcPr>
          <w:p w:rsidR="0014054D" w:rsidRPr="00C22234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  <w:highlight w:val="lightGray"/>
              </w:rPr>
            </w:pP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13: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30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 xml:space="preserve"> – 14: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30</w:t>
            </w:r>
          </w:p>
        </w:tc>
        <w:tc>
          <w:tcPr>
            <w:tcW w:w="8699" w:type="dxa"/>
            <w:shd w:val="clear" w:color="auto" w:fill="auto"/>
          </w:tcPr>
          <w:p w:rsidR="0014054D" w:rsidRDefault="0014054D" w:rsidP="0014054D">
            <w:pPr>
              <w:keepLines/>
              <w:widowControl w:val="0"/>
              <w:rPr>
                <w:rFonts w:asciiTheme="minorHAnsi" w:hAnsiTheme="minorHAnsi" w:cs="Arial"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sz w:val="24"/>
                <w:szCs w:val="24"/>
              </w:rPr>
              <w:t xml:space="preserve">Session 3:   </w:t>
            </w:r>
            <w:r>
              <w:rPr>
                <w:rFonts w:asciiTheme="minorHAnsi" w:hAnsiTheme="minorHAnsi" w:cs="Arial"/>
                <w:sz w:val="24"/>
                <w:szCs w:val="24"/>
              </w:rPr>
              <w:t>Distributed Leadership</w:t>
            </w:r>
          </w:p>
          <w:p w:rsidR="0014054D" w:rsidRDefault="0014054D" w:rsidP="0014054D">
            <w:pPr>
              <w:keepLines/>
              <w:widowControl w:val="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Discussion of the last two pre-readings </w:t>
            </w:r>
            <w:r w:rsidRPr="00C22234">
              <w:rPr>
                <w:rFonts w:asciiTheme="minorHAnsi" w:hAnsiTheme="minorHAnsi" w:cs="Arial"/>
                <w:sz w:val="24"/>
                <w:szCs w:val="24"/>
              </w:rPr>
              <w:t>(Breakout groups)</w:t>
            </w:r>
          </w:p>
          <w:p w:rsidR="0014054D" w:rsidRPr="00C22234" w:rsidRDefault="0014054D" w:rsidP="0014054D">
            <w:pPr>
              <w:keepLines/>
              <w:widowControl w:val="0"/>
              <w:jc w:val="both"/>
              <w:rPr>
                <w:rFonts w:asciiTheme="minorHAnsi" w:hAnsiTheme="minorHAnsi" w:cs="Arial"/>
                <w:sz w:val="24"/>
                <w:szCs w:val="24"/>
                <w:highlight w:val="lightGray"/>
              </w:rPr>
            </w:pPr>
          </w:p>
        </w:tc>
      </w:tr>
      <w:tr w:rsidR="0014054D" w:rsidRPr="00C22234" w:rsidTr="0014054D">
        <w:trPr>
          <w:gridAfter w:val="1"/>
          <w:wAfter w:w="29" w:type="dxa"/>
          <w:cantSplit/>
          <w:trHeight w:val="529"/>
        </w:trPr>
        <w:tc>
          <w:tcPr>
            <w:tcW w:w="1630" w:type="dxa"/>
          </w:tcPr>
          <w:p w:rsidR="0014054D" w:rsidRPr="00C22234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  <w:r>
              <w:rPr>
                <w:rFonts w:asciiTheme="minorHAnsi" w:hAnsiTheme="minorHAnsi" w:cs="Arial"/>
                <w:b/>
                <w:sz w:val="24"/>
                <w:szCs w:val="24"/>
              </w:rPr>
              <w:t>14:30 - 14:45</w:t>
            </w:r>
          </w:p>
        </w:tc>
        <w:tc>
          <w:tcPr>
            <w:tcW w:w="8699" w:type="dxa"/>
          </w:tcPr>
          <w:p w:rsidR="0014054D" w:rsidRPr="00C22234" w:rsidRDefault="0014054D" w:rsidP="0014054D">
            <w:pPr>
              <w:keepLines/>
              <w:widowControl w:val="0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Comfort break with tea and coffee</w:t>
            </w:r>
          </w:p>
        </w:tc>
      </w:tr>
      <w:tr w:rsidR="0014054D" w:rsidRPr="00C22234" w:rsidTr="0014054D">
        <w:trPr>
          <w:gridAfter w:val="1"/>
          <w:wAfter w:w="29" w:type="dxa"/>
          <w:cantSplit/>
          <w:trHeight w:val="776"/>
        </w:trPr>
        <w:tc>
          <w:tcPr>
            <w:tcW w:w="1630" w:type="dxa"/>
            <w:tcBorders>
              <w:bottom w:val="single" w:sz="4" w:space="0" w:color="auto"/>
            </w:tcBorders>
          </w:tcPr>
          <w:p w:rsidR="0014054D" w:rsidRPr="00C22234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14: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45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 xml:space="preserve"> - 15: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45</w:t>
            </w:r>
          </w:p>
        </w:tc>
        <w:tc>
          <w:tcPr>
            <w:tcW w:w="8699" w:type="dxa"/>
            <w:tcBorders>
              <w:bottom w:val="single" w:sz="4" w:space="0" w:color="auto"/>
            </w:tcBorders>
          </w:tcPr>
          <w:p w:rsidR="0014054D" w:rsidRPr="00C22234" w:rsidRDefault="0014054D" w:rsidP="0014054D">
            <w:pPr>
              <w:keepLines/>
              <w:widowControl w:val="0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sz w:val="24"/>
                <w:szCs w:val="24"/>
              </w:rPr>
              <w:t>Session 4:  Case Study Research and the Improving Urban Schools Assignment</w:t>
            </w:r>
          </w:p>
          <w:p w:rsidR="0014054D" w:rsidRPr="00C22234" w:rsidRDefault="0014054D" w:rsidP="0014054D">
            <w:pPr>
              <w:keepLines/>
              <w:widowControl w:val="0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sz w:val="24"/>
                <w:szCs w:val="24"/>
              </w:rPr>
              <w:t>(Breakout groups)</w:t>
            </w:r>
          </w:p>
        </w:tc>
      </w:tr>
      <w:tr w:rsidR="0014054D" w:rsidRPr="00C22234" w:rsidTr="0014054D">
        <w:trPr>
          <w:gridAfter w:val="1"/>
          <w:wAfter w:w="29" w:type="dxa"/>
          <w:cantSplit/>
          <w:trHeight w:val="443"/>
        </w:trPr>
        <w:tc>
          <w:tcPr>
            <w:tcW w:w="1630" w:type="dxa"/>
            <w:tcBorders>
              <w:top w:val="single" w:sz="4" w:space="0" w:color="auto"/>
            </w:tcBorders>
          </w:tcPr>
          <w:p w:rsidR="0014054D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>15:</w:t>
            </w:r>
            <w:r>
              <w:rPr>
                <w:rFonts w:asciiTheme="minorHAnsi" w:hAnsiTheme="minorHAnsi" w:cs="Arial"/>
                <w:b/>
                <w:sz w:val="24"/>
                <w:szCs w:val="24"/>
              </w:rPr>
              <w:t>45 – 16:00</w:t>
            </w:r>
            <w:r w:rsidRPr="00C22234">
              <w:rPr>
                <w:rFonts w:asciiTheme="minorHAnsi" w:hAnsiTheme="minorHAnsi" w:cs="Arial"/>
                <w:b/>
                <w:sz w:val="24"/>
                <w:szCs w:val="24"/>
              </w:rPr>
              <w:t xml:space="preserve"> </w:t>
            </w:r>
          </w:p>
          <w:p w:rsidR="0014054D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</w:p>
          <w:p w:rsidR="0014054D" w:rsidRPr="00C22234" w:rsidRDefault="0014054D" w:rsidP="0014054D">
            <w:pPr>
              <w:rPr>
                <w:rFonts w:asciiTheme="minorHAnsi" w:hAnsiTheme="minorHAnsi" w:cs="Arial"/>
                <w:b/>
                <w:sz w:val="24"/>
                <w:szCs w:val="24"/>
              </w:rPr>
            </w:pPr>
            <w:r>
              <w:rPr>
                <w:rFonts w:asciiTheme="minorHAnsi" w:hAnsiTheme="minorHAnsi" w:cs="Arial"/>
                <w:b/>
                <w:sz w:val="24"/>
                <w:szCs w:val="24"/>
              </w:rPr>
              <w:t>16:00</w:t>
            </w:r>
          </w:p>
        </w:tc>
        <w:tc>
          <w:tcPr>
            <w:tcW w:w="8699" w:type="dxa"/>
            <w:tcBorders>
              <w:top w:val="single" w:sz="4" w:space="0" w:color="auto"/>
            </w:tcBorders>
          </w:tcPr>
          <w:p w:rsidR="0014054D" w:rsidRDefault="0014054D" w:rsidP="0014054D">
            <w:pPr>
              <w:keepLines/>
              <w:widowControl w:val="0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Plenary Feedback</w:t>
            </w:r>
          </w:p>
          <w:p w:rsidR="0014054D" w:rsidRDefault="0014054D" w:rsidP="0014054D">
            <w:pPr>
              <w:keepLines/>
              <w:widowControl w:val="0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  <w:p w:rsidR="0014054D" w:rsidRDefault="0014054D" w:rsidP="0014054D">
            <w:pPr>
              <w:keepLines/>
              <w:widowControl w:val="0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C22234">
              <w:rPr>
                <w:rFonts w:asciiTheme="minorHAnsi" w:hAnsiTheme="minorHAnsi" w:cs="Arial"/>
                <w:sz w:val="24"/>
                <w:szCs w:val="24"/>
              </w:rPr>
              <w:t>DEPARTURE</w:t>
            </w:r>
          </w:p>
          <w:p w:rsidR="0014054D" w:rsidRPr="00C22234" w:rsidRDefault="0014054D" w:rsidP="0014054D">
            <w:pPr>
              <w:keepLines/>
              <w:widowControl w:val="0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5D7EFC" w:rsidRDefault="005D7EFC" w:rsidP="0037535E">
      <w:pPr>
        <w:rPr>
          <w:rFonts w:asciiTheme="minorHAnsi" w:hAnsiTheme="minorHAnsi"/>
          <w:b/>
          <w:sz w:val="24"/>
          <w:szCs w:val="24"/>
          <w:u w:val="single"/>
        </w:rPr>
      </w:pPr>
    </w:p>
    <w:p w:rsidR="007175B4" w:rsidRPr="005310B0" w:rsidRDefault="00400444" w:rsidP="0037535E">
      <w:pPr>
        <w:rPr>
          <w:rFonts w:asciiTheme="minorHAnsi" w:hAnsiTheme="minorHAnsi"/>
          <w:b/>
          <w:sz w:val="24"/>
          <w:szCs w:val="24"/>
          <w:u w:val="single"/>
        </w:rPr>
      </w:pPr>
      <w:r>
        <w:rPr>
          <w:rFonts w:asciiTheme="minorHAnsi" w:hAnsiTheme="minorHAnsi"/>
          <w:b/>
          <w:sz w:val="24"/>
          <w:szCs w:val="24"/>
          <w:u w:val="single"/>
        </w:rPr>
        <w:t xml:space="preserve">Essential </w:t>
      </w:r>
      <w:r w:rsidR="007175B4" w:rsidRPr="005310B0">
        <w:rPr>
          <w:rFonts w:asciiTheme="minorHAnsi" w:hAnsiTheme="minorHAnsi"/>
          <w:b/>
          <w:sz w:val="24"/>
          <w:szCs w:val="24"/>
          <w:u w:val="single"/>
        </w:rPr>
        <w:t>Pre-readings</w:t>
      </w:r>
    </w:p>
    <w:p w:rsidR="00400444" w:rsidRDefault="00400444" w:rsidP="00400444">
      <w:pPr>
        <w:rPr>
          <w:rFonts w:asciiTheme="minorHAnsi" w:hAnsiTheme="minorHAnsi"/>
          <w:color w:val="1F497D"/>
          <w:sz w:val="24"/>
          <w:szCs w:val="24"/>
        </w:rPr>
      </w:pPr>
    </w:p>
    <w:p w:rsidR="00400444" w:rsidRPr="00A262AE" w:rsidRDefault="00400444" w:rsidP="00400444">
      <w:pPr>
        <w:rPr>
          <w:rFonts w:asciiTheme="minorHAnsi" w:eastAsiaTheme="minorHAnsi" w:hAnsiTheme="minorHAnsi" w:cstheme="minorHAnsi"/>
          <w:noProof w:val="0"/>
          <w:color w:val="0000FF"/>
          <w:sz w:val="24"/>
          <w:szCs w:val="24"/>
          <w:lang w:eastAsia="en-US"/>
        </w:rPr>
      </w:pPr>
      <w:proofErr w:type="spellStart"/>
      <w:r w:rsidRPr="00400444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>Mansell</w:t>
      </w:r>
      <w:proofErr w:type="spellEnd"/>
      <w:r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>, W.</w:t>
      </w:r>
      <w:r w:rsidRPr="00400444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 xml:space="preserve"> (2011): </w:t>
      </w:r>
      <w:r w:rsidRPr="00A262AE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 xml:space="preserve">Improving exam results, but to what end? The limitations of New Labour's control mechanism for schools: assessment-based accountability, </w:t>
      </w:r>
      <w:r w:rsidRPr="00A262AE">
        <w:rPr>
          <w:rFonts w:asciiTheme="minorHAnsi" w:eastAsiaTheme="minorHAnsi" w:hAnsiTheme="minorHAnsi" w:cstheme="minorHAnsi"/>
          <w:i/>
          <w:noProof w:val="0"/>
          <w:color w:val="000000"/>
          <w:sz w:val="24"/>
          <w:szCs w:val="24"/>
          <w:lang w:eastAsia="en-US"/>
        </w:rPr>
        <w:t>Journal of Educational Administration and History</w:t>
      </w:r>
      <w:r w:rsidRPr="00A262AE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 xml:space="preserve">, 43:4, 291-308 </w:t>
      </w:r>
      <w:r w:rsidRPr="00A262AE">
        <w:rPr>
          <w:rFonts w:asciiTheme="minorHAnsi" w:eastAsiaTheme="minorHAnsi" w:hAnsiTheme="minorHAnsi" w:cstheme="minorHAnsi"/>
          <w:noProof w:val="0"/>
          <w:color w:val="0000FF"/>
          <w:sz w:val="24"/>
          <w:szCs w:val="24"/>
          <w:lang w:eastAsia="en-US"/>
        </w:rPr>
        <w:t>http://dx.doi.org/10.1080/00220620.2011.606896</w:t>
      </w:r>
    </w:p>
    <w:p w:rsidR="00400444" w:rsidRPr="00A262AE" w:rsidRDefault="00400444" w:rsidP="0037535E">
      <w:pPr>
        <w:rPr>
          <w:rFonts w:asciiTheme="minorHAnsi" w:hAnsiTheme="minorHAnsi" w:cstheme="minorHAnsi"/>
          <w:sz w:val="24"/>
          <w:szCs w:val="24"/>
        </w:rPr>
      </w:pPr>
    </w:p>
    <w:p w:rsidR="00400444" w:rsidRPr="00A262AE" w:rsidRDefault="00400444" w:rsidP="00A262AE">
      <w:pPr>
        <w:overflowPunct/>
        <w:textAlignment w:val="auto"/>
        <w:rPr>
          <w:rFonts w:asciiTheme="minorHAnsi" w:hAnsiTheme="minorHAnsi" w:cstheme="minorHAnsi"/>
          <w:sz w:val="24"/>
          <w:szCs w:val="24"/>
        </w:rPr>
      </w:pPr>
      <w:r w:rsidRPr="00A262AE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>Hoskins</w:t>
      </w:r>
      <w:r w:rsidR="00A262AE" w:rsidRPr="00A262AE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>, K.</w:t>
      </w:r>
      <w:r w:rsidRPr="00A262AE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 xml:space="preserve"> (2012): Raising standards 1988 to the present: a new performance</w:t>
      </w:r>
      <w:r w:rsidR="00A262AE" w:rsidRPr="00A262AE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 xml:space="preserve"> </w:t>
      </w:r>
      <w:r w:rsidRPr="00A262AE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>policy era</w:t>
      </w:r>
      <w:proofErr w:type="gramStart"/>
      <w:r w:rsidRPr="00A262AE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>?,</w:t>
      </w:r>
      <w:proofErr w:type="gramEnd"/>
      <w:r w:rsidRPr="00A262AE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 xml:space="preserve"> </w:t>
      </w:r>
      <w:r w:rsidRPr="00A262AE">
        <w:rPr>
          <w:rFonts w:asciiTheme="minorHAnsi" w:eastAsiaTheme="minorHAnsi" w:hAnsiTheme="minorHAnsi" w:cstheme="minorHAnsi"/>
          <w:i/>
          <w:noProof w:val="0"/>
          <w:color w:val="000000"/>
          <w:sz w:val="24"/>
          <w:szCs w:val="24"/>
          <w:lang w:eastAsia="en-US"/>
        </w:rPr>
        <w:t>Journal of Educational Administration and History</w:t>
      </w:r>
      <w:r w:rsidRPr="00A262AE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>, 44:1, 5-19</w:t>
      </w:r>
      <w:r w:rsidR="00A262AE" w:rsidRPr="00A262AE">
        <w:rPr>
          <w:rFonts w:asciiTheme="minorHAnsi" w:eastAsiaTheme="minorHAnsi" w:hAnsiTheme="minorHAnsi" w:cstheme="minorHAnsi"/>
          <w:noProof w:val="0"/>
          <w:color w:val="000000"/>
          <w:sz w:val="24"/>
          <w:szCs w:val="24"/>
          <w:lang w:eastAsia="en-US"/>
        </w:rPr>
        <w:t xml:space="preserve"> </w:t>
      </w:r>
      <w:r w:rsidRPr="00A262AE">
        <w:rPr>
          <w:rFonts w:asciiTheme="minorHAnsi" w:eastAsiaTheme="minorHAnsi" w:hAnsiTheme="minorHAnsi" w:cstheme="minorHAnsi"/>
          <w:noProof w:val="0"/>
          <w:color w:val="0000FF"/>
          <w:sz w:val="24"/>
          <w:szCs w:val="24"/>
          <w:lang w:eastAsia="en-US"/>
        </w:rPr>
        <w:t>http://dx.doi.org/10.1080/00220620.2011.634497</w:t>
      </w:r>
    </w:p>
    <w:p w:rsidR="00A262AE" w:rsidRPr="00A262AE" w:rsidRDefault="00A262AE" w:rsidP="0037535E">
      <w:pPr>
        <w:rPr>
          <w:rFonts w:asciiTheme="minorHAnsi" w:hAnsiTheme="minorHAnsi" w:cstheme="minorHAnsi"/>
          <w:sz w:val="24"/>
          <w:szCs w:val="24"/>
        </w:rPr>
      </w:pPr>
    </w:p>
    <w:p w:rsidR="0037535E" w:rsidRPr="00A262AE" w:rsidRDefault="00AB4932" w:rsidP="0037535E">
      <w:pPr>
        <w:rPr>
          <w:rFonts w:asciiTheme="minorHAnsi" w:hAnsiTheme="minorHAnsi" w:cstheme="minorHAnsi"/>
          <w:sz w:val="24"/>
          <w:szCs w:val="24"/>
        </w:rPr>
      </w:pPr>
      <w:r w:rsidRPr="00A262AE">
        <w:rPr>
          <w:rFonts w:asciiTheme="minorHAnsi" w:hAnsiTheme="minorHAnsi" w:cstheme="minorHAnsi"/>
          <w:sz w:val="24"/>
          <w:szCs w:val="24"/>
        </w:rPr>
        <w:t xml:space="preserve">Leithwood, K., Harris, A. And Hopkins, D. (2008) Seven strong claims about successful school leadership, </w:t>
      </w:r>
      <w:r w:rsidRPr="00A262AE">
        <w:rPr>
          <w:rFonts w:asciiTheme="minorHAnsi" w:hAnsiTheme="minorHAnsi" w:cstheme="minorHAnsi"/>
          <w:i/>
          <w:sz w:val="24"/>
          <w:szCs w:val="24"/>
        </w:rPr>
        <w:t>School Leadership and Management</w:t>
      </w:r>
      <w:r w:rsidRPr="00A262AE">
        <w:rPr>
          <w:rFonts w:asciiTheme="minorHAnsi" w:hAnsiTheme="minorHAnsi" w:cstheme="minorHAnsi"/>
          <w:sz w:val="24"/>
          <w:szCs w:val="24"/>
        </w:rPr>
        <w:t xml:space="preserve">, 28 (1), 27-42 </w:t>
      </w:r>
      <w:hyperlink r:id="rId8" w:history="1">
        <w:r w:rsidRPr="00A262AE">
          <w:rPr>
            <w:rStyle w:val="Hyperlink"/>
            <w:rFonts w:asciiTheme="minorHAnsi" w:eastAsiaTheme="minorHAnsi" w:hAnsiTheme="minorHAnsi" w:cstheme="minorHAnsi"/>
            <w:noProof w:val="0"/>
            <w:sz w:val="24"/>
            <w:szCs w:val="24"/>
            <w:lang w:eastAsia="en-US"/>
          </w:rPr>
          <w:t>http://dx.doi.org/10.1080/13632430701800060</w:t>
        </w:r>
      </w:hyperlink>
      <w:r w:rsidR="0037535E" w:rsidRPr="00A262A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37535E" w:rsidRPr="00A262AE" w:rsidRDefault="0037535E" w:rsidP="0037535E">
      <w:pPr>
        <w:rPr>
          <w:rFonts w:asciiTheme="minorHAnsi" w:hAnsiTheme="minorHAnsi" w:cstheme="minorHAnsi"/>
          <w:sz w:val="24"/>
          <w:szCs w:val="24"/>
        </w:rPr>
      </w:pPr>
    </w:p>
    <w:p w:rsidR="0037535E" w:rsidRPr="00A262AE" w:rsidRDefault="0037535E" w:rsidP="0037535E">
      <w:pPr>
        <w:rPr>
          <w:rFonts w:asciiTheme="minorHAnsi" w:hAnsiTheme="minorHAnsi" w:cstheme="minorHAnsi"/>
          <w:sz w:val="24"/>
          <w:szCs w:val="24"/>
        </w:rPr>
      </w:pPr>
      <w:r w:rsidRPr="00A262AE">
        <w:rPr>
          <w:rFonts w:asciiTheme="minorHAnsi" w:hAnsiTheme="minorHAnsi" w:cstheme="minorHAnsi"/>
          <w:sz w:val="24"/>
          <w:szCs w:val="24"/>
        </w:rPr>
        <w:t xml:space="preserve">Muijs, D. , Harris, A. , Chapman, C. , Stoll, L. and Russ, J. (2004). Improving Schools in Socioeconomically Disadvantaged Areas - A Review of Research Evidence, </w:t>
      </w:r>
      <w:r w:rsidRPr="00A262AE">
        <w:rPr>
          <w:rFonts w:asciiTheme="minorHAnsi" w:hAnsiTheme="minorHAnsi" w:cstheme="minorHAnsi"/>
          <w:i/>
          <w:sz w:val="24"/>
          <w:szCs w:val="24"/>
        </w:rPr>
        <w:t>School Effectiveness and School Improvement</w:t>
      </w:r>
      <w:r w:rsidRPr="00A262AE">
        <w:rPr>
          <w:rFonts w:asciiTheme="minorHAnsi" w:hAnsiTheme="minorHAnsi" w:cstheme="minorHAnsi"/>
          <w:sz w:val="24"/>
          <w:szCs w:val="24"/>
        </w:rPr>
        <w:t xml:space="preserve">, 15(2), 149-175 </w:t>
      </w:r>
      <w:hyperlink r:id="rId9" w:history="1">
        <w:r w:rsidRPr="00A262AE">
          <w:rPr>
            <w:rStyle w:val="Hyperlink"/>
            <w:rFonts w:asciiTheme="minorHAnsi" w:hAnsiTheme="minorHAnsi" w:cstheme="minorHAnsi"/>
            <w:sz w:val="24"/>
            <w:szCs w:val="24"/>
          </w:rPr>
          <w:t>http://www.informaworld.com/smpp/content~db=all~content=a725291740~frm=titlelink</w:t>
        </w:r>
      </w:hyperlink>
    </w:p>
    <w:p w:rsidR="0037535E" w:rsidRPr="00A262AE" w:rsidRDefault="0037535E" w:rsidP="0037535E">
      <w:pPr>
        <w:rPr>
          <w:rFonts w:asciiTheme="minorHAnsi" w:hAnsiTheme="minorHAnsi" w:cstheme="minorHAnsi"/>
          <w:sz w:val="24"/>
          <w:szCs w:val="24"/>
        </w:rPr>
      </w:pPr>
    </w:p>
    <w:p w:rsidR="00A262AE" w:rsidRPr="00A262AE" w:rsidRDefault="005310B0" w:rsidP="00A262AE">
      <w:pPr>
        <w:overflowPunct/>
        <w:textAlignment w:val="auto"/>
        <w:rPr>
          <w:rFonts w:asciiTheme="minorHAnsi" w:hAnsiTheme="minorHAnsi" w:cstheme="minorHAnsi"/>
          <w:sz w:val="24"/>
          <w:szCs w:val="24"/>
        </w:rPr>
      </w:pPr>
      <w:proofErr w:type="spellStart"/>
      <w:r w:rsidRPr="00A262AE">
        <w:rPr>
          <w:rFonts w:asciiTheme="minorHAnsi" w:eastAsiaTheme="minorHAnsi" w:hAnsiTheme="minorHAnsi" w:cstheme="minorHAnsi"/>
          <w:noProof w:val="0"/>
          <w:color w:val="231F20"/>
          <w:sz w:val="24"/>
          <w:szCs w:val="24"/>
          <w:lang w:eastAsia="en-US"/>
        </w:rPr>
        <w:t>MacBeath</w:t>
      </w:r>
      <w:proofErr w:type="spellEnd"/>
      <w:r w:rsidRPr="00A262AE">
        <w:rPr>
          <w:rFonts w:asciiTheme="minorHAnsi" w:eastAsiaTheme="minorHAnsi" w:hAnsiTheme="minorHAnsi" w:cstheme="minorHAnsi"/>
          <w:noProof w:val="0"/>
          <w:color w:val="231F20"/>
          <w:sz w:val="24"/>
          <w:szCs w:val="24"/>
          <w:lang w:eastAsia="en-US"/>
        </w:rPr>
        <w:t xml:space="preserve">, J. (2005) Leadership as distributed: a matter of practice, </w:t>
      </w:r>
      <w:r w:rsidRPr="00A262AE">
        <w:rPr>
          <w:rFonts w:asciiTheme="minorHAnsi" w:eastAsiaTheme="minorHAnsi" w:hAnsiTheme="minorHAnsi" w:cstheme="minorHAnsi"/>
          <w:i/>
          <w:noProof w:val="0"/>
          <w:color w:val="231F20"/>
          <w:sz w:val="24"/>
          <w:szCs w:val="24"/>
          <w:lang w:eastAsia="en-US"/>
        </w:rPr>
        <w:t>School Leadership and Management</w:t>
      </w:r>
      <w:r w:rsidRPr="00A262AE">
        <w:rPr>
          <w:rFonts w:asciiTheme="minorHAnsi" w:eastAsiaTheme="minorHAnsi" w:hAnsiTheme="minorHAnsi" w:cstheme="minorHAnsi"/>
          <w:noProof w:val="0"/>
          <w:color w:val="231F20"/>
          <w:sz w:val="24"/>
          <w:szCs w:val="24"/>
          <w:lang w:eastAsia="en-US"/>
        </w:rPr>
        <w:t>, 25(4), 349-66.</w:t>
      </w:r>
      <w:r w:rsidR="0037535E" w:rsidRPr="00A262AE">
        <w:rPr>
          <w:rFonts w:asciiTheme="minorHAnsi" w:hAnsiTheme="minorHAnsi" w:cstheme="minorHAnsi"/>
          <w:sz w:val="24"/>
          <w:szCs w:val="24"/>
        </w:rPr>
        <w:t xml:space="preserve"> </w:t>
      </w:r>
      <w:hyperlink r:id="rId10" w:history="1">
        <w:r w:rsidR="00A262AE" w:rsidRPr="00A262AE">
          <w:rPr>
            <w:rStyle w:val="Hyperlink"/>
            <w:rFonts w:asciiTheme="minorHAnsi" w:hAnsiTheme="minorHAnsi" w:cstheme="minorHAnsi"/>
            <w:sz w:val="24"/>
            <w:szCs w:val="24"/>
          </w:rPr>
          <w:t>http://www.tandfonline.com/doi/abs/10.1080/13634230500197165</w:t>
        </w:r>
      </w:hyperlink>
    </w:p>
    <w:p w:rsidR="00A262AE" w:rsidRPr="00A262AE" w:rsidRDefault="00A262AE" w:rsidP="00A262AE">
      <w:pPr>
        <w:overflowPunct/>
        <w:textAlignment w:val="auto"/>
        <w:rPr>
          <w:rFonts w:asciiTheme="minorHAnsi" w:hAnsiTheme="minorHAnsi" w:cstheme="minorHAnsi"/>
          <w:sz w:val="24"/>
          <w:szCs w:val="24"/>
        </w:rPr>
      </w:pPr>
    </w:p>
    <w:p w:rsidR="00A262AE" w:rsidRPr="00A262AE" w:rsidRDefault="00A262AE" w:rsidP="00A262AE">
      <w:pPr>
        <w:rPr>
          <w:rFonts w:asciiTheme="minorHAnsi" w:hAnsiTheme="minorHAnsi" w:cstheme="minorHAnsi"/>
          <w:color w:val="000000"/>
          <w:sz w:val="24"/>
          <w:szCs w:val="24"/>
        </w:rPr>
      </w:pPr>
      <w:r w:rsidRPr="00A262AE">
        <w:rPr>
          <w:rFonts w:asciiTheme="minorHAnsi" w:hAnsiTheme="minorHAnsi" w:cstheme="minorHAnsi"/>
          <w:sz w:val="24"/>
          <w:szCs w:val="24"/>
        </w:rPr>
        <w:t xml:space="preserve">Fitzgerald, T. and Gunter, H. (2008) Contesting the orthodoxy of teacher leadership, </w:t>
      </w:r>
      <w:r w:rsidRPr="00A262AE">
        <w:rPr>
          <w:rFonts w:asciiTheme="minorHAnsi" w:hAnsiTheme="minorHAnsi" w:cstheme="minorHAnsi"/>
          <w:i/>
          <w:sz w:val="24"/>
          <w:szCs w:val="24"/>
        </w:rPr>
        <w:t>International Journal of Leadership in Education</w:t>
      </w:r>
      <w:r w:rsidRPr="00A262AE">
        <w:rPr>
          <w:rFonts w:asciiTheme="minorHAnsi" w:hAnsiTheme="minorHAnsi" w:cstheme="minorHAnsi"/>
          <w:sz w:val="24"/>
          <w:szCs w:val="24"/>
        </w:rPr>
        <w:t xml:space="preserve">, 11 (4), 331-340. </w:t>
      </w:r>
      <w:hyperlink r:id="rId11" w:history="1">
        <w:r w:rsidRPr="00A262AE">
          <w:rPr>
            <w:rStyle w:val="Hyperlink"/>
            <w:rFonts w:asciiTheme="minorHAnsi" w:hAnsiTheme="minorHAnsi" w:cstheme="minorHAnsi"/>
            <w:sz w:val="24"/>
            <w:szCs w:val="24"/>
          </w:rPr>
          <w:t>http://www.tandfonline.com/doi/full/10.1080/13603120802317883</w:t>
        </w:r>
      </w:hyperlink>
    </w:p>
    <w:p w:rsidR="0037535E" w:rsidRPr="00A262AE" w:rsidRDefault="0037535E" w:rsidP="005310B0">
      <w:pPr>
        <w:overflowPunct/>
        <w:textAlignment w:val="auto"/>
        <w:rPr>
          <w:rFonts w:asciiTheme="minorHAnsi" w:hAnsiTheme="minorHAnsi" w:cstheme="minorHAnsi"/>
          <w:sz w:val="24"/>
          <w:szCs w:val="24"/>
        </w:rPr>
      </w:pPr>
    </w:p>
    <w:p w:rsidR="00400444" w:rsidRPr="00A262AE" w:rsidRDefault="00400444" w:rsidP="00E83A6C">
      <w:pPr>
        <w:rPr>
          <w:rFonts w:asciiTheme="minorHAnsi" w:hAnsiTheme="minorHAnsi" w:cstheme="minorHAnsi"/>
          <w:sz w:val="24"/>
          <w:szCs w:val="24"/>
        </w:rPr>
      </w:pPr>
    </w:p>
    <w:p w:rsidR="00400444" w:rsidRPr="00A262AE" w:rsidRDefault="00400444" w:rsidP="00400444">
      <w:pPr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A262AE">
        <w:rPr>
          <w:rFonts w:asciiTheme="minorHAnsi" w:hAnsiTheme="minorHAnsi" w:cstheme="minorHAnsi"/>
          <w:b/>
          <w:sz w:val="24"/>
          <w:szCs w:val="24"/>
          <w:u w:val="single"/>
        </w:rPr>
        <w:lastRenderedPageBreak/>
        <w:t>Recommended Additional Readings</w:t>
      </w:r>
    </w:p>
    <w:p w:rsidR="00400444" w:rsidRPr="00A262AE" w:rsidRDefault="00400444" w:rsidP="00400444">
      <w:pPr>
        <w:overflowPunct/>
        <w:textAlignment w:val="auto"/>
        <w:rPr>
          <w:rFonts w:asciiTheme="minorHAnsi" w:hAnsiTheme="minorHAnsi" w:cstheme="minorHAnsi"/>
          <w:sz w:val="24"/>
          <w:szCs w:val="24"/>
        </w:rPr>
      </w:pPr>
    </w:p>
    <w:p w:rsidR="00400444" w:rsidRPr="00A262AE" w:rsidRDefault="00400444" w:rsidP="00400444">
      <w:pPr>
        <w:overflowPunct/>
        <w:textAlignment w:val="auto"/>
        <w:rPr>
          <w:rFonts w:asciiTheme="minorHAnsi" w:hAnsiTheme="minorHAnsi" w:cstheme="minorHAnsi"/>
          <w:sz w:val="24"/>
          <w:szCs w:val="24"/>
        </w:rPr>
      </w:pPr>
      <w:r w:rsidRPr="00A262AE">
        <w:rPr>
          <w:rFonts w:asciiTheme="minorHAnsi" w:hAnsiTheme="minorHAnsi" w:cstheme="minorHAnsi"/>
          <w:sz w:val="24"/>
          <w:szCs w:val="24"/>
        </w:rPr>
        <w:t xml:space="preserve">Barker, B. (2011) Can schools change society? </w:t>
      </w:r>
      <w:r w:rsidRPr="00A262AE">
        <w:rPr>
          <w:rFonts w:asciiTheme="minorHAnsi" w:hAnsiTheme="minorHAnsi" w:cstheme="minorHAnsi"/>
          <w:i/>
          <w:sz w:val="24"/>
          <w:szCs w:val="24"/>
        </w:rPr>
        <w:t xml:space="preserve">FORUM, </w:t>
      </w:r>
      <w:r w:rsidRPr="00A262AE">
        <w:rPr>
          <w:rFonts w:asciiTheme="minorHAnsi" w:hAnsiTheme="minorHAnsi" w:cstheme="minorHAnsi"/>
          <w:sz w:val="24"/>
          <w:szCs w:val="24"/>
        </w:rPr>
        <w:t>53(1), 163-172.</w:t>
      </w:r>
    </w:p>
    <w:p w:rsidR="00400444" w:rsidRPr="00A262AE" w:rsidRDefault="00400444" w:rsidP="00400444">
      <w:pPr>
        <w:overflowPunct/>
        <w:textAlignment w:val="auto"/>
        <w:rPr>
          <w:rFonts w:asciiTheme="minorHAnsi" w:hAnsiTheme="minorHAnsi" w:cstheme="minorHAnsi"/>
          <w:sz w:val="24"/>
          <w:szCs w:val="24"/>
        </w:rPr>
      </w:pPr>
    </w:p>
    <w:p w:rsidR="00400444" w:rsidRPr="00A262AE" w:rsidRDefault="00400444" w:rsidP="00400444">
      <w:pPr>
        <w:rPr>
          <w:rFonts w:asciiTheme="minorHAnsi" w:hAnsiTheme="minorHAnsi" w:cstheme="minorHAnsi"/>
          <w:sz w:val="24"/>
          <w:szCs w:val="24"/>
        </w:rPr>
      </w:pPr>
      <w:r w:rsidRPr="00A262AE">
        <w:rPr>
          <w:rFonts w:asciiTheme="minorHAnsi" w:hAnsiTheme="minorHAnsi" w:cstheme="minorHAnsi"/>
          <w:sz w:val="24"/>
          <w:szCs w:val="24"/>
        </w:rPr>
        <w:t xml:space="preserve">Barker, B. (2010) </w:t>
      </w:r>
      <w:r w:rsidRPr="00A262AE">
        <w:rPr>
          <w:rFonts w:asciiTheme="minorHAnsi" w:hAnsiTheme="minorHAnsi" w:cstheme="minorHAnsi"/>
          <w:i/>
          <w:sz w:val="24"/>
          <w:szCs w:val="24"/>
        </w:rPr>
        <w:t xml:space="preserve">The Pendulum Swings: transforming school reform, </w:t>
      </w:r>
      <w:r w:rsidRPr="00A262AE">
        <w:rPr>
          <w:rFonts w:asciiTheme="minorHAnsi" w:hAnsiTheme="minorHAnsi" w:cstheme="minorHAnsi"/>
          <w:sz w:val="24"/>
          <w:szCs w:val="24"/>
        </w:rPr>
        <w:t xml:space="preserve">Trentham Books - Bernard will be selling this on the day. </w:t>
      </w:r>
    </w:p>
    <w:p w:rsidR="00400444" w:rsidRPr="00A262AE" w:rsidRDefault="00400444" w:rsidP="00400444">
      <w:pPr>
        <w:rPr>
          <w:rFonts w:asciiTheme="minorHAnsi" w:hAnsiTheme="minorHAnsi" w:cstheme="minorHAnsi"/>
          <w:sz w:val="24"/>
          <w:szCs w:val="24"/>
        </w:rPr>
      </w:pPr>
    </w:p>
    <w:p w:rsidR="00400444" w:rsidRPr="00A262AE" w:rsidRDefault="00400444" w:rsidP="00400444">
      <w:pPr>
        <w:overflowPunct/>
        <w:textAlignment w:val="auto"/>
        <w:rPr>
          <w:rFonts w:asciiTheme="minorHAnsi" w:hAnsiTheme="minorHAnsi" w:cstheme="minorHAnsi"/>
          <w:sz w:val="24"/>
          <w:szCs w:val="24"/>
        </w:rPr>
      </w:pPr>
      <w:r w:rsidRPr="00A262AE">
        <w:rPr>
          <w:rFonts w:asciiTheme="minorHAnsi" w:hAnsiTheme="minorHAnsi" w:cstheme="minorHAnsi"/>
          <w:sz w:val="24"/>
          <w:szCs w:val="24"/>
        </w:rPr>
        <w:t xml:space="preserve">Barker, B. (2009) What next for school reform? </w:t>
      </w:r>
      <w:r w:rsidRPr="00A262AE">
        <w:rPr>
          <w:rFonts w:asciiTheme="minorHAnsi" w:hAnsiTheme="minorHAnsi" w:cstheme="minorHAnsi"/>
          <w:i/>
          <w:sz w:val="24"/>
          <w:szCs w:val="24"/>
        </w:rPr>
        <w:t xml:space="preserve">FORUM, </w:t>
      </w:r>
      <w:r w:rsidRPr="00A262AE">
        <w:rPr>
          <w:rFonts w:asciiTheme="minorHAnsi" w:hAnsiTheme="minorHAnsi" w:cstheme="minorHAnsi"/>
          <w:sz w:val="24"/>
          <w:szCs w:val="24"/>
        </w:rPr>
        <w:t xml:space="preserve">51(1), 93-100. </w:t>
      </w:r>
    </w:p>
    <w:p w:rsidR="00400444" w:rsidRPr="00A262AE" w:rsidRDefault="00400444" w:rsidP="00400444">
      <w:pPr>
        <w:overflowPunct/>
        <w:textAlignment w:val="auto"/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</w:pPr>
    </w:p>
    <w:p w:rsidR="00400444" w:rsidRPr="00A262AE" w:rsidRDefault="00400444" w:rsidP="00400444">
      <w:pPr>
        <w:overflowPunct/>
        <w:textAlignment w:val="auto"/>
        <w:rPr>
          <w:rFonts w:asciiTheme="minorHAnsi" w:hAnsiTheme="minorHAnsi" w:cstheme="minorHAnsi"/>
          <w:sz w:val="24"/>
          <w:szCs w:val="24"/>
        </w:rPr>
      </w:pPr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>Barker, B. (2009) Public service reform in education: why is progress so slow</w:t>
      </w:r>
      <w:proofErr w:type="gramStart"/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>?,</w:t>
      </w:r>
      <w:proofErr w:type="gramEnd"/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 xml:space="preserve"> </w:t>
      </w:r>
      <w:r w:rsidRPr="00A262AE">
        <w:rPr>
          <w:rFonts w:asciiTheme="minorHAnsi" w:eastAsiaTheme="minorHAnsi" w:hAnsiTheme="minorHAnsi" w:cstheme="minorHAnsi"/>
          <w:i/>
          <w:noProof w:val="0"/>
          <w:sz w:val="24"/>
          <w:szCs w:val="24"/>
          <w:lang w:eastAsia="en-US"/>
        </w:rPr>
        <w:t>Journal of Educational Administration and History</w:t>
      </w:r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>, 41(1), 57-72.</w:t>
      </w:r>
    </w:p>
    <w:p w:rsidR="00400444" w:rsidRPr="00A262AE" w:rsidRDefault="00400444" w:rsidP="00400444">
      <w:pPr>
        <w:rPr>
          <w:rFonts w:asciiTheme="minorHAnsi" w:hAnsiTheme="minorHAnsi" w:cstheme="minorHAnsi"/>
          <w:sz w:val="24"/>
          <w:szCs w:val="24"/>
        </w:rPr>
      </w:pPr>
    </w:p>
    <w:p w:rsidR="00400444" w:rsidRPr="00A262AE" w:rsidRDefault="00400444" w:rsidP="00400444">
      <w:pPr>
        <w:overflowPunct/>
        <w:textAlignment w:val="auto"/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</w:pPr>
      <w:proofErr w:type="gramStart"/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 xml:space="preserve">Barker, B. (2008) School reform policy in England since 1988: relentless pursuit of the unattainable, </w:t>
      </w:r>
      <w:r w:rsidRPr="00A262AE">
        <w:rPr>
          <w:rFonts w:asciiTheme="minorHAnsi" w:eastAsiaTheme="minorHAnsi" w:hAnsiTheme="minorHAnsi" w:cstheme="minorHAnsi"/>
          <w:i/>
          <w:noProof w:val="0"/>
          <w:sz w:val="24"/>
          <w:szCs w:val="24"/>
          <w:lang w:eastAsia="en-US"/>
        </w:rPr>
        <w:t>Journal of Education Policy</w:t>
      </w:r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>, 23(6), 669-683.</w:t>
      </w:r>
      <w:proofErr w:type="gramEnd"/>
    </w:p>
    <w:p w:rsidR="00400444" w:rsidRPr="00A262AE" w:rsidRDefault="00400444" w:rsidP="00400444">
      <w:pPr>
        <w:overflowPunct/>
        <w:textAlignment w:val="auto"/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</w:pPr>
    </w:p>
    <w:p w:rsidR="00400444" w:rsidRPr="00A262AE" w:rsidRDefault="00400444" w:rsidP="00400444">
      <w:pPr>
        <w:overflowPunct/>
        <w:textAlignment w:val="auto"/>
        <w:rPr>
          <w:rFonts w:asciiTheme="minorHAnsi" w:hAnsiTheme="minorHAnsi" w:cstheme="minorHAnsi"/>
          <w:sz w:val="24"/>
          <w:szCs w:val="24"/>
        </w:rPr>
      </w:pPr>
      <w:proofErr w:type="spellStart"/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>Raffo</w:t>
      </w:r>
      <w:proofErr w:type="spellEnd"/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>, C. (2011) Barker's ecology of disadvantage and educational equity:</w:t>
      </w:r>
      <w:r w:rsidR="00A262AE"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 xml:space="preserve"> </w:t>
      </w:r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 xml:space="preserve">issues of redistribution and recognition, </w:t>
      </w:r>
      <w:r w:rsidRPr="00A262AE">
        <w:rPr>
          <w:rFonts w:asciiTheme="minorHAnsi" w:eastAsiaTheme="minorHAnsi" w:hAnsiTheme="minorHAnsi" w:cstheme="minorHAnsi"/>
          <w:i/>
          <w:noProof w:val="0"/>
          <w:sz w:val="24"/>
          <w:szCs w:val="24"/>
          <w:lang w:eastAsia="en-US"/>
        </w:rPr>
        <w:t>Journal of Educational Administration and History</w:t>
      </w:r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>, 43:4,</w:t>
      </w:r>
      <w:r w:rsidR="00A262AE"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 xml:space="preserve"> </w:t>
      </w:r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>325-</w:t>
      </w:r>
      <w:proofErr w:type="gramStart"/>
      <w:r w:rsidRPr="00A262AE">
        <w:rPr>
          <w:rFonts w:asciiTheme="minorHAnsi" w:eastAsiaTheme="minorHAnsi" w:hAnsiTheme="minorHAnsi" w:cstheme="minorHAnsi"/>
          <w:noProof w:val="0"/>
          <w:sz w:val="24"/>
          <w:szCs w:val="24"/>
          <w:lang w:eastAsia="en-US"/>
        </w:rPr>
        <w:t>343</w:t>
      </w:r>
      <w:r w:rsidRPr="00A262AE">
        <w:rPr>
          <w:rFonts w:asciiTheme="minorHAnsi" w:eastAsiaTheme="minorHAnsi" w:hAnsiTheme="minorHAnsi" w:cstheme="minorHAnsi"/>
          <w:b/>
          <w:bCs/>
          <w:noProof w:val="0"/>
          <w:color w:val="000000"/>
          <w:sz w:val="24"/>
          <w:szCs w:val="24"/>
          <w:lang w:eastAsia="en-US"/>
        </w:rPr>
        <w:t xml:space="preserve">  </w:t>
      </w:r>
      <w:r w:rsidRPr="00A262AE">
        <w:rPr>
          <w:rFonts w:asciiTheme="minorHAnsi" w:eastAsiaTheme="minorHAnsi" w:hAnsiTheme="minorHAnsi" w:cstheme="minorHAnsi"/>
          <w:noProof w:val="0"/>
          <w:color w:val="0000FF"/>
          <w:sz w:val="24"/>
          <w:szCs w:val="24"/>
          <w:lang w:eastAsia="en-US"/>
        </w:rPr>
        <w:t>http</w:t>
      </w:r>
      <w:proofErr w:type="gramEnd"/>
      <w:r w:rsidRPr="00A262AE">
        <w:rPr>
          <w:rFonts w:asciiTheme="minorHAnsi" w:eastAsiaTheme="minorHAnsi" w:hAnsiTheme="minorHAnsi" w:cstheme="minorHAnsi"/>
          <w:noProof w:val="0"/>
          <w:color w:val="0000FF"/>
          <w:sz w:val="24"/>
          <w:szCs w:val="24"/>
          <w:lang w:eastAsia="en-US"/>
        </w:rPr>
        <w:t>://dx.doi.org/10.1080/00220620.2011.606895</w:t>
      </w:r>
    </w:p>
    <w:p w:rsidR="00400444" w:rsidRPr="00A262AE" w:rsidRDefault="00400444" w:rsidP="00E83A6C">
      <w:pPr>
        <w:rPr>
          <w:rFonts w:asciiTheme="minorHAnsi" w:hAnsiTheme="minorHAnsi" w:cstheme="minorHAnsi"/>
          <w:color w:val="000000"/>
          <w:sz w:val="24"/>
          <w:szCs w:val="24"/>
        </w:rPr>
      </w:pPr>
    </w:p>
    <w:sectPr w:rsidR="00400444" w:rsidRPr="00A262AE" w:rsidSect="00716113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lgerian">
    <w:altName w:val="Juice ITC"/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D53132"/>
    <w:rsid w:val="0001375B"/>
    <w:rsid w:val="000349E5"/>
    <w:rsid w:val="00080D1D"/>
    <w:rsid w:val="000852F0"/>
    <w:rsid w:val="000F216A"/>
    <w:rsid w:val="001114AA"/>
    <w:rsid w:val="001214F5"/>
    <w:rsid w:val="0014054D"/>
    <w:rsid w:val="00166158"/>
    <w:rsid w:val="001A1596"/>
    <w:rsid w:val="001D50B8"/>
    <w:rsid w:val="002224E7"/>
    <w:rsid w:val="00271343"/>
    <w:rsid w:val="002B71E3"/>
    <w:rsid w:val="00364C6D"/>
    <w:rsid w:val="0037535E"/>
    <w:rsid w:val="003A4128"/>
    <w:rsid w:val="003B2D36"/>
    <w:rsid w:val="003E1BCE"/>
    <w:rsid w:val="00400444"/>
    <w:rsid w:val="0045099F"/>
    <w:rsid w:val="0045420D"/>
    <w:rsid w:val="004F7FCD"/>
    <w:rsid w:val="005310B0"/>
    <w:rsid w:val="005444B5"/>
    <w:rsid w:val="005911AB"/>
    <w:rsid w:val="0059164A"/>
    <w:rsid w:val="005D7EFC"/>
    <w:rsid w:val="005F2AE2"/>
    <w:rsid w:val="005F3C53"/>
    <w:rsid w:val="00640ED6"/>
    <w:rsid w:val="00695FB2"/>
    <w:rsid w:val="006A6A10"/>
    <w:rsid w:val="006B4B48"/>
    <w:rsid w:val="00716113"/>
    <w:rsid w:val="007175B4"/>
    <w:rsid w:val="007615B3"/>
    <w:rsid w:val="00762E82"/>
    <w:rsid w:val="00767EFF"/>
    <w:rsid w:val="007A214F"/>
    <w:rsid w:val="007A412E"/>
    <w:rsid w:val="0081785E"/>
    <w:rsid w:val="00824E24"/>
    <w:rsid w:val="00882151"/>
    <w:rsid w:val="008D7A97"/>
    <w:rsid w:val="00940DAE"/>
    <w:rsid w:val="0095287C"/>
    <w:rsid w:val="00990810"/>
    <w:rsid w:val="00995372"/>
    <w:rsid w:val="009C742B"/>
    <w:rsid w:val="00A01979"/>
    <w:rsid w:val="00A06B14"/>
    <w:rsid w:val="00A07F28"/>
    <w:rsid w:val="00A262AE"/>
    <w:rsid w:val="00A44153"/>
    <w:rsid w:val="00AB4932"/>
    <w:rsid w:val="00AC5BA3"/>
    <w:rsid w:val="00AF7C90"/>
    <w:rsid w:val="00B10F8B"/>
    <w:rsid w:val="00B21BAB"/>
    <w:rsid w:val="00BB41DE"/>
    <w:rsid w:val="00C22234"/>
    <w:rsid w:val="00C23768"/>
    <w:rsid w:val="00CD4E7B"/>
    <w:rsid w:val="00CD6ED6"/>
    <w:rsid w:val="00D21389"/>
    <w:rsid w:val="00D53132"/>
    <w:rsid w:val="00DC32DB"/>
    <w:rsid w:val="00E2721A"/>
    <w:rsid w:val="00E6270B"/>
    <w:rsid w:val="00E7505D"/>
    <w:rsid w:val="00E83A6C"/>
    <w:rsid w:val="00EA0C87"/>
    <w:rsid w:val="00F2153C"/>
    <w:rsid w:val="00F70ACC"/>
    <w:rsid w:val="00F72951"/>
    <w:rsid w:val="00F75835"/>
    <w:rsid w:val="00F8153E"/>
    <w:rsid w:val="00FB208E"/>
    <w:rsid w:val="00FC6488"/>
    <w:rsid w:val="00FD4C9E"/>
    <w:rsid w:val="00FE7E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00" w:afterAutospacing="1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3132"/>
    <w:pPr>
      <w:overflowPunct w:val="0"/>
      <w:autoSpaceDE w:val="0"/>
      <w:autoSpaceDN w:val="0"/>
      <w:adjustRightInd w:val="0"/>
      <w:spacing w:after="0" w:afterAutospacing="0" w:line="240" w:lineRule="auto"/>
      <w:textAlignment w:val="baseline"/>
    </w:pPr>
    <w:rPr>
      <w:rFonts w:ascii="Arial" w:eastAsia="Times New Roman" w:hAnsi="Arial" w:cs="Times New Roman"/>
      <w:noProof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824E24"/>
    <w:pPr>
      <w:overflowPunct/>
      <w:autoSpaceDE/>
      <w:autoSpaceDN/>
      <w:adjustRightInd/>
      <w:jc w:val="lowKashida"/>
      <w:textAlignment w:val="auto"/>
    </w:pPr>
    <w:rPr>
      <w:rFonts w:ascii="Times New Roman" w:hAnsi="Times New Roman" w:cs="Tahoma"/>
      <w:sz w:val="32"/>
      <w:lang w:val="en-US" w:eastAsia="ar-SA"/>
    </w:rPr>
  </w:style>
  <w:style w:type="character" w:customStyle="1" w:styleId="BodyTextChar">
    <w:name w:val="Body Text Char"/>
    <w:basedOn w:val="DefaultParagraphFont"/>
    <w:link w:val="BodyText"/>
    <w:rsid w:val="00824E24"/>
    <w:rPr>
      <w:rFonts w:ascii="Times New Roman" w:eastAsia="Times New Roman" w:hAnsi="Times New Roman" w:cs="Tahoma"/>
      <w:noProof/>
      <w:sz w:val="32"/>
      <w:szCs w:val="20"/>
      <w:lang w:val="en-US" w:eastAsia="ar-SA"/>
    </w:rPr>
  </w:style>
  <w:style w:type="paragraph" w:styleId="Title">
    <w:name w:val="Title"/>
    <w:basedOn w:val="Normal"/>
    <w:link w:val="TitleChar"/>
    <w:qFormat/>
    <w:rsid w:val="00824E24"/>
    <w:pPr>
      <w:overflowPunct/>
      <w:autoSpaceDE/>
      <w:autoSpaceDN/>
      <w:adjustRightInd/>
      <w:jc w:val="center"/>
      <w:textAlignment w:val="auto"/>
    </w:pPr>
    <w:rPr>
      <w:rFonts w:ascii="Times New Roman" w:hAnsi="Times New Roman" w:cs="Tahoma"/>
      <w:b/>
      <w:bCs/>
      <w:noProof w:val="0"/>
      <w:sz w:val="24"/>
      <w:lang w:val="en-US" w:eastAsia="en-US"/>
    </w:rPr>
  </w:style>
  <w:style w:type="character" w:customStyle="1" w:styleId="TitleChar">
    <w:name w:val="Title Char"/>
    <w:basedOn w:val="DefaultParagraphFont"/>
    <w:link w:val="Title"/>
    <w:rsid w:val="00824E24"/>
    <w:rPr>
      <w:rFonts w:ascii="Times New Roman" w:eastAsia="Times New Roman" w:hAnsi="Times New Roman" w:cs="Tahoma"/>
      <w:b/>
      <w:bCs/>
      <w:sz w:val="24"/>
      <w:szCs w:val="20"/>
      <w:lang w:val="en-US"/>
    </w:rPr>
  </w:style>
  <w:style w:type="paragraph" w:styleId="BodyText2">
    <w:name w:val="Body Text 2"/>
    <w:basedOn w:val="Normal"/>
    <w:link w:val="BodyText2Char"/>
    <w:rsid w:val="00824E24"/>
    <w:pPr>
      <w:overflowPunct/>
      <w:autoSpaceDE/>
      <w:autoSpaceDN/>
      <w:adjustRightInd/>
      <w:spacing w:after="120" w:line="480" w:lineRule="auto"/>
      <w:textAlignment w:val="auto"/>
    </w:pPr>
    <w:rPr>
      <w:rFonts w:ascii="Times New Roman" w:hAnsi="Times New Roman"/>
      <w:noProof w:val="0"/>
      <w:sz w:val="24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rsid w:val="00824E24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rsid w:val="00824E24"/>
    <w:pPr>
      <w:tabs>
        <w:tab w:val="center" w:pos="4153"/>
        <w:tab w:val="right" w:pos="8306"/>
      </w:tabs>
      <w:overflowPunct/>
      <w:autoSpaceDE/>
      <w:autoSpaceDN/>
      <w:adjustRightInd/>
      <w:textAlignment w:val="auto"/>
    </w:pPr>
    <w:rPr>
      <w:rFonts w:ascii="Times New Roman" w:hAnsi="Times New Roman" w:cs="Tahoma"/>
      <w:lang w:val="en-US" w:eastAsia="ar-SA"/>
    </w:rPr>
  </w:style>
  <w:style w:type="character" w:customStyle="1" w:styleId="HeaderChar">
    <w:name w:val="Header Char"/>
    <w:basedOn w:val="DefaultParagraphFont"/>
    <w:link w:val="Header"/>
    <w:rsid w:val="00824E24"/>
    <w:rPr>
      <w:rFonts w:ascii="Times New Roman" w:eastAsia="Times New Roman" w:hAnsi="Times New Roman" w:cs="Tahoma"/>
      <w:noProof/>
      <w:sz w:val="20"/>
      <w:szCs w:val="20"/>
      <w:lang w:val="en-US" w:eastAsia="ar-SA"/>
    </w:rPr>
  </w:style>
  <w:style w:type="paragraph" w:styleId="Footer">
    <w:name w:val="footer"/>
    <w:basedOn w:val="Normal"/>
    <w:link w:val="FooterChar"/>
    <w:semiHidden/>
    <w:rsid w:val="00CD6ED6"/>
    <w:pPr>
      <w:tabs>
        <w:tab w:val="center" w:pos="4153"/>
        <w:tab w:val="right" w:pos="8306"/>
      </w:tabs>
    </w:pPr>
    <w:rPr>
      <w:rFonts w:ascii="Times" w:hAnsi="Times"/>
      <w:noProof w:val="0"/>
      <w:sz w:val="24"/>
      <w:lang w:eastAsia="en-US"/>
    </w:rPr>
  </w:style>
  <w:style w:type="character" w:customStyle="1" w:styleId="FooterChar">
    <w:name w:val="Footer Char"/>
    <w:basedOn w:val="DefaultParagraphFont"/>
    <w:link w:val="Footer"/>
    <w:semiHidden/>
    <w:rsid w:val="00CD6ED6"/>
    <w:rPr>
      <w:rFonts w:ascii="Times" w:eastAsia="Times New Roman" w:hAnsi="Times" w:cs="Times New Roman"/>
      <w:sz w:val="24"/>
      <w:szCs w:val="20"/>
    </w:rPr>
  </w:style>
  <w:style w:type="character" w:styleId="Hyperlink">
    <w:name w:val="Hyperlink"/>
    <w:basedOn w:val="DefaultParagraphFont"/>
    <w:uiPriority w:val="99"/>
    <w:unhideWhenUsed/>
    <w:rsid w:val="00DC32D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70ACC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044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0444"/>
    <w:rPr>
      <w:rFonts w:ascii="Tahoma" w:eastAsia="Times New Roman" w:hAnsi="Tahoma" w:cs="Tahoma"/>
      <w:noProof/>
      <w:sz w:val="16"/>
      <w:szCs w:val="16"/>
      <w:lang w:eastAsia="en-GB"/>
    </w:rPr>
  </w:style>
  <w:style w:type="paragraph" w:styleId="NormalWeb">
    <w:name w:val="Normal (Web)"/>
    <w:basedOn w:val="Normal"/>
    <w:uiPriority w:val="99"/>
    <w:unhideWhenUsed/>
    <w:rsid w:val="00400444"/>
    <w:pPr>
      <w:overflowPunct/>
      <w:autoSpaceDE/>
      <w:autoSpaceDN/>
      <w:adjustRightInd/>
      <w:spacing w:line="360" w:lineRule="auto"/>
      <w:textAlignment w:val="auto"/>
    </w:pPr>
    <w:rPr>
      <w:rFonts w:ascii="Verdana" w:hAnsi="Verdana"/>
      <w:noProof w:val="0"/>
      <w:color w:val="464646"/>
      <w:sz w:val="17"/>
      <w:szCs w:val="17"/>
    </w:rPr>
  </w:style>
  <w:style w:type="character" w:styleId="Emphasis">
    <w:name w:val="Emphasis"/>
    <w:basedOn w:val="DefaultParagraphFont"/>
    <w:uiPriority w:val="20"/>
    <w:qFormat/>
    <w:rsid w:val="0040044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570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x.doi.org/10.1080/1363243070180006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trentham-books.co.uk/acatalog/The_Pendulum_Swings__Transforming_School_Reform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2.le.ac.uk/news/blog/2012/september/in-the-spotlight-leicester-exchanges?searchterm=bernard%20barker" TargetMode="External"/><Relationship Id="rId11" Type="http://schemas.openxmlformats.org/officeDocument/2006/relationships/hyperlink" Target="http://www.tandfonline.com/doi/full/10.1080/13603120802317883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tandfonline.com/doi/abs/10.1080/1363423050019716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formaworld.com/smpp/content~db=all~content=a725291740~frm=titlelin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061425-9189-487D-8091-8E26DE896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579</Words>
  <Characters>3303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ELM User</dc:creator>
  <cp:lastModifiedBy>ELM User</cp:lastModifiedBy>
  <cp:revision>7</cp:revision>
  <cp:lastPrinted>2010-06-23T14:57:00Z</cp:lastPrinted>
  <dcterms:created xsi:type="dcterms:W3CDTF">2012-11-05T14:59:00Z</dcterms:created>
  <dcterms:modified xsi:type="dcterms:W3CDTF">2012-11-29T21:56:00Z</dcterms:modified>
</cp:coreProperties>
</file>