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65BB" w:rsidRPr="00414241" w:rsidRDefault="00BE621F" w:rsidP="00E20C91">
      <w:pPr>
        <w:pStyle w:val="Heading1"/>
      </w:pPr>
      <w:r w:rsidRPr="00414241">
        <w:t>Engagement and ICT</w:t>
      </w:r>
    </w:p>
    <w:p w:rsidR="00BE621F" w:rsidRPr="00414241" w:rsidRDefault="00BE621F" w:rsidP="00E20C91"/>
    <w:p w:rsidR="0059660C" w:rsidRPr="00414241" w:rsidRDefault="0059660C" w:rsidP="00E20C91">
      <w:pPr>
        <w:rPr>
          <w:rStyle w:val="Strong"/>
          <w:rFonts w:ascii="Arial" w:hAnsi="Arial" w:cs="Arial"/>
        </w:rPr>
      </w:pPr>
    </w:p>
    <w:p w:rsidR="0059660C" w:rsidRPr="00414241" w:rsidRDefault="0059660C" w:rsidP="00636664">
      <w:pPr>
        <w:pStyle w:val="Heading3"/>
        <w:rPr>
          <w:rStyle w:val="Strong"/>
          <w:b w:val="0"/>
          <w:bCs/>
        </w:rPr>
      </w:pPr>
      <w:r w:rsidRPr="00414241">
        <w:rPr>
          <w:rStyle w:val="Strong"/>
          <w:b w:val="0"/>
          <w:bCs/>
        </w:rPr>
        <w:t>Introduction</w:t>
      </w:r>
    </w:p>
    <w:p w:rsidR="0059660C" w:rsidRPr="00414241" w:rsidRDefault="0059660C" w:rsidP="00E20C91">
      <w:r w:rsidRPr="00E20C91">
        <w:t xml:space="preserve">This is a background paper written </w:t>
      </w:r>
      <w:r w:rsidR="00751354" w:rsidRPr="00E20C91">
        <w:t>by the project team.</w:t>
      </w:r>
      <w:r w:rsidR="00751354">
        <w:rPr>
          <w:rStyle w:val="Strong"/>
          <w:rFonts w:ascii="Arial" w:hAnsi="Arial"/>
          <w:b w:val="0"/>
        </w:rPr>
        <w:t xml:space="preserve"> </w:t>
      </w:r>
      <w:r w:rsidRPr="00414241">
        <w:t>It supplements a previous review on trainee teachers and ICT</w:t>
      </w:r>
      <w:r w:rsidR="00096E1B" w:rsidRPr="00414241">
        <w:t xml:space="preserve">, and </w:t>
      </w:r>
      <w:r w:rsidRPr="00414241">
        <w:t xml:space="preserve">is intended as a </w:t>
      </w:r>
      <w:r w:rsidR="002940EC">
        <w:t>briefing paper, it does not claim to offer a comprehensive summary of the field.  L</w:t>
      </w:r>
      <w:r w:rsidRPr="00414241">
        <w:t xml:space="preserve">iterature consulted has covered meta reviews and recent and relevant journal articles. </w:t>
      </w:r>
    </w:p>
    <w:p w:rsidR="0059660C" w:rsidRPr="00414241" w:rsidRDefault="0059660C" w:rsidP="00636664">
      <w:pPr>
        <w:pStyle w:val="Heading3"/>
      </w:pPr>
      <w:r w:rsidRPr="00414241">
        <w:rPr>
          <w:rStyle w:val="Strong"/>
          <w:b w:val="0"/>
          <w:bCs/>
        </w:rPr>
        <w:t>What is engagement?</w:t>
      </w:r>
      <w:r w:rsidRPr="00414241">
        <w:t xml:space="preserve"> </w:t>
      </w:r>
    </w:p>
    <w:p w:rsidR="00D30010" w:rsidRPr="00414241" w:rsidRDefault="0056168A" w:rsidP="00E20C91">
      <w:r w:rsidRPr="00414241">
        <w:t xml:space="preserve">The concept of school engagement has attracted growing interest as a way of combating low levels of academic achievement, high levels of student boredom and disaffection and high dropout rates in urban areas. But what exactly is engagement?  </w:t>
      </w:r>
      <w:r w:rsidR="00BE621F" w:rsidRPr="00414241">
        <w:t>Engagement is often talked about in terms of a positive learning environment or the pupils being ‘on task’. More sophisticated teachers may think about pupil engagement in its different forms including its behavioural, emotional and cognitive dimensions. Behavioural engagement draws on the ideas of positive conduct and appropriate participation in learning.</w:t>
      </w:r>
      <w:r w:rsidR="00D30010" w:rsidRPr="00414241">
        <w:t xml:space="preserve"> This may then be divided further depending on whether the child is simply abiding by rules or whether they are displaying self-directed academic behaviour (Birch and Ladd, 1997).</w:t>
      </w:r>
      <w:r w:rsidR="00BE621F" w:rsidRPr="00414241">
        <w:t xml:space="preserve"> Cognitive engagement draws on the idea of investment, incorporating thoughtfulness and willingness to exert the necessary effort to understand new information and master difficult skills.</w:t>
      </w:r>
      <w:r w:rsidR="00D30010" w:rsidRPr="00414241">
        <w:t xml:space="preserve"> Some definitions of cognitive engagement go further and discuss the desire to go beyond the requirements, actively seeking a challenge (Connell and Wellborn, 1991).</w:t>
      </w:r>
      <w:r w:rsidR="00BE621F" w:rsidRPr="00414241">
        <w:t xml:space="preserve"> Emotional engagement encompasses positive and negative reactions to teachers, classmates and school as a whole and is thought to influence willingness to do the work</w:t>
      </w:r>
      <w:r w:rsidR="00D30010" w:rsidRPr="00414241">
        <w:t xml:space="preserve">. The construct of emotional engagement has significant overlap with the construct of engagement, the words often used interchangeably in the literature </w:t>
      </w:r>
      <w:r w:rsidRPr="00414241">
        <w:t>(Fredricks et al, 2004)</w:t>
      </w:r>
      <w:r w:rsidR="00BE621F" w:rsidRPr="00414241">
        <w:t>.</w:t>
      </w:r>
      <w:r w:rsidR="00D30010" w:rsidRPr="00414241">
        <w:t xml:space="preserve"> </w:t>
      </w:r>
    </w:p>
    <w:p w:rsidR="00D30010" w:rsidRPr="00414241" w:rsidRDefault="00D57E64" w:rsidP="00E20C91">
      <w:r w:rsidRPr="00414241">
        <w:t xml:space="preserve">There are numerous other constructs of engagement which can become problematic as confusion as to the actual nature of engagement can arise. </w:t>
      </w:r>
      <w:r w:rsidR="00255291" w:rsidRPr="00414241">
        <w:t xml:space="preserve">There is some consensus in the literature that engagement should be thought of as a ‘meta’ construct with multiple components present (Guthrie and Wigfield, 2000). </w:t>
      </w:r>
      <w:r w:rsidR="00115F14" w:rsidRPr="00414241">
        <w:t xml:space="preserve">Robust pieces of work may examine each of the components separately, </w:t>
      </w:r>
      <w:r w:rsidR="009A12AF" w:rsidRPr="00414241">
        <w:t>however considering engagement as a multidimensional construct means that antecedents and consequences of behaviour, emotion and cognition must be examined simultaneously and dynamically to test for additive or interactive effects.</w:t>
      </w:r>
      <w:r w:rsidR="00D30010" w:rsidRPr="00414241">
        <w:t xml:space="preserve"> Terms such as effort and motivation may add further confusion as these occur in more than one area of engagement.</w:t>
      </w:r>
    </w:p>
    <w:p w:rsidR="009A12AF" w:rsidRPr="00414241" w:rsidRDefault="009A12AF" w:rsidP="00E20C91">
      <w:r w:rsidRPr="00414241">
        <w:lastRenderedPageBreak/>
        <w:t>Central to the notion of engagement is the idea of some commitment or investment by the pupil. There is likely to be differences in the quality and quantity of this investment, however another central concept is that engagement is malleable, thus is responsive to variations in the environment (Finn and Rock, 1997). This adds to the interest in engagement as it implies that an understanding of the interaction between the pupil and the school environment may help us improve the experience that a child has at school.</w:t>
      </w:r>
    </w:p>
    <w:p w:rsidR="004E75DC" w:rsidRPr="00414241" w:rsidRDefault="008A7AC1" w:rsidP="00E20C91">
      <w:r w:rsidRPr="00414241">
        <w:t>So, how do we know when a pupil is engaged?</w:t>
      </w:r>
      <w:r w:rsidR="004E75DC" w:rsidRPr="00414241">
        <w:t xml:space="preserve"> </w:t>
      </w:r>
      <w:r w:rsidR="00255291" w:rsidRPr="00414241">
        <w:t>Quantifying</w:t>
      </w:r>
      <w:r w:rsidR="004E75DC" w:rsidRPr="00414241">
        <w:t xml:space="preserve"> engagement is a complex task as </w:t>
      </w:r>
      <w:r w:rsidR="002940EC">
        <w:t>one is trying to draw conclusions about internal mental processes from outward behaviour. However, p</w:t>
      </w:r>
      <w:r w:rsidR="004E75DC" w:rsidRPr="00414241">
        <w:t>upils may appear to be ‘on-task’</w:t>
      </w:r>
      <w:r w:rsidR="002940EC">
        <w:t xml:space="preserve"> but their thinking may be, as it were, ‘off task’ or, vice versa, they may be </w:t>
      </w:r>
      <w:r w:rsidR="004E75DC" w:rsidRPr="00414241">
        <w:t>chat</w:t>
      </w:r>
      <w:r w:rsidR="002940EC">
        <w:t xml:space="preserve">ting whilst cognitively engaged. </w:t>
      </w:r>
      <w:r w:rsidR="00255291" w:rsidRPr="00414241">
        <w:t>Measurement of behavioural engagement usually involves</w:t>
      </w:r>
      <w:r w:rsidR="004E75DC" w:rsidRPr="00414241">
        <w:t xml:space="preserve"> teacher ratings and self-report surveys to give information on conduct, work involvement and participation. Scales may give useful information about conduct and work-related behaviour.  Most emotional engagement studies use self-report (Skinner and Belmont, 1993) with factors such as student-teacher relationship and values being of importance. However the quantification of emotional engagement is also problematic as intensity of emotion can be influenced by factors outside the classroom as well as differing activities within the classroom. </w:t>
      </w:r>
      <w:r w:rsidR="008F5640" w:rsidRPr="00414241">
        <w:t>Measures of cognitive engagement are perhaps the most limited with few published studies (Fredricks et al, 2004). The use of ‘goal theory’ has been helpful in developing measures of cognitive engagement. This attempts to determine what goals a child is aiming for- mastery goals or performance goals. Mastery goals require a much deeper level of thinking than performance goals, thus may imply more cognitive engagement.</w:t>
      </w:r>
    </w:p>
    <w:p w:rsidR="00B1625D" w:rsidRPr="00636664" w:rsidRDefault="00737AC1" w:rsidP="00636664">
      <w:pPr>
        <w:pStyle w:val="Heading3"/>
      </w:pPr>
      <w:r w:rsidRPr="00636664">
        <w:t>H</w:t>
      </w:r>
      <w:r w:rsidR="00B1625D" w:rsidRPr="00636664">
        <w:t xml:space="preserve">ow can an atmosphere conducive to engagement be nurtured? </w:t>
      </w:r>
    </w:p>
    <w:p w:rsidR="00BE621F" w:rsidRPr="00414241" w:rsidRDefault="00D57E64" w:rsidP="00E20C91">
      <w:r w:rsidRPr="00414241">
        <w:t>There have been changes throughout the secondary curriculum</w:t>
      </w:r>
      <w:r w:rsidR="0031582D" w:rsidRPr="00414241">
        <w:t xml:space="preserve"> shifting the emphasis towards a ‘learning career’ which may be achieved in a ‘powerful learning environment’ (Davies et al, 2006). The characteristics of powerful learning environments include the development of complex and higher order cognitive skills, deep conceptual understanding such as the ability to self-regulate one’s own learning (van Merrienboer and Paas, 2003). </w:t>
      </w:r>
      <w:r w:rsidRPr="00414241">
        <w:t xml:space="preserve"> </w:t>
      </w:r>
      <w:r w:rsidR="00A446E7" w:rsidRPr="00414241">
        <w:t>This shift has also been described as a move from guided to experiential or independent learning (Hargreaves, 2004).</w:t>
      </w:r>
      <w:r w:rsidR="00BE621F" w:rsidRPr="00414241">
        <w:t xml:space="preserve"> </w:t>
      </w:r>
      <w:r w:rsidR="00737AC1" w:rsidRPr="00414241">
        <w:t xml:space="preserve">The potential for digital technologies to enhance this is the source of much interest. </w:t>
      </w:r>
      <w:r w:rsidR="00875E90" w:rsidRPr="00414241">
        <w:t>These are deployed in a wide range of elaborate and inventive ways in order to manage and support young people’s current learning, and their processes of making key choices about future learning. A tension still exists though between the desire to use digital technology to</w:t>
      </w:r>
      <w:r w:rsidR="0002355D" w:rsidRPr="00414241">
        <w:t xml:space="preserve"> provide learning opportunities</w:t>
      </w:r>
      <w:r w:rsidR="00875E90" w:rsidRPr="00414241">
        <w:t xml:space="preserve"> that support</w:t>
      </w:r>
      <w:r w:rsidR="0002355D" w:rsidRPr="00414241">
        <w:t xml:space="preserve"> more independent forms of learning and the need that many teachers feel not to lose control over the curriculum and associated modes of learning</w:t>
      </w:r>
      <w:r w:rsidR="00A446E7" w:rsidRPr="00414241">
        <w:t xml:space="preserve">. The situation is further complicated by the range of experience that </w:t>
      </w:r>
      <w:r w:rsidR="00A446E7" w:rsidRPr="00414241">
        <w:lastRenderedPageBreak/>
        <w:t xml:space="preserve">young people have of digital technology, thus impacting on how these technologies can contribute to education as a whole. </w:t>
      </w:r>
    </w:p>
    <w:p w:rsidR="00CC0151" w:rsidRPr="00414241" w:rsidRDefault="00CC0151" w:rsidP="00636664">
      <w:pPr>
        <w:pStyle w:val="Heading3"/>
      </w:pPr>
      <w:r w:rsidRPr="00414241">
        <w:t>Use of ICT in the classroom</w:t>
      </w:r>
    </w:p>
    <w:p w:rsidR="008F5640" w:rsidRPr="00414241" w:rsidRDefault="00292E3B" w:rsidP="00E20C91">
      <w:r w:rsidRPr="00414241">
        <w:t>The potential for the use for ICT in the classroom is w</w:t>
      </w:r>
      <w:r w:rsidR="00BC0B05" w:rsidRPr="00414241">
        <w:t>ell documented</w:t>
      </w:r>
      <w:r w:rsidRPr="00414241">
        <w:t>.</w:t>
      </w:r>
      <w:r w:rsidR="00D979D2" w:rsidRPr="00414241">
        <w:t xml:space="preserve"> ICT is thought to be a powerful tool for the constructivist classroom. Central to constructivism is </w:t>
      </w:r>
      <w:r w:rsidR="00737AC1" w:rsidRPr="00414241">
        <w:t>that l</w:t>
      </w:r>
      <w:r w:rsidR="00D979D2" w:rsidRPr="00414241">
        <w:t xml:space="preserve">earning is a process of making sense of the world around </w:t>
      </w:r>
      <w:r w:rsidR="00737AC1" w:rsidRPr="00414241">
        <w:t>one</w:t>
      </w:r>
      <w:r w:rsidR="00D979D2" w:rsidRPr="00414241">
        <w:t xml:space="preserve"> and relating experience to what </w:t>
      </w:r>
      <w:r w:rsidR="00737AC1" w:rsidRPr="00414241">
        <w:t xml:space="preserve">past knowledge with </w:t>
      </w:r>
      <w:r w:rsidR="00D979D2" w:rsidRPr="00414241">
        <w:t>the guidance that teachers</w:t>
      </w:r>
      <w:r w:rsidR="00737AC1" w:rsidRPr="00414241">
        <w:t xml:space="preserve">, or more knowledgeable other, </w:t>
      </w:r>
      <w:r w:rsidR="00D979D2" w:rsidRPr="00414241">
        <w:t xml:space="preserve"> are able </w:t>
      </w:r>
      <w:r w:rsidR="00311753">
        <w:t>to offer</w:t>
      </w:r>
      <w:r w:rsidR="00D979D2" w:rsidRPr="00414241">
        <w:t>. In an ICT rich classroom the provision of additional resources reduces the dependency of the pupils on the teacher. The pupils can self-regulate their learning, take an active role and construct knowledge thus creating a student-centred environment- a highly desirabl</w:t>
      </w:r>
      <w:r w:rsidR="008F5640" w:rsidRPr="00414241">
        <w:t>e situation</w:t>
      </w:r>
      <w:r w:rsidR="00B82FC9" w:rsidRPr="00414241">
        <w:t xml:space="preserve"> and one thought to be indicative of a high level of engagement</w:t>
      </w:r>
      <w:r w:rsidR="008F5640" w:rsidRPr="00414241">
        <w:t xml:space="preserve">. Ruthven et al (2005) describe how teachers regularly organised lessons around teacher-supported ICT-based pupil activities as means of </w:t>
      </w:r>
      <w:r w:rsidR="00255291">
        <w:t>‘</w:t>
      </w:r>
      <w:r w:rsidR="008F5640" w:rsidRPr="00414241">
        <w:t>…promoting more active student participation in lessons and engagement in t</w:t>
      </w:r>
      <w:r w:rsidR="00737AC1" w:rsidRPr="00414241">
        <w:t>hinking… capitalising on pupils’</w:t>
      </w:r>
      <w:r w:rsidR="008F5640" w:rsidRPr="00414241">
        <w:t xml:space="preserve"> enjoyment of using computers to tackle realistic tasks and …helping in managing volatile pupils and co-opting them to classwork</w:t>
      </w:r>
      <w:r w:rsidR="00255291">
        <w:t>’</w:t>
      </w:r>
      <w:r w:rsidR="008F5640" w:rsidRPr="00414241">
        <w:t>. Thus the teachers could stand back and assume a more advisory role rather than the traditional didactic approach. This is a highly desirable scenario, however is it a realistic one?</w:t>
      </w:r>
    </w:p>
    <w:p w:rsidR="00D979D2" w:rsidRPr="00414241" w:rsidRDefault="008F5640" w:rsidP="00E20C91">
      <w:r w:rsidRPr="00414241">
        <w:t>P</w:t>
      </w:r>
      <w:r w:rsidR="00292E3B" w:rsidRPr="00414241">
        <w:t>ertinent questions arise when we s</w:t>
      </w:r>
      <w:r w:rsidR="00D979D2" w:rsidRPr="00414241">
        <w:t>tart to consider what is actually happening in the classroom; who is using the ICT and how it is being used?</w:t>
      </w:r>
      <w:r w:rsidR="00292E3B" w:rsidRPr="00414241">
        <w:t xml:space="preserve"> ‘Using ICT to enhance learning’’ part of the Pedagogy and Practice series describes ICT capability as ‘…having the technical and cognitive proficiency to access appropriately, to use, develop, create and communicate information using technological tools’. </w:t>
      </w:r>
      <w:r w:rsidR="00B13174" w:rsidRPr="00414241">
        <w:t>T</w:t>
      </w:r>
      <w:r w:rsidR="00737AC1" w:rsidRPr="00414241">
        <w:t xml:space="preserve">he expectation is that </w:t>
      </w:r>
      <w:r w:rsidR="00B13174" w:rsidRPr="00414241">
        <w:t>learners should be able to show capability by applying technology to solve problems, analyse, exchange information develop ideas create models and control devices (Df</w:t>
      </w:r>
      <w:r w:rsidR="00737AC1" w:rsidRPr="00414241">
        <w:t>ES</w:t>
      </w:r>
      <w:r w:rsidR="00B13174" w:rsidRPr="00414241">
        <w:t>, 2004). Thus pupils are expected to display ICT capability across the curriculum, assuming that the subject teachers have the capability to support this. The relationship between ‘ICT- the subject’ and ‘ICT in subjects’ should be viewed as interactive and mutually supportive.</w:t>
      </w:r>
      <w:r w:rsidR="00D979D2" w:rsidRPr="00414241">
        <w:t xml:space="preserve"> There are implications for subject teachers who will need a good understanding of how to use ICT themselves in order to realise the potential of the pupils.  </w:t>
      </w:r>
      <w:r w:rsidR="00B13174" w:rsidRPr="00414241">
        <w:t xml:space="preserve"> </w:t>
      </w:r>
    </w:p>
    <w:p w:rsidR="00734228" w:rsidRPr="00414241" w:rsidRDefault="00734228" w:rsidP="00E20C91">
      <w:r w:rsidRPr="00414241">
        <w:t xml:space="preserve">The nature of the task must also be considered. While we aim for a constructivist learning environment, often a behaviourist approach is used to deliver ICT. Behaviourists claim that learning changes behaviour when the learners respond to teaching by exhibiting similar responses to the same, or similar, teaching stimuli. Thus the teacher often directs the learning step by step, prompting pupils with praise when they have completed the task effectively or focusing on the requirement to follow the instructions exactly. There is a challenge here for all teachers as to what type of engagement is being sought- cognitive or behavioural?  </w:t>
      </w:r>
    </w:p>
    <w:p w:rsidR="00B82FC9" w:rsidRPr="00414241" w:rsidRDefault="00B82FC9" w:rsidP="00E20C91">
      <w:r w:rsidRPr="00414241">
        <w:lastRenderedPageBreak/>
        <w:t xml:space="preserve">There has been considerable effort made to understand how ICT is being used in classrooms and numerous models have been developed in an attempt to describe the interplay between teacher, pupil and ICT. The role of the teacher as </w:t>
      </w:r>
      <w:r w:rsidR="00737AC1" w:rsidRPr="00414241">
        <w:t>‘</w:t>
      </w:r>
      <w:r w:rsidRPr="00414241">
        <w:t xml:space="preserve">task designer’ has been investigated by Yoon et al, </w:t>
      </w:r>
      <w:r w:rsidR="00BC0B05" w:rsidRPr="00414241">
        <w:t>(</w:t>
      </w:r>
      <w:r w:rsidRPr="00414241">
        <w:t>2005). To design tasks well</w:t>
      </w:r>
      <w:r w:rsidR="008C3698" w:rsidRPr="00414241">
        <w:t xml:space="preserve">, teachers must plan for multiple outcomes, strategies and perspectives. Teachers are </w:t>
      </w:r>
      <w:r w:rsidR="00636664">
        <w:t xml:space="preserve">often seen as </w:t>
      </w:r>
      <w:r w:rsidR="008C3698" w:rsidRPr="00414241">
        <w:t>mov</w:t>
      </w:r>
      <w:r w:rsidR="00636664">
        <w:t xml:space="preserve">ing </w:t>
      </w:r>
      <w:r w:rsidR="008C3698" w:rsidRPr="00414241">
        <w:t xml:space="preserve"> through stages as their traditional beliefs about education and classroom practices are replaced by those that exploit a technology rich environment (Sandholtz et al, 1977)</w:t>
      </w:r>
      <w:r w:rsidR="00636664">
        <w:t>:</w:t>
      </w:r>
    </w:p>
    <w:p w:rsidR="008C3698" w:rsidRPr="00414241" w:rsidRDefault="00636664" w:rsidP="00636664">
      <w:pPr>
        <w:pStyle w:val="abullet"/>
      </w:pPr>
      <w:r>
        <w:t>a</w:t>
      </w:r>
      <w:r w:rsidR="008C3698" w:rsidRPr="00414241">
        <w:t>t the entry level, teachers frequently found that they were unable to anticipate problems in their classrooms</w:t>
      </w:r>
    </w:p>
    <w:p w:rsidR="008C3698" w:rsidRPr="00414241" w:rsidRDefault="008C3698" w:rsidP="00636664">
      <w:pPr>
        <w:pStyle w:val="abullet"/>
      </w:pPr>
      <w:r w:rsidRPr="00414241">
        <w:t>at the adoption level, teachers delivered teacher-centred lessons but also began to anticipate problems and develop strategies for solving them;</w:t>
      </w:r>
    </w:p>
    <w:p w:rsidR="008C3698" w:rsidRPr="00414241" w:rsidRDefault="008C3698" w:rsidP="00636664">
      <w:pPr>
        <w:pStyle w:val="abullet"/>
      </w:pPr>
      <w:r w:rsidRPr="00414241">
        <w:t>at the level of adaptation, teachers started using technology to their advantage and began to embrace pupil-centred orientations;</w:t>
      </w:r>
    </w:p>
    <w:p w:rsidR="008C3698" w:rsidRPr="00414241" w:rsidRDefault="008C3698" w:rsidP="00636664">
      <w:pPr>
        <w:pStyle w:val="abullet"/>
      </w:pPr>
      <w:r w:rsidRPr="00414241">
        <w:t>at the expert level of appropriation, teacher’s personal attitudes to technology changed to confident, expert and willing learner;</w:t>
      </w:r>
    </w:p>
    <w:p w:rsidR="008C3698" w:rsidRPr="00414241" w:rsidRDefault="008C3698" w:rsidP="00636664">
      <w:pPr>
        <w:pStyle w:val="abullet"/>
      </w:pPr>
      <w:r w:rsidRPr="00414241">
        <w:t>finally, with invention, teachers were disposed to view learning as an active, creative and social process.</w:t>
      </w:r>
    </w:p>
    <w:p w:rsidR="008C3698" w:rsidRPr="00414241" w:rsidRDefault="008C3698" w:rsidP="00E20C91">
      <w:r w:rsidRPr="00414241">
        <w:t xml:space="preserve">These steps are important as they not only make the assumption that a teacher can </w:t>
      </w:r>
      <w:r w:rsidR="00636664">
        <w:t xml:space="preserve">develop </w:t>
      </w:r>
      <w:r w:rsidRPr="00414241">
        <w:t xml:space="preserve">their use of technology, they also give a framework </w:t>
      </w:r>
      <w:r w:rsidR="00636664">
        <w:t>for</w:t>
      </w:r>
      <w:r w:rsidRPr="00414241">
        <w:t xml:space="preserve"> progression to be shown.</w:t>
      </w:r>
      <w:r w:rsidR="00636664">
        <w:t xml:space="preserve"> However, the model has been criticised over the years as too schematic and mechanistic.</w:t>
      </w:r>
    </w:p>
    <w:p w:rsidR="00921124" w:rsidRPr="00414241" w:rsidRDefault="00921124" w:rsidP="00E20C91">
      <w:r w:rsidRPr="00414241">
        <w:t>Consider the relationship between the teacher, pupil and task further. The tripartite model has been proposed as a way to deconstruct and further understand lessons using technology. For an engaging lesson, the teacher would have to design the learning task with the pupil’s ability in mind, chosen appropriately the IT tool (and its affordances) to support the learning outcomes and provided adequate teacher support in terms of modelling/scaffolding of key processes and allocation of sufficient time</w:t>
      </w:r>
      <w:r w:rsidR="00B804B5" w:rsidRPr="00414241">
        <w:t xml:space="preserve">. </w:t>
      </w:r>
      <w:r w:rsidR="00E82195" w:rsidRPr="00414241">
        <w:t>Teachers who are less successful focus on one or two of the three elements</w:t>
      </w:r>
      <w:r w:rsidR="00B804B5" w:rsidRPr="00414241">
        <w:t>. Yoon et al (2005) broke down a number of lessons using the tripartite model to give a detailed overview of successful use of ICT.</w:t>
      </w:r>
    </w:p>
    <w:p w:rsidR="00EE5770" w:rsidRPr="00414241" w:rsidRDefault="00EE5770" w:rsidP="00E20C91">
      <w:r w:rsidRPr="00414241">
        <w:t xml:space="preserve">Zhao and Cziko (2001) also consider the interplay between the teacher, pupil and task suggesting that the notion of control in the classroom is central to the successful integration of ICT. The ‘ceding of expertise’ was highlighted by John and La Velle (2004) as a significant factor in limiting the formal and informal uses of ICT in subject teaching. This is perhaos a crucial step in the transition to classrooms where ICT is being used fully to engage pupils. We know that engagement involves self-directed learning with the pupils taking some control. Thus teachers need to be </w:t>
      </w:r>
      <w:r w:rsidRPr="00414241">
        <w:lastRenderedPageBreak/>
        <w:t>prepared to do this with ICT rather than revert to didactic methods. The confidence to achieve this state can o</w:t>
      </w:r>
      <w:r w:rsidR="00B217E7" w:rsidRPr="00414241">
        <w:t>n</w:t>
      </w:r>
      <w:r w:rsidRPr="00414241">
        <w:t xml:space="preserve">ly come from </w:t>
      </w:r>
      <w:r w:rsidR="00B217E7" w:rsidRPr="00414241">
        <w:t>increased support for teachers across the curriculum.</w:t>
      </w:r>
    </w:p>
    <w:p w:rsidR="00096E1B" w:rsidRPr="00414241" w:rsidRDefault="00096E1B" w:rsidP="00636664">
      <w:pPr>
        <w:pStyle w:val="Heading3"/>
      </w:pPr>
      <w:r w:rsidRPr="00414241">
        <w:t>ICT and engagement</w:t>
      </w:r>
    </w:p>
    <w:p w:rsidR="00096E1B" w:rsidRPr="00414241" w:rsidRDefault="00096E1B" w:rsidP="00E20C91">
      <w:r w:rsidRPr="00414241">
        <w:t xml:space="preserve">Engagement / motivation has always lain at the heart of the rationale for using ICT. The Harnessing Technology strategy (DCFS 2005) refers repeatedly to engagement through ICT.  Engagement also appeared as a key outcome within the recent Becta supported Test Bed project. Here ICT was seen as offering incentives for engaging learners: for example, through feedback and self-evaluation; interactivity, multi-sensory and presentational features.  It was suggested that ICT positively impacts on the engagement / motivation of learners and this was key rationale for using ICT (Becta 2007). Meanwhile, an earlier report for the DfES by Passey et al (2003) reported that ICT had a positive motivational effect on pupils through visual, kinaesthetic and auditory means. It was also noted that ICT can be used to support the engagement of disaffected pupils by creating more positive behavioural environments. However, ICT needed to impact on specific learning processes, rather than just addressing issues relating to engagement and presentation of work. </w:t>
      </w:r>
    </w:p>
    <w:p w:rsidR="00096E1B" w:rsidRPr="00414241" w:rsidRDefault="00096E1B" w:rsidP="00E20C91">
      <w:r w:rsidRPr="00414241">
        <w:t>Morgan and Kennewell (2005) make a connection between the role of play and engagement through ICT: they find that play is less threatening tha</w:t>
      </w:r>
      <w:r w:rsidR="002940EC">
        <w:t>n</w:t>
      </w:r>
      <w:r w:rsidRPr="00414241">
        <w:t xml:space="preserve"> work, resulting in pupil participation and engagement; and secondly, play through ICT increases pupil self-efficacy because pupils feel successful. This to some extent supports findings by Smith et al (2005) that pupils</w:t>
      </w:r>
      <w:r w:rsidRPr="00414241">
        <w:rPr>
          <w:i/>
        </w:rPr>
        <w:t xml:space="preserve"> </w:t>
      </w:r>
      <w:r w:rsidRPr="00414241">
        <w:rPr>
          <w:rStyle w:val="Emphasis"/>
          <w:rFonts w:ascii="Arial" w:hAnsi="Arial"/>
          <w:i w:val="0"/>
        </w:rPr>
        <w:t>prefer activities that are fun, collaborative, informal and active</w:t>
      </w:r>
      <w:r w:rsidR="002940EC">
        <w:rPr>
          <w:rStyle w:val="Emphasis"/>
          <w:rFonts w:ascii="Arial" w:hAnsi="Arial"/>
          <w:i w:val="0"/>
        </w:rPr>
        <w:t xml:space="preserve">, </w:t>
      </w:r>
      <w:r w:rsidRPr="00414241">
        <w:rPr>
          <w:rStyle w:val="Emphasis"/>
          <w:rFonts w:ascii="Arial" w:hAnsi="Arial"/>
          <w:i w:val="0"/>
        </w:rPr>
        <w:t xml:space="preserve"> </w:t>
      </w:r>
      <w:r w:rsidR="002940EC">
        <w:rPr>
          <w:rStyle w:val="Emphasis"/>
          <w:rFonts w:ascii="Arial" w:hAnsi="Arial"/>
          <w:i w:val="0"/>
        </w:rPr>
        <w:t>t</w:t>
      </w:r>
      <w:r w:rsidRPr="00414241">
        <w:rPr>
          <w:rStyle w:val="Emphasis"/>
          <w:rFonts w:ascii="Arial" w:hAnsi="Arial"/>
          <w:i w:val="0"/>
        </w:rPr>
        <w:t>hough</w:t>
      </w:r>
      <w:r w:rsidR="002940EC">
        <w:rPr>
          <w:rStyle w:val="Emphasis"/>
          <w:rFonts w:ascii="Arial" w:hAnsi="Arial"/>
          <w:i w:val="0"/>
        </w:rPr>
        <w:t>, of course, these findings are</w:t>
      </w:r>
      <w:r w:rsidRPr="00414241">
        <w:rPr>
          <w:rStyle w:val="Emphasis"/>
          <w:rFonts w:ascii="Arial" w:hAnsi="Arial"/>
          <w:i w:val="0"/>
        </w:rPr>
        <w:t xml:space="preserve"> part of a much wider picture.</w:t>
      </w:r>
      <w:r w:rsidRPr="00414241">
        <w:rPr>
          <w:rStyle w:val="Emphasis"/>
          <w:rFonts w:ascii="Arial" w:hAnsi="Arial"/>
        </w:rPr>
        <w:t xml:space="preserve"> </w:t>
      </w:r>
      <w:r w:rsidRPr="00414241">
        <w:rPr>
          <w:rStyle w:val="Emphasis"/>
          <w:rFonts w:ascii="Arial" w:hAnsi="Arial"/>
          <w:i w:val="0"/>
        </w:rPr>
        <w:t>Engagement with ICT is often associated with g</w:t>
      </w:r>
      <w:r w:rsidRPr="00414241">
        <w:t xml:space="preserve">ender factors, for example there is a much reported trend that boys tend to underperform compared with girls academically, but that boys are often very engaged with ICT from an early age in the home (Woodfield 2000). Finally, ICT is seen as a powerful tool for engaging ‘hard to reach’ learners (DCFS 2005). </w:t>
      </w:r>
    </w:p>
    <w:p w:rsidR="00B804B5" w:rsidRPr="00414241" w:rsidRDefault="00B804B5" w:rsidP="00636664">
      <w:pPr>
        <w:pStyle w:val="Heading3"/>
      </w:pPr>
      <w:r w:rsidRPr="00414241">
        <w:t>ICT and subject areas</w:t>
      </w:r>
    </w:p>
    <w:p w:rsidR="00B804B5" w:rsidRPr="00414241" w:rsidRDefault="00B804B5" w:rsidP="00E20C91">
      <w:r w:rsidRPr="00414241">
        <w:t>Difficulties have arisen with the integration of ICT into subject areas. Olson (2000) asks the perhaps reasonable question</w:t>
      </w:r>
      <w:r w:rsidR="002940EC">
        <w:t xml:space="preserve"> </w:t>
      </w:r>
      <w:r w:rsidRPr="00414241">
        <w:t>- why should teachers abandon the safety and comfort of recognised subject pedagogy for the uncertainties and complexities that surround the use of ICT. The actual picture is less likely to be one of such resistance. Most subject teachers often incorporate ICT according to competence, subject tradition resources and support. John (2005) discusses the complexity of how subject teachers develop a sense of their subject, using the term ‘subject loyalty’.</w:t>
      </w:r>
      <w:r w:rsidR="00E62CA5" w:rsidRPr="00414241">
        <w:t xml:space="preserve"> The onset of technology has been so rapid that it seems its pedagogical purpose is unclear. </w:t>
      </w:r>
    </w:p>
    <w:p w:rsidR="00E62CA5" w:rsidRPr="00414241" w:rsidRDefault="00E62CA5" w:rsidP="00E20C91">
      <w:r w:rsidRPr="00414241">
        <w:lastRenderedPageBreak/>
        <w:t>The literature suggests that there are differences between subject areas with respect to the use of ICT. The general notion is that humanities based subjects show high resis</w:t>
      </w:r>
      <w:r w:rsidR="00311753">
        <w:t>tance to ICT</w:t>
      </w:r>
      <w:r w:rsidRPr="00414241">
        <w:t xml:space="preserve"> compared to empirical disciplines such as science and maths which have a greater affinity for technology (John and La Velle, 2004)</w:t>
      </w:r>
    </w:p>
    <w:p w:rsidR="00686FAA" w:rsidRPr="00414241" w:rsidRDefault="00686FAA" w:rsidP="00636664">
      <w:pPr>
        <w:pStyle w:val="Heading3"/>
      </w:pPr>
      <w:r w:rsidRPr="00414241">
        <w:t>Specific uses of ICT</w:t>
      </w:r>
    </w:p>
    <w:p w:rsidR="00835011" w:rsidRPr="00414241" w:rsidRDefault="00686FAA" w:rsidP="00E20C91">
      <w:r w:rsidRPr="00414241">
        <w:t>Interactive whiteboards have become increasingly prevalent in recent years. These are used for a range of tasks</w:t>
      </w:r>
      <w:r w:rsidR="00BC0B05" w:rsidRPr="00414241">
        <w:t>. P</w:t>
      </w:r>
      <w:r w:rsidRPr="00414241">
        <w:t>erceived benefits include more purp</w:t>
      </w:r>
      <w:r w:rsidR="004C3BBB" w:rsidRPr="00414241">
        <w:t>oseful interaction and participation in classrooms, increased efficiency and improved presentation through the use of multimedia and multimodal affordances (Smith et al., 2005). However, there has also been a reported increase in the use of traditional didactic methods. As we move away from teacher-led to pupil-led classrooms, this could be perceived as a problem. However, John suggests this may be more indicative of the ways in which the affordances and constraints of technology are evolving.</w:t>
      </w:r>
    </w:p>
    <w:p w:rsidR="00B217E7" w:rsidRPr="00414241" w:rsidRDefault="00835011" w:rsidP="00E20C91">
      <w:r w:rsidRPr="00414241">
        <w:t>The nature of the ICT resource is clea</w:t>
      </w:r>
      <w:r w:rsidR="00311753">
        <w:t>rly significant. Christensen et al. (2006) have explored</w:t>
      </w:r>
      <w:r w:rsidRPr="00414241">
        <w:t xml:space="preserve"> the idea of type A and type B resources. Type A enhances the learning in ways that would not be otherwise possible, whereas type B is more of a novel application with less relation to the learning activity. Type A </w:t>
      </w:r>
      <w:r w:rsidR="00CB32A4">
        <w:t xml:space="preserve">use has </w:t>
      </w:r>
      <w:r w:rsidRPr="00414241">
        <w:t>been found to be more successful to date as there is a more obvious link to the learning outcome of the lesson, making for a more transparent situation for everyone.</w:t>
      </w:r>
    </w:p>
    <w:p w:rsidR="00686FAA" w:rsidRPr="00414241" w:rsidRDefault="00B217E7" w:rsidP="00E20C91">
      <w:r w:rsidRPr="00414241">
        <w:t xml:space="preserve">The use of ICT for simulations is especially popular within science. However, the similarity of some simulations to commercial gaming systems is causing tension (John, 2005). While familiarity generates excitement and enthusiasm, there may also be confusion and a lack of reflection which is essential for some activities.  </w:t>
      </w:r>
      <w:r w:rsidR="004C3BBB" w:rsidRPr="00414241">
        <w:t xml:space="preserve"> </w:t>
      </w:r>
      <w:r w:rsidR="00A511F3" w:rsidRPr="00414241">
        <w:t>The potential for educational games has unsurprisingly generated considerable interest. The trend towards the use of games and simulations for teaching has important implications for understanding how formal and informal learning can support one another in order to accelerate learning, support higher order cognitive skills and strengthen motivation in skills-bas</w:t>
      </w:r>
      <w:r w:rsidR="00EA265C" w:rsidRPr="00414241">
        <w:t xml:space="preserve">ed learning (de Freitas, 2004). The use of games and simulation-based learning is sure to increase thus it is important that some frameworks for the evaluation of these is available. This has opened up some interesting discussions about the nature of </w:t>
      </w:r>
      <w:r w:rsidR="006C2D1F" w:rsidRPr="00414241">
        <w:t xml:space="preserve">the material included in these and the educational benefit. With particular relevance to the changes in the curriculum are the assumptions that the skills that educational games can be transferred. Learning to learn and experiential learning </w:t>
      </w:r>
      <w:r w:rsidR="00AB127F" w:rsidRPr="00414241">
        <w:t xml:space="preserve">are seen as being crucial for the changes to the curriculum and the expectations from learners. </w:t>
      </w:r>
      <w:r w:rsidR="006C2D1F" w:rsidRPr="00414241">
        <w:t xml:space="preserve"> </w:t>
      </w:r>
    </w:p>
    <w:p w:rsidR="00CC0151" w:rsidRPr="00414241" w:rsidRDefault="00CC0151" w:rsidP="00636664">
      <w:pPr>
        <w:pStyle w:val="Heading3"/>
      </w:pPr>
      <w:r w:rsidRPr="00414241">
        <w:t>ICT and trainee teachers</w:t>
      </w:r>
    </w:p>
    <w:p w:rsidR="007D7A4E" w:rsidRPr="00414241" w:rsidRDefault="002940EC" w:rsidP="00E20C91">
      <w:r>
        <w:t xml:space="preserve">New teachers have to meet </w:t>
      </w:r>
      <w:r w:rsidR="004F4055" w:rsidRPr="00414241">
        <w:t xml:space="preserve">specific </w:t>
      </w:r>
      <w:r>
        <w:t>‘</w:t>
      </w:r>
      <w:r w:rsidR="004F4055" w:rsidRPr="00414241">
        <w:t>standards</w:t>
      </w:r>
      <w:r>
        <w:t xml:space="preserve">’ related to their use of ICT. </w:t>
      </w:r>
      <w:r w:rsidR="004F4055" w:rsidRPr="00414241">
        <w:t xml:space="preserve">  However, recent data shows this remains a problematic aspect of teacher education (Haydn and </w:t>
      </w:r>
      <w:r w:rsidR="004F4055" w:rsidRPr="00414241">
        <w:lastRenderedPageBreak/>
        <w:t>Barton, 2007). Annual surveys by the Teacher Training Agency (</w:t>
      </w:r>
      <w:smartTag w:uri="urn:schemas-microsoft-com:office:smarttags" w:element="stockticker">
        <w:r w:rsidR="004F4055" w:rsidRPr="00414241">
          <w:t>TTA</w:t>
        </w:r>
      </w:smartTag>
      <w:r w:rsidR="004F4055" w:rsidRPr="00414241">
        <w:t xml:space="preserve"> 2004, 2005) reveal that newly qualified teachers regarded the ICT components of their course as one of the weakest and least effective parts of their training. </w:t>
      </w:r>
      <w:r w:rsidR="007D7A4E" w:rsidRPr="00414241">
        <w:t xml:space="preserve">There is also the added factor that ICT is used for subject specific purposes as well as subject teacher’s perception of the role of ICT in their subject area. Veen (1993) suggested that the willingness of teachers in schools to adopt new technology was influenced by their beliefs about the nature of their subject discipline, however there has been limited focus on the subject discipline dimensions of the use </w:t>
      </w:r>
      <w:r w:rsidR="00E90400" w:rsidRPr="00414241">
        <w:t>of new technology in schools. The experience of trainee teachers with regard to ICT was investigated by Haydn and Barton (2007) who found consistent differences between the trainees from different subject areas in their use of ICT. Science trainees focused on data logging and simulations compared to history trainees who were less interested in subject-specific software and more concerned with the capability to integrate sounds, pictures and moving images or explore historical archives using the internet. However, there was a consistent mention of the need for good role models for the use of ICT</w:t>
      </w:r>
      <w:r w:rsidR="00176B1A" w:rsidRPr="00414241">
        <w:t>,</w:t>
      </w:r>
      <w:r w:rsidR="00E90400" w:rsidRPr="00414241">
        <w:t xml:space="preserve"> be this the mentors in school or the tutors from university. </w:t>
      </w:r>
      <w:r w:rsidR="001B6675" w:rsidRPr="00414241">
        <w:t>Access to a plethora of useful internet sites and software without a ‘human’ element was not enough.</w:t>
      </w:r>
    </w:p>
    <w:p w:rsidR="00B34804" w:rsidRPr="00414241" w:rsidRDefault="001B6675" w:rsidP="00E20C91">
      <w:r w:rsidRPr="00414241">
        <w:t xml:space="preserve">How ICT is used in the classroom is of interest to both trainee and practicing teachers. Numerous reports have recounted the failure of technology to bring changes to our educational system, because </w:t>
      </w:r>
      <w:r w:rsidR="00255291">
        <w:t>‘</w:t>
      </w:r>
      <w:r w:rsidRPr="00414241">
        <w:t>teachers’ use of technology often forces it into traditional teaching paradigms that have existed for decades</w:t>
      </w:r>
      <w:r w:rsidR="00255291">
        <w:t>’</w:t>
      </w:r>
      <w:r w:rsidRPr="00414241">
        <w:t xml:space="preserve"> (Spague, 1995, p352). For technology to bring </w:t>
      </w:r>
      <w:r w:rsidR="002940EC">
        <w:t xml:space="preserve">about </w:t>
      </w:r>
      <w:r w:rsidRPr="00414241">
        <w:t xml:space="preserve">the transformation of teaching and learning that is expected by many, it is possible that the role of the teacher will </w:t>
      </w:r>
      <w:r w:rsidR="00E20C91">
        <w:t xml:space="preserve">need to </w:t>
      </w:r>
      <w:r w:rsidRPr="00414241">
        <w:t>be redefined. The shift is daunting for experienced teachers, as Preskill (1988) note</w:t>
      </w:r>
      <w:r w:rsidR="00E20C91">
        <w:t>d a considerable time ago</w:t>
      </w:r>
      <w:r w:rsidRPr="00414241">
        <w:t xml:space="preserve"> </w:t>
      </w:r>
      <w:r w:rsidR="00255291">
        <w:t>‘</w:t>
      </w:r>
      <w:r w:rsidR="00E20C91">
        <w:t>i</w:t>
      </w:r>
      <w:r w:rsidR="002034CA" w:rsidRPr="00414241">
        <w:t>n large part, teachers’ uncertainty is based on a lack of knowledge, but more significantly on the fact that using computers will require some changes to the ways in which they have been teaching</w:t>
      </w:r>
      <w:r w:rsidR="00255291">
        <w:t>’</w:t>
      </w:r>
      <w:r w:rsidR="002034CA" w:rsidRPr="00414241">
        <w:t>. Clearly, this has implications for teacher education and the support that trainee teachers are given in a changing landscape. That trainee teachers are unclear as to the role of ICT in the classroom</w:t>
      </w:r>
      <w:r w:rsidR="00462B26" w:rsidRPr="00414241">
        <w:t xml:space="preserve"> was highlighted by Wang (2002) who found no significant difference between trainee teachers’ perceptions of teacher-centred or pupil centred role in classrooms with computers. The authors suggested that this may be due to insecurity as to their role and were unable to relate the changes in the classroom to their own school experiences. Niederhauser et al (1999) support this noting </w:t>
      </w:r>
      <w:r w:rsidR="00255291">
        <w:t>‘</w:t>
      </w:r>
      <w:r w:rsidR="00462B26" w:rsidRPr="00414241">
        <w:t xml:space="preserve">Trainee teachers’ instructional beliefs are often firmly entrenched and resistant to change because of their experiences as students </w:t>
      </w:r>
      <w:r w:rsidR="00176B1A" w:rsidRPr="00414241">
        <w:t>in traditional classrooms</w:t>
      </w:r>
      <w:r w:rsidR="00255291">
        <w:t>’</w:t>
      </w:r>
      <w:r w:rsidR="00176B1A" w:rsidRPr="00414241">
        <w:t>.</w:t>
      </w:r>
    </w:p>
    <w:p w:rsidR="00F42621" w:rsidRPr="00414241" w:rsidRDefault="00B34804" w:rsidP="00E20C91">
      <w:r w:rsidRPr="00414241">
        <w:t xml:space="preserve">There is potential for the use of ICT to address the issues mentioned above, whilst modelling good teaching, within teacher training courses. Hoban (2003) describes his work with trainee teachers using a web site as a forum for </w:t>
      </w:r>
      <w:r w:rsidR="00F42621" w:rsidRPr="00414241">
        <w:t xml:space="preserve">reflection with his trainees. Hoban used the forum as place where he could work with the trainees and they could become joint inquirers about classroom interactions. Understanding that the trainees </w:t>
      </w:r>
      <w:r w:rsidR="00F42621" w:rsidRPr="00414241">
        <w:lastRenderedPageBreak/>
        <w:t>all had different needs and that they would all have different experiences in school placements, he developed a system based on reflective practice. The trainee teachers initially considered their university session in the following ways</w:t>
      </w:r>
    </w:p>
    <w:p w:rsidR="00F42621" w:rsidRPr="00414241" w:rsidRDefault="00F42621" w:rsidP="00636664">
      <w:pPr>
        <w:pStyle w:val="abullet"/>
      </w:pPr>
      <w:r w:rsidRPr="00414241">
        <w:t>personal factors- prior knowledge, feelings, self-esteem and motivation</w:t>
      </w:r>
    </w:p>
    <w:p w:rsidR="00176B1A" w:rsidRPr="00414241" w:rsidRDefault="00F42621" w:rsidP="00636664">
      <w:pPr>
        <w:pStyle w:val="abullet"/>
      </w:pPr>
      <w:r w:rsidRPr="00414241">
        <w:t>teaching factors- attributed to the instructor/lecturer/tutor such as teaching strategies, class organisation, rapport</w:t>
      </w:r>
    </w:p>
    <w:p w:rsidR="00F42621" w:rsidRPr="00414241" w:rsidRDefault="00636664" w:rsidP="00636664">
      <w:pPr>
        <w:pStyle w:val="abullet"/>
      </w:pPr>
      <w:r>
        <w:t>p</w:t>
      </w:r>
      <w:r w:rsidR="00F42621" w:rsidRPr="00414241">
        <w:t>eer factors- encouragement, sharing cooperation</w:t>
      </w:r>
    </w:p>
    <w:p w:rsidR="00F42621" w:rsidRPr="00414241" w:rsidRDefault="00E20C91" w:rsidP="00636664">
      <w:pPr>
        <w:pStyle w:val="abullet"/>
      </w:pPr>
      <w:r>
        <w:t>c</w:t>
      </w:r>
      <w:r w:rsidR="00F42621" w:rsidRPr="00414241">
        <w:t>ontextual- factors attributed to the task, setting and environment</w:t>
      </w:r>
    </w:p>
    <w:p w:rsidR="00F42621" w:rsidRPr="00414241" w:rsidRDefault="00F42621" w:rsidP="00E20C91">
      <w:r w:rsidRPr="00414241">
        <w:t>Trainees logged factors which enhanced or inhibited their learning according to these fo</w:t>
      </w:r>
      <w:r w:rsidR="00E20C91">
        <w:t>u</w:t>
      </w:r>
      <w:r w:rsidRPr="00414241">
        <w:t xml:space="preserve">r categories, </w:t>
      </w:r>
      <w:r w:rsidR="00E20C91">
        <w:t xml:space="preserve">and could later be </w:t>
      </w:r>
      <w:r w:rsidRPr="00414241">
        <w:t>supported through a detailed understanding of their own learning experience. Each trainee built up a learning profile which they c</w:t>
      </w:r>
      <w:r w:rsidR="00292E3B" w:rsidRPr="00414241">
        <w:t>ould share with other trainees. Clearly, this is useful for the lecturer who gains information and an understanding of his trainees, however it also gives trainees an appreciation of the process of learning and that this is different for each pupil.</w:t>
      </w:r>
      <w:r w:rsidRPr="00414241">
        <w:t xml:space="preserve"> </w:t>
      </w:r>
    </w:p>
    <w:p w:rsidR="003D4465" w:rsidRPr="00414241" w:rsidRDefault="00303CBE" w:rsidP="00E20C91">
      <w:r w:rsidRPr="00414241">
        <w:t>The difference between pupil</w:t>
      </w:r>
      <w:r w:rsidR="00176B1A" w:rsidRPr="00414241">
        <w:t>-centred and teacher-focused conceptions has been of interest for some time (McKenzie, 2002). Findings indicate that more mature conceptions about teaching are student focused and less mature are teacher focused.</w:t>
      </w:r>
      <w:r w:rsidRPr="00414241">
        <w:t xml:space="preserve"> </w:t>
      </w:r>
      <w:r w:rsidR="00462B26" w:rsidRPr="00414241">
        <w:t xml:space="preserve"> </w:t>
      </w:r>
      <w:r w:rsidRPr="00414241">
        <w:t>The deconstruction of teachers</w:t>
      </w:r>
      <w:r w:rsidR="00BC0B05" w:rsidRPr="00414241">
        <w:t>’</w:t>
      </w:r>
      <w:r w:rsidRPr="00414241">
        <w:t xml:space="preserve"> perceptions of teaching and learning has been carried out to some extent in subject areas (Levenson, 2004, Booth and Ingerman, 2002)</w:t>
      </w:r>
      <w:r w:rsidR="00E20C91">
        <w:t xml:space="preserve">, but less </w:t>
      </w:r>
      <w:r w:rsidRPr="00414241">
        <w:t xml:space="preserve">work </w:t>
      </w:r>
      <w:r w:rsidR="00737AC1" w:rsidRPr="00414241">
        <w:t>h</w:t>
      </w:r>
      <w:r w:rsidRPr="00414241">
        <w:t xml:space="preserve">as been done in </w:t>
      </w:r>
      <w:r w:rsidRPr="00CB32A4">
        <w:t>the IT domain</w:t>
      </w:r>
      <w:r w:rsidR="00E20C91">
        <w:t xml:space="preserve">. However, </w:t>
      </w:r>
      <w:r w:rsidR="00CB32A4">
        <w:t xml:space="preserve">in one study </w:t>
      </w:r>
      <w:r w:rsidRPr="00CB32A4">
        <w:t>(Carbone et, 2007)</w:t>
      </w:r>
      <w:r w:rsidR="00737AC1" w:rsidRPr="00CB32A4">
        <w:t xml:space="preserve"> IT</w:t>
      </w:r>
      <w:r w:rsidR="00380860" w:rsidRPr="00CB32A4">
        <w:t xml:space="preserve"> lecturers</w:t>
      </w:r>
      <w:r w:rsidR="00BC0B05" w:rsidRPr="00CB32A4">
        <w:t xml:space="preserve"> were </w:t>
      </w:r>
      <w:r w:rsidR="00737AC1" w:rsidRPr="00CB32A4">
        <w:t>asked what</w:t>
      </w:r>
      <w:r w:rsidR="00380860" w:rsidRPr="00CB32A4">
        <w:t xml:space="preserve"> they felt successful and unsuccessful teaching was. Though their own feeling</w:t>
      </w:r>
      <w:r w:rsidR="00380860" w:rsidRPr="00414241">
        <w:t xml:space="preserve"> and personal satisfaction were mentioned,</w:t>
      </w:r>
      <w:r w:rsidR="003D4465" w:rsidRPr="00414241">
        <w:t xml:space="preserve"> the active engagement of the student was perceived as a form of success</w:t>
      </w:r>
      <w:r w:rsidR="00E20C91">
        <w:t>. S</w:t>
      </w:r>
      <w:r w:rsidR="003D4465" w:rsidRPr="00414241">
        <w:t>uccessful teaching</w:t>
      </w:r>
      <w:r w:rsidR="00E20C91">
        <w:t xml:space="preserve"> was</w:t>
      </w:r>
      <w:r w:rsidR="00380860" w:rsidRPr="00414241">
        <w:t xml:space="preserve"> conceptualized as ‘enabling students to understand and synthesize materials so as to form their own opinions, make new connections and apply their learning to new situations’. Importantly, this work highlighted that student engagement, synthesis and extrapolation of knowledge did not stand alone, it started with the effective delivery of materials.</w:t>
      </w:r>
    </w:p>
    <w:p w:rsidR="00921124" w:rsidRPr="00414241" w:rsidRDefault="00921124" w:rsidP="00E20C91">
      <w:r w:rsidRPr="00414241">
        <w:t>Some effort has been made to focus on how pupils might be engaged using ICT. Indicators such as pupil participation and interest levels have been used to measure the extent of engagement. Yoon et al (2005) also felt that it was important that the classroom teachers</w:t>
      </w:r>
      <w:r w:rsidR="00E20C91">
        <w:t>,</w:t>
      </w:r>
      <w:r w:rsidRPr="00414241">
        <w:t xml:space="preserve"> who knew the pupils</w:t>
      </w:r>
      <w:r w:rsidR="00E20C91">
        <w:t xml:space="preserve">, </w:t>
      </w:r>
      <w:r w:rsidRPr="00414241">
        <w:t xml:space="preserve"> made these judgements rather than an </w:t>
      </w:r>
      <w:r w:rsidR="00E20C91">
        <w:t xml:space="preserve">outside </w:t>
      </w:r>
      <w:r w:rsidRPr="00414241">
        <w:t xml:space="preserve">observer. </w:t>
      </w:r>
    </w:p>
    <w:p w:rsidR="00E20C91" w:rsidRDefault="003D4465" w:rsidP="00E20C91">
      <w:r w:rsidRPr="00414241">
        <w:t xml:space="preserve">So, what might dis-engaged pupils look like in a classroom where ICT is being used? Carbone et al (2007) focused on the lack of behavioural and emotional engagement by students. A lack of behavioural engagement was identified as not asking questions, not trying, not preparing, and a lack of activity or interaction. Issues with group </w:t>
      </w:r>
      <w:r w:rsidRPr="00414241">
        <w:lastRenderedPageBreak/>
        <w:t>dynamics and over-dependency of some on other group members were also mentioned. The teachers felt that emotional disengagement occurred when the students appeared to be bored,</w:t>
      </w:r>
      <w:r w:rsidR="00C70ED3" w:rsidRPr="00414241">
        <w:t xml:space="preserve"> sad or anxious. Tiredness was also acknowledged as being significant in determining the ability of the student to engage.</w:t>
      </w:r>
      <w:r w:rsidR="00E20C91">
        <w:t xml:space="preserve"> </w:t>
      </w:r>
      <w:r w:rsidR="00B34804" w:rsidRPr="00414241">
        <w:t>As we move towards the notion of</w:t>
      </w:r>
      <w:r w:rsidR="00292E3B" w:rsidRPr="00414241">
        <w:t xml:space="preserve"> personalisation, engagement is an</w:t>
      </w:r>
      <w:r w:rsidR="00B34804" w:rsidRPr="00414241">
        <w:t xml:space="preserve"> area where we need to focus </w:t>
      </w:r>
      <w:r w:rsidR="00E20C91">
        <w:t>attention.</w:t>
      </w:r>
    </w:p>
    <w:p w:rsidR="00A446E7" w:rsidRPr="00414241" w:rsidRDefault="0059660C" w:rsidP="00636664">
      <w:pPr>
        <w:pStyle w:val="Heading3"/>
      </w:pPr>
      <w:r w:rsidRPr="00414241">
        <w:t>Summary</w:t>
      </w:r>
    </w:p>
    <w:p w:rsidR="0059660C" w:rsidRPr="00414241" w:rsidRDefault="0059660C" w:rsidP="00E20C91">
      <w:pPr>
        <w:pStyle w:val="abullet"/>
        <w:numPr>
          <w:ilvl w:val="0"/>
          <w:numId w:val="0"/>
        </w:numPr>
      </w:pPr>
      <w:r w:rsidRPr="00414241">
        <w:t>The background paper alerts us to the following issues:</w:t>
      </w:r>
    </w:p>
    <w:p w:rsidR="0059660C" w:rsidRPr="00414241" w:rsidRDefault="0059660C" w:rsidP="00E20C91">
      <w:pPr>
        <w:pStyle w:val="abullet"/>
      </w:pPr>
      <w:r w:rsidRPr="00414241">
        <w:t xml:space="preserve">Engagement is a contested word </w:t>
      </w:r>
    </w:p>
    <w:p w:rsidR="0059660C" w:rsidRPr="00414241" w:rsidRDefault="0059660C" w:rsidP="00E20C91">
      <w:pPr>
        <w:pStyle w:val="abullet"/>
      </w:pPr>
      <w:r w:rsidRPr="00414241">
        <w:t>There are</w:t>
      </w:r>
      <w:r w:rsidR="00096E1B" w:rsidRPr="00414241">
        <w:t>,</w:t>
      </w:r>
      <w:r w:rsidRPr="00414241">
        <w:t xml:space="preserve"> at the </w:t>
      </w:r>
      <w:r w:rsidR="00737AC1" w:rsidRPr="00414241">
        <w:t>least</w:t>
      </w:r>
      <w:r w:rsidR="00096E1B" w:rsidRPr="00414241">
        <w:t>,</w:t>
      </w:r>
      <w:r w:rsidRPr="00414241">
        <w:t xml:space="preserve"> </w:t>
      </w:r>
      <w:r w:rsidR="00737AC1" w:rsidRPr="00414241">
        <w:t>cognitive</w:t>
      </w:r>
      <w:r w:rsidRPr="00414241">
        <w:t xml:space="preserve">, </w:t>
      </w:r>
      <w:r w:rsidR="00737AC1" w:rsidRPr="00414241">
        <w:t>behavioural</w:t>
      </w:r>
      <w:r w:rsidRPr="00414241">
        <w:t xml:space="preserve"> and affective dimensions to engagement</w:t>
      </w:r>
    </w:p>
    <w:p w:rsidR="0059660C" w:rsidRPr="00414241" w:rsidRDefault="00737AC1" w:rsidP="00E20C91">
      <w:pPr>
        <w:pStyle w:val="abullet"/>
      </w:pPr>
      <w:r w:rsidRPr="00414241">
        <w:t>Measuring</w:t>
      </w:r>
      <w:r w:rsidR="0059660C" w:rsidRPr="00414241">
        <w:t xml:space="preserve"> engagement is necessarily problematic as it is a orientation to learning – it </w:t>
      </w:r>
      <w:r w:rsidRPr="00414241">
        <w:t>exists</w:t>
      </w:r>
      <w:r w:rsidR="0059660C" w:rsidRPr="00414241">
        <w:t xml:space="preserve"> in the mind of the learner – though may be evidenced through external action</w:t>
      </w:r>
    </w:p>
    <w:p w:rsidR="0059660C" w:rsidRPr="00414241" w:rsidRDefault="00737AC1" w:rsidP="00E20C91">
      <w:pPr>
        <w:pStyle w:val="abullet"/>
      </w:pPr>
      <w:r w:rsidRPr="00414241">
        <w:t>Measuring</w:t>
      </w:r>
      <w:r w:rsidR="0059660C" w:rsidRPr="00414241">
        <w:t xml:space="preserve"> engagement is necessarily problematic as observers / teachers will take different angles on what is engagement and teachers may see engagement </w:t>
      </w:r>
      <w:r w:rsidRPr="00414241">
        <w:t>differently</w:t>
      </w:r>
      <w:r w:rsidR="0059660C" w:rsidRPr="00414241">
        <w:t xml:space="preserve"> to learners</w:t>
      </w:r>
    </w:p>
    <w:p w:rsidR="0059660C" w:rsidRPr="00414241" w:rsidRDefault="00096E1B" w:rsidP="00E20C91">
      <w:pPr>
        <w:pStyle w:val="abullet"/>
      </w:pPr>
      <w:r w:rsidRPr="00414241">
        <w:t>O</w:t>
      </w:r>
      <w:r w:rsidR="00737AC1" w:rsidRPr="00414241">
        <w:t>rientation</w:t>
      </w:r>
      <w:r w:rsidR="0059660C" w:rsidRPr="00414241">
        <w:t xml:space="preserve"> to learning</w:t>
      </w:r>
      <w:r w:rsidRPr="00414241">
        <w:t xml:space="preserve"> </w:t>
      </w:r>
      <w:r w:rsidR="00737AC1" w:rsidRPr="00414241">
        <w:t>exists</w:t>
      </w:r>
      <w:r w:rsidR="0059660C" w:rsidRPr="00414241">
        <w:t xml:space="preserve"> in the mind of the learner – though may be evidenced through external action</w:t>
      </w:r>
    </w:p>
    <w:p w:rsidR="0059660C" w:rsidRPr="00414241" w:rsidRDefault="00BC0B05" w:rsidP="00E20C91">
      <w:pPr>
        <w:pStyle w:val="abullet"/>
      </w:pPr>
      <w:r w:rsidRPr="00414241">
        <w:t xml:space="preserve">ICT brings </w:t>
      </w:r>
      <w:r w:rsidR="00737AC1" w:rsidRPr="00414241">
        <w:t>opportunities</w:t>
      </w:r>
      <w:r w:rsidRPr="00414241">
        <w:t xml:space="preserve"> and constraints </w:t>
      </w:r>
      <w:r w:rsidR="00737AC1" w:rsidRPr="00414241">
        <w:t>e.g.</w:t>
      </w:r>
      <w:r w:rsidRPr="00414241">
        <w:t xml:space="preserve"> the IWB allows  improved presentations but may support traditional didactic methods</w:t>
      </w:r>
    </w:p>
    <w:p w:rsidR="00BC0B05" w:rsidRPr="00414241" w:rsidRDefault="00737AC1" w:rsidP="00E20C91">
      <w:pPr>
        <w:pStyle w:val="abullet"/>
      </w:pPr>
      <w:r w:rsidRPr="00414241">
        <w:t>There</w:t>
      </w:r>
      <w:r w:rsidR="00BC0B05" w:rsidRPr="00414241">
        <w:t xml:space="preserve"> is a subject </w:t>
      </w:r>
      <w:r w:rsidRPr="00414241">
        <w:t>dimension</w:t>
      </w:r>
      <w:r w:rsidR="00BC0B05" w:rsidRPr="00414241">
        <w:t xml:space="preserve"> to the use of ICT</w:t>
      </w:r>
    </w:p>
    <w:p w:rsidR="00BC0B05" w:rsidRPr="00414241" w:rsidRDefault="00BC0B05" w:rsidP="00E20C91">
      <w:pPr>
        <w:pStyle w:val="abullet"/>
      </w:pPr>
      <w:r w:rsidRPr="00414241">
        <w:t>ICT tools are varied and it is difficult to talk of ICT in the abstract</w:t>
      </w:r>
      <w:r w:rsidR="00096E1B" w:rsidRPr="00414241">
        <w:t xml:space="preserve">, </w:t>
      </w:r>
      <w:r w:rsidRPr="00414241">
        <w:t xml:space="preserve">different types of tools of offering different opportunities </w:t>
      </w:r>
    </w:p>
    <w:p w:rsidR="00BC0B05" w:rsidRPr="00414241" w:rsidRDefault="00BC0B05" w:rsidP="00E20C91">
      <w:pPr>
        <w:pStyle w:val="abullet"/>
      </w:pPr>
      <w:r w:rsidRPr="00414241">
        <w:t xml:space="preserve">ICT use is a concern for trainee teachers </w:t>
      </w:r>
    </w:p>
    <w:p w:rsidR="00BC0B05" w:rsidRPr="00414241" w:rsidRDefault="00737AC1" w:rsidP="00E20C91">
      <w:pPr>
        <w:pStyle w:val="abullet"/>
      </w:pPr>
      <w:r w:rsidRPr="00414241">
        <w:t>Development</w:t>
      </w:r>
      <w:r w:rsidR="00BC0B05" w:rsidRPr="00414241">
        <w:t xml:space="preserve"> is affected by personal beliefs and </w:t>
      </w:r>
      <w:r w:rsidRPr="00414241">
        <w:t>environmental</w:t>
      </w:r>
      <w:r w:rsidR="00BC0B05" w:rsidRPr="00414241">
        <w:t xml:space="preserve"> </w:t>
      </w:r>
      <w:r w:rsidRPr="00414241">
        <w:t>factors</w:t>
      </w:r>
      <w:r w:rsidR="00BC0B05" w:rsidRPr="00414241">
        <w:t xml:space="preserve"> </w:t>
      </w:r>
      <w:r w:rsidRPr="00414241">
        <w:t>e.g.</w:t>
      </w:r>
      <w:r w:rsidR="00BC0B05" w:rsidRPr="00414241">
        <w:t xml:space="preserve"> the opportunities and constraints provided by mentors, tutors and access to machines</w:t>
      </w:r>
    </w:p>
    <w:p w:rsidR="00BC0B05" w:rsidRPr="00414241" w:rsidRDefault="00BC0B05" w:rsidP="00E20C91">
      <w:pPr>
        <w:pStyle w:val="abullet"/>
      </w:pPr>
      <w:r w:rsidRPr="00414241">
        <w:t xml:space="preserve">Development should not be considered as a linear process but much more a coming together of different technical and pedagogical knowledge </w:t>
      </w:r>
    </w:p>
    <w:p w:rsidR="0059660C" w:rsidRPr="00414241" w:rsidRDefault="0059660C" w:rsidP="00E20C91">
      <w:pPr>
        <w:pStyle w:val="abullet"/>
      </w:pPr>
      <w:r w:rsidRPr="00414241">
        <w:t>There are many issues to consider in using ICT in the classroom and many factors which will impact on the contribution of ICT to engagement</w:t>
      </w:r>
    </w:p>
    <w:p w:rsidR="00636664" w:rsidRDefault="00636664" w:rsidP="00E20C91">
      <w:pPr>
        <w:rPr>
          <w:sz w:val="22"/>
          <w:szCs w:val="22"/>
        </w:rPr>
      </w:pPr>
    </w:p>
    <w:p w:rsidR="00096E1B" w:rsidRDefault="00636664" w:rsidP="00636664">
      <w:pPr>
        <w:pStyle w:val="Heading3"/>
      </w:pPr>
      <w:r>
        <w:lastRenderedPageBreak/>
        <w:t>Bibliography</w:t>
      </w:r>
    </w:p>
    <w:p w:rsidR="00255291" w:rsidRPr="00255291" w:rsidRDefault="00255291" w:rsidP="00E20C91">
      <w:pPr>
        <w:ind w:firstLine="540"/>
      </w:pPr>
      <w:r w:rsidRPr="00255291">
        <w:t xml:space="preserve">Bangert-Drowns, R. L. &amp; Pyke, C. (2001). A taxonomy of student engagement with educational software: an exploration of literate thinking with electronic text, </w:t>
      </w:r>
      <w:r w:rsidRPr="00255291">
        <w:rPr>
          <w:i/>
          <w:iCs/>
        </w:rPr>
        <w:t xml:space="preserve">Journal of Educational Computing Research, 24, </w:t>
      </w:r>
      <w:r w:rsidRPr="00255291">
        <w:t>3, 213-234.</w:t>
      </w:r>
    </w:p>
    <w:p w:rsidR="00255291" w:rsidRPr="00255291" w:rsidRDefault="00255291" w:rsidP="00E20C91">
      <w:pPr>
        <w:ind w:firstLine="540"/>
      </w:pPr>
      <w:r w:rsidRPr="00255291">
        <w:t xml:space="preserve">Becta (2007) </w:t>
      </w:r>
      <w:r w:rsidRPr="00255291">
        <w:rPr>
          <w:i/>
        </w:rPr>
        <w:t>A Briefing for Policy Makers</w:t>
      </w:r>
      <w:r w:rsidRPr="00255291">
        <w:t xml:space="preserve">, Becta, </w:t>
      </w:r>
      <w:smartTag w:uri="urn:schemas-microsoft-com:office:smarttags" w:element="City">
        <w:smartTag w:uri="urn:schemas-microsoft-com:office:smarttags" w:element="place">
          <w:r w:rsidRPr="00255291">
            <w:t>Coventry</w:t>
          </w:r>
        </w:smartTag>
      </w:smartTag>
      <w:r w:rsidRPr="00255291">
        <w:t xml:space="preserve">. Retrieved 18 February 2008 from </w:t>
      </w:r>
      <w:hyperlink r:id="rId7" w:history="1">
        <w:r w:rsidRPr="00255291">
          <w:rPr>
            <w:rStyle w:val="Hyperlink"/>
            <w:rFonts w:ascii="Arial" w:hAnsi="Arial" w:cs="Arial"/>
          </w:rPr>
          <w:t>www.becta.org.uk/policybriefing/index.cfm</w:t>
        </w:r>
      </w:hyperlink>
      <w:r w:rsidRPr="00255291">
        <w:t>.</w:t>
      </w:r>
    </w:p>
    <w:p w:rsidR="00255291" w:rsidRPr="00255291" w:rsidRDefault="00255291" w:rsidP="00E20C91">
      <w:pPr>
        <w:ind w:firstLine="540"/>
      </w:pPr>
      <w:r w:rsidRPr="00255291">
        <w:t xml:space="preserve">Birch, S. and Ladd, G. (1997) The teacher-child relationship and children’s early school adjustment, </w:t>
      </w:r>
      <w:r w:rsidRPr="00255291">
        <w:rPr>
          <w:i/>
        </w:rPr>
        <w:t>Journal of School Psychology</w:t>
      </w:r>
      <w:r w:rsidRPr="00255291">
        <w:t>, 35, 61-79.</w:t>
      </w:r>
    </w:p>
    <w:p w:rsidR="00255291" w:rsidRPr="00255291" w:rsidRDefault="00255291" w:rsidP="00E20C91">
      <w:pPr>
        <w:ind w:firstLine="540"/>
      </w:pPr>
      <w:r w:rsidRPr="00255291">
        <w:t xml:space="preserve">Booth, S. and Ingerman, A. (2002) Making sense of physics in the first year of study. </w:t>
      </w:r>
      <w:r w:rsidRPr="00255291">
        <w:rPr>
          <w:i/>
        </w:rPr>
        <w:t>Learning and instruction</w:t>
      </w:r>
      <w:r w:rsidRPr="00255291">
        <w:t>, 12, 5, 493-507.</w:t>
      </w:r>
    </w:p>
    <w:p w:rsidR="00255291" w:rsidRPr="00255291" w:rsidRDefault="00255291" w:rsidP="00E20C91">
      <w:pPr>
        <w:ind w:firstLine="540"/>
      </w:pPr>
      <w:r w:rsidRPr="00255291">
        <w:t xml:space="preserve">Carbonne, A., Mannila, L. and Fitzgerald, S. (2007) Computer science teachers’ conceptions of successful and unsuccessful teaching: A phenomenographic study, </w:t>
      </w:r>
      <w:r w:rsidRPr="00255291">
        <w:rPr>
          <w:i/>
        </w:rPr>
        <w:t>Computer Science Education</w:t>
      </w:r>
      <w:r w:rsidRPr="00255291">
        <w:t xml:space="preserve">, 17, 4, 275-299. </w:t>
      </w:r>
    </w:p>
    <w:p w:rsidR="00255291" w:rsidRPr="00255291" w:rsidRDefault="00255291" w:rsidP="00E20C91">
      <w:pPr>
        <w:ind w:firstLine="540"/>
      </w:pPr>
      <w:r w:rsidRPr="00255291">
        <w:t xml:space="preserve">Christensen, R., Overall, T. </w:t>
      </w:r>
      <w:r w:rsidR="002047C5">
        <w:t>a</w:t>
      </w:r>
      <w:r w:rsidRPr="00255291">
        <w:t xml:space="preserve">nd Knezek, G. (2006) Personal educational tools for type II learning, </w:t>
      </w:r>
      <w:r w:rsidRPr="00255291">
        <w:rPr>
          <w:i/>
        </w:rPr>
        <w:t>Computers in Schools</w:t>
      </w:r>
      <w:r w:rsidRPr="00255291">
        <w:t xml:space="preserve"> 23,1, 173-189.</w:t>
      </w:r>
    </w:p>
    <w:p w:rsidR="00255291" w:rsidRPr="00255291" w:rsidRDefault="00255291" w:rsidP="00E20C91">
      <w:pPr>
        <w:ind w:firstLine="540"/>
      </w:pPr>
      <w:r w:rsidRPr="00255291">
        <w:t xml:space="preserve">Connell, J. P. and Wellborn, J. G. (1991) Competence, autonomy and relatedness: A motivational analysis of self-esteem processes. In M. Gunnar and L. A. Sroufe (Eds.), </w:t>
      </w:r>
      <w:smartTag w:uri="urn:schemas-microsoft-com:office:smarttags" w:element="State">
        <w:smartTag w:uri="urn:schemas-microsoft-com:office:smarttags" w:element="place">
          <w:r w:rsidRPr="00255291">
            <w:rPr>
              <w:i/>
            </w:rPr>
            <w:t>Minnesota</w:t>
          </w:r>
        </w:smartTag>
      </w:smartTag>
      <w:r w:rsidRPr="00255291">
        <w:rPr>
          <w:i/>
        </w:rPr>
        <w:t xml:space="preserve"> Symposium on Child Psychology</w:t>
      </w:r>
      <w:r w:rsidRPr="00255291">
        <w:t xml:space="preserve">. </w:t>
      </w:r>
      <w:smartTag w:uri="urn:schemas-microsoft-com:office:smarttags" w:element="City">
        <w:r w:rsidRPr="00255291">
          <w:t>Chicago</w:t>
        </w:r>
      </w:smartTag>
      <w:r w:rsidRPr="00255291">
        <w:t xml:space="preserve">: </w:t>
      </w:r>
      <w:smartTag w:uri="urn:schemas-microsoft-com:office:smarttags" w:element="place">
        <w:smartTag w:uri="urn:schemas-microsoft-com:office:smarttags" w:element="PlaceType">
          <w:r w:rsidRPr="00255291">
            <w:t>University</w:t>
          </w:r>
        </w:smartTag>
        <w:r w:rsidRPr="00255291">
          <w:t xml:space="preserve"> of </w:t>
        </w:r>
        <w:smartTag w:uri="urn:schemas-microsoft-com:office:smarttags" w:element="PlaceName">
          <w:r w:rsidRPr="00255291">
            <w:t>Chicago</w:t>
          </w:r>
        </w:smartTag>
      </w:smartTag>
      <w:r w:rsidRPr="00255291">
        <w:t xml:space="preserve"> Press.</w:t>
      </w:r>
    </w:p>
    <w:p w:rsidR="00255291" w:rsidRPr="00255291" w:rsidRDefault="00255291" w:rsidP="00E20C91">
      <w:pPr>
        <w:ind w:firstLine="540"/>
      </w:pPr>
      <w:r w:rsidRPr="00255291">
        <w:t xml:space="preserve">Davies (2006) Davies, C., </w:t>
      </w:r>
      <w:smartTag w:uri="urn:schemas-microsoft-com:office:smarttags" w:element="City">
        <w:smartTag w:uri="urn:schemas-microsoft-com:office:smarttags" w:element="place">
          <w:r w:rsidRPr="00255291">
            <w:t>Hayward</w:t>
          </w:r>
        </w:smartTag>
      </w:smartTag>
      <w:r w:rsidRPr="00255291">
        <w:t xml:space="preserve">, G. and Lukman, L. (2006) </w:t>
      </w:r>
      <w:r w:rsidRPr="00255291">
        <w:rPr>
          <w:i/>
        </w:rPr>
        <w:t>14-19 and Digital technologies: A review of research and projects</w:t>
      </w:r>
      <w:r w:rsidRPr="00255291">
        <w:t>. Futurelab Series, Report 13.</w:t>
      </w:r>
    </w:p>
    <w:p w:rsidR="00255291" w:rsidRPr="00255291" w:rsidRDefault="00255291" w:rsidP="00E20C91">
      <w:pPr>
        <w:ind w:firstLine="540"/>
      </w:pPr>
      <w:r w:rsidRPr="00255291">
        <w:t xml:space="preserve">DCFS (2004) </w:t>
      </w:r>
      <w:r w:rsidRPr="00255291">
        <w:rPr>
          <w:i/>
        </w:rPr>
        <w:t>Pedagogy and Practice Teaching and Learning in Secondary Schools unit 11: Active Engagement Techniques</w:t>
      </w:r>
      <w:r w:rsidRPr="00255291">
        <w:t xml:space="preserve">, DCFS, </w:t>
      </w:r>
      <w:smartTag w:uri="urn:schemas-microsoft-com:office:smarttags" w:element="City">
        <w:smartTag w:uri="urn:schemas-microsoft-com:office:smarttags" w:element="place">
          <w:r w:rsidRPr="00255291">
            <w:t>London</w:t>
          </w:r>
        </w:smartTag>
      </w:smartTag>
      <w:r w:rsidRPr="00255291">
        <w:t>.</w:t>
      </w:r>
    </w:p>
    <w:p w:rsidR="00255291" w:rsidRPr="00255291" w:rsidRDefault="00255291" w:rsidP="00E20C91">
      <w:pPr>
        <w:ind w:firstLine="540"/>
      </w:pPr>
      <w:r w:rsidRPr="00255291">
        <w:t xml:space="preserve">De Freitas, S. (2004) </w:t>
      </w:r>
      <w:r w:rsidRPr="00255291">
        <w:rPr>
          <w:i/>
        </w:rPr>
        <w:t xml:space="preserve">Learning Through Play:  Internal report, </w:t>
      </w:r>
      <w:smartTag w:uri="urn:schemas-microsoft-com:office:smarttags" w:element="City">
        <w:smartTag w:uri="urn:schemas-microsoft-com:office:smarttags" w:element="place">
          <w:r w:rsidRPr="00255291">
            <w:t>London</w:t>
          </w:r>
        </w:smartTag>
      </w:smartTag>
      <w:r w:rsidRPr="00255291">
        <w:t>: Learning and Skills Research Centre.</w:t>
      </w:r>
    </w:p>
    <w:p w:rsidR="00255291" w:rsidRPr="00255291" w:rsidRDefault="00255291" w:rsidP="00E20C91">
      <w:pPr>
        <w:ind w:firstLine="540"/>
      </w:pPr>
      <w:r w:rsidRPr="00255291">
        <w:t xml:space="preserve">Finn, J. D. and Rock, D. A. (1997) Academic success among students at risk of school failure, </w:t>
      </w:r>
      <w:r w:rsidRPr="00255291">
        <w:rPr>
          <w:i/>
        </w:rPr>
        <w:t>Journal of Applied Psychology</w:t>
      </w:r>
      <w:r w:rsidRPr="00255291">
        <w:t>, 82, 221-234.</w:t>
      </w:r>
    </w:p>
    <w:p w:rsidR="00255291" w:rsidRPr="00255291" w:rsidRDefault="00255291" w:rsidP="00E20C91">
      <w:pPr>
        <w:ind w:firstLine="540"/>
      </w:pPr>
      <w:r w:rsidRPr="00255291">
        <w:t xml:space="preserve">Fredricks, J. A., Blumenfeld and Paris, A., H. (2004) School engagement: potential of the concept, state of the evidence. </w:t>
      </w:r>
      <w:r w:rsidRPr="00255291">
        <w:rPr>
          <w:i/>
        </w:rPr>
        <w:t xml:space="preserve">Review of Educational Research, </w:t>
      </w:r>
      <w:r w:rsidRPr="00255291">
        <w:t xml:space="preserve"> 74, 1, 59-109.</w:t>
      </w:r>
    </w:p>
    <w:p w:rsidR="00255291" w:rsidRPr="00255291" w:rsidRDefault="00255291" w:rsidP="00E20C91">
      <w:pPr>
        <w:ind w:firstLine="540"/>
      </w:pPr>
      <w:r w:rsidRPr="00255291">
        <w:t xml:space="preserve">Guthrie, J. T. and Wigfield, A. (2000) Engagement and motivation in reading. In M. Kamil and P. Mosenthal (Eds). </w:t>
      </w:r>
      <w:r w:rsidRPr="00255291">
        <w:rPr>
          <w:i/>
        </w:rPr>
        <w:t>Handbook of Reading Research</w:t>
      </w:r>
      <w:r w:rsidRPr="00255291">
        <w:t xml:space="preserve">, 3, 403-422. </w:t>
      </w:r>
    </w:p>
    <w:p w:rsidR="00255291" w:rsidRPr="00255291" w:rsidRDefault="00255291" w:rsidP="00E20C91">
      <w:pPr>
        <w:ind w:firstLine="540"/>
      </w:pPr>
      <w:r w:rsidRPr="00255291">
        <w:t>Hammond et al (2008) Why do some student teachers make very good use of ICT? An exploratory case study</w:t>
      </w:r>
      <w:r w:rsidRPr="00255291">
        <w:rPr>
          <w:i/>
        </w:rPr>
        <w:t>, Technology, Pedagogy and Education</w:t>
      </w:r>
      <w:r w:rsidRPr="00255291">
        <w:t>, 18, 1,  59–73.</w:t>
      </w:r>
    </w:p>
    <w:p w:rsidR="00255291" w:rsidRPr="00255291" w:rsidRDefault="00255291" w:rsidP="00E20C91">
      <w:pPr>
        <w:ind w:firstLine="540"/>
      </w:pPr>
      <w:r w:rsidRPr="00255291">
        <w:lastRenderedPageBreak/>
        <w:t>Hargreaves, D. (2004</w:t>
      </w:r>
      <w:r w:rsidRPr="00255291">
        <w:rPr>
          <w:i/>
        </w:rPr>
        <w:t>) Personalising learning-2. Student voice and assessment for learning</w:t>
      </w:r>
      <w:r w:rsidRPr="00255291">
        <w:t xml:space="preserve">, </w:t>
      </w:r>
      <w:smartTag w:uri="urn:schemas-microsoft-com:office:smarttags" w:element="City">
        <w:smartTag w:uri="urn:schemas-microsoft-com:office:smarttags" w:element="place">
          <w:r w:rsidRPr="00255291">
            <w:t>London</w:t>
          </w:r>
        </w:smartTag>
      </w:smartTag>
      <w:r w:rsidRPr="00255291">
        <w:t>, Specialist Schools Trust</w:t>
      </w:r>
    </w:p>
    <w:p w:rsidR="00255291" w:rsidRPr="00255291" w:rsidRDefault="00255291" w:rsidP="00E20C91">
      <w:pPr>
        <w:ind w:firstLine="540"/>
      </w:pPr>
      <w:r w:rsidRPr="00255291">
        <w:t xml:space="preserve">Haydn, T. A. and Barton, R. (2007) Common needs and different agendas: How trainee teachers make progress in their ability to use ICT in subject teaching. Some lessons from the </w:t>
      </w:r>
      <w:smartTag w:uri="urn:schemas-microsoft-com:office:smarttags" w:element="country-region">
        <w:smartTag w:uri="urn:schemas-microsoft-com:office:smarttags" w:element="place">
          <w:r w:rsidRPr="00255291">
            <w:t>UK</w:t>
          </w:r>
        </w:smartTag>
      </w:smartTag>
      <w:r w:rsidRPr="00255291">
        <w:t xml:space="preserve">, </w:t>
      </w:r>
      <w:r w:rsidRPr="00255291">
        <w:rPr>
          <w:i/>
        </w:rPr>
        <w:t>Computers and Education,</w:t>
      </w:r>
      <w:r w:rsidRPr="00255291">
        <w:t xml:space="preserve"> 49, 1018-1036.</w:t>
      </w:r>
    </w:p>
    <w:p w:rsidR="00255291" w:rsidRPr="00255291" w:rsidRDefault="00255291" w:rsidP="00E20C91">
      <w:pPr>
        <w:ind w:firstLine="540"/>
      </w:pPr>
      <w:r w:rsidRPr="00255291">
        <w:t xml:space="preserve">Hoban, G. (2003) Using the World Wide Web for researching teaching-learning relationships. In (Ed A. Clarke  &amp; G. Erickson) </w:t>
      </w:r>
      <w:r w:rsidRPr="00255291">
        <w:rPr>
          <w:i/>
        </w:rPr>
        <w:t>Teacher Inquiry: A defining feature of professional practice</w:t>
      </w:r>
      <w:r w:rsidRPr="00255291">
        <w:t xml:space="preserve">. </w:t>
      </w:r>
      <w:smartTag w:uri="urn:schemas-microsoft-com:office:smarttags" w:element="State">
        <w:smartTag w:uri="urn:schemas-microsoft-com:office:smarttags" w:element="place">
          <w:r w:rsidRPr="00255291">
            <w:t>New York</w:t>
          </w:r>
        </w:smartTag>
      </w:smartTag>
      <w:r w:rsidRPr="00255291">
        <w:t>: RoutledgeFalmer.</w:t>
      </w:r>
    </w:p>
    <w:p w:rsidR="00255291" w:rsidRPr="00255291" w:rsidRDefault="00255291" w:rsidP="00E20C91">
      <w:pPr>
        <w:ind w:firstLine="540"/>
      </w:pPr>
      <w:r w:rsidRPr="00255291">
        <w:t xml:space="preserve">John, P. (2005) The sacred and the profane: subject sub-culture, pedagogical practice and teachers’ perceptions of the classroom uses of ICT. </w:t>
      </w:r>
      <w:r w:rsidRPr="00255291">
        <w:rPr>
          <w:i/>
        </w:rPr>
        <w:t>Educational Review</w:t>
      </w:r>
      <w:r w:rsidRPr="00255291">
        <w:t xml:space="preserve"> 57, 4, 471-490.</w:t>
      </w:r>
    </w:p>
    <w:p w:rsidR="00255291" w:rsidRPr="00255291" w:rsidRDefault="00255291" w:rsidP="00E20C91">
      <w:pPr>
        <w:ind w:firstLine="540"/>
      </w:pPr>
      <w:r w:rsidRPr="00255291">
        <w:t xml:space="preserve">John, P. and LaVelle, L. (2004) Devices and desires: subject sub-cultures, pedagogic identity and the challenge of information communication technology, </w:t>
      </w:r>
      <w:r w:rsidRPr="00255291">
        <w:rPr>
          <w:i/>
        </w:rPr>
        <w:t>Technology, Pedagogy and Education</w:t>
      </w:r>
      <w:r w:rsidRPr="00255291">
        <w:t>, 13, 3, 307-326.</w:t>
      </w:r>
    </w:p>
    <w:p w:rsidR="00255291" w:rsidRPr="00255291" w:rsidRDefault="00255291" w:rsidP="00E20C91">
      <w:pPr>
        <w:ind w:firstLine="540"/>
      </w:pPr>
      <w:r w:rsidRPr="00255291">
        <w:t xml:space="preserve">Levenson, l. (2004) Encouraging better learning through better teaching. A Study of the approaches to teaching in accounting. </w:t>
      </w:r>
      <w:r w:rsidRPr="00255291">
        <w:rPr>
          <w:i/>
        </w:rPr>
        <w:t>Accounting Education</w:t>
      </w:r>
      <w:r w:rsidRPr="00255291">
        <w:t>, 13, 4, 529-548.</w:t>
      </w:r>
    </w:p>
    <w:p w:rsidR="00255291" w:rsidRPr="00255291" w:rsidRDefault="00255291" w:rsidP="00E20C91">
      <w:pPr>
        <w:ind w:firstLine="540"/>
        <w:rPr>
          <w:color w:val="000000"/>
        </w:rPr>
      </w:pPr>
      <w:r w:rsidRPr="00255291">
        <w:rPr>
          <w:color w:val="000000"/>
        </w:rPr>
        <w:t xml:space="preserve">McKenzie, J. (2002) Variation and relevance structures for university teachers' learning: bringing about change in ways of experiencing teaching. </w:t>
      </w:r>
      <w:r w:rsidRPr="00255291">
        <w:rPr>
          <w:i/>
          <w:iCs/>
          <w:color w:val="000000"/>
        </w:rPr>
        <w:t>Research and Development in Higher Education, 25</w:t>
      </w:r>
      <w:r w:rsidRPr="00255291">
        <w:rPr>
          <w:color w:val="000000"/>
        </w:rPr>
        <w:t xml:space="preserve">, 434-441. </w:t>
      </w:r>
    </w:p>
    <w:p w:rsidR="00255291" w:rsidRPr="00255291" w:rsidRDefault="00255291" w:rsidP="00E20C91">
      <w:pPr>
        <w:ind w:firstLine="540"/>
      </w:pPr>
      <w:r w:rsidRPr="00255291">
        <w:t xml:space="preserve">Morgan, A. and Kennewell, S. (2005). The role of play in the pedagogy of ICT, </w:t>
      </w:r>
      <w:r w:rsidRPr="00255291">
        <w:rPr>
          <w:i/>
        </w:rPr>
        <w:t>Education and Information Technologies</w:t>
      </w:r>
      <w:r w:rsidRPr="00255291">
        <w:t>, 10, 3, 177-188.</w:t>
      </w:r>
    </w:p>
    <w:p w:rsidR="00255291" w:rsidRPr="00255291" w:rsidRDefault="00255291" w:rsidP="00E20C91">
      <w:pPr>
        <w:ind w:firstLine="540"/>
      </w:pPr>
      <w:r w:rsidRPr="00255291">
        <w:t xml:space="preserve">Niederhauser, S. D., </w:t>
      </w:r>
      <w:smartTag w:uri="urn:schemas-microsoft-com:office:smarttags" w:element="City">
        <w:smartTag w:uri="urn:schemas-microsoft-com:office:smarttags" w:element="place">
          <w:r w:rsidRPr="00255291">
            <w:t>Salem</w:t>
          </w:r>
        </w:smartTag>
      </w:smartTag>
      <w:r w:rsidRPr="00255291">
        <w:t xml:space="preserve">, J. D. and Fields, M.  (1999) Exploring teaching, learning and instructional reform in an introductory technology course, </w:t>
      </w:r>
      <w:r w:rsidRPr="00255291">
        <w:rPr>
          <w:i/>
        </w:rPr>
        <w:t>Journal of Technology and Teacher Education</w:t>
      </w:r>
      <w:r w:rsidRPr="00255291">
        <w:t>, 7, 2, 153-172.</w:t>
      </w:r>
    </w:p>
    <w:p w:rsidR="00255291" w:rsidRPr="00255291" w:rsidRDefault="00255291" w:rsidP="00E20C91">
      <w:pPr>
        <w:ind w:firstLine="540"/>
      </w:pPr>
      <w:r w:rsidRPr="00255291">
        <w:t xml:space="preserve">Olson, J. K. (2000) Trojan horse or teacher’s pet? Computers and the culture of schools. </w:t>
      </w:r>
      <w:r w:rsidRPr="00255291">
        <w:rPr>
          <w:i/>
        </w:rPr>
        <w:t>Journal of Curriculum studies</w:t>
      </w:r>
      <w:r w:rsidRPr="00255291">
        <w:t>, 32, 1, 1-9.</w:t>
      </w:r>
    </w:p>
    <w:p w:rsidR="00255291" w:rsidRPr="00255291" w:rsidRDefault="00255291" w:rsidP="00E20C91">
      <w:pPr>
        <w:ind w:firstLine="540"/>
      </w:pPr>
      <w:r w:rsidRPr="00255291">
        <w:t xml:space="preserve">Passey, D., Rogers, C., Machell, J., and McHugh, G. (2004) </w:t>
      </w:r>
      <w:r w:rsidRPr="00255291">
        <w:rPr>
          <w:i/>
        </w:rPr>
        <w:t>The Motivational Effects of ICT on Pupils</w:t>
      </w:r>
      <w:r w:rsidRPr="00255291">
        <w:t xml:space="preserve">, DCFS, </w:t>
      </w:r>
      <w:smartTag w:uri="urn:schemas-microsoft-com:office:smarttags" w:element="City">
        <w:smartTag w:uri="urn:schemas-microsoft-com:office:smarttags" w:element="place">
          <w:r w:rsidRPr="00255291">
            <w:t>London</w:t>
          </w:r>
        </w:smartTag>
      </w:smartTag>
      <w:r w:rsidRPr="00255291">
        <w:t xml:space="preserve">.  </w:t>
      </w:r>
    </w:p>
    <w:p w:rsidR="00255291" w:rsidRPr="00255291" w:rsidRDefault="00255291" w:rsidP="00E20C91">
      <w:pPr>
        <w:ind w:firstLine="540"/>
      </w:pPr>
      <w:r w:rsidRPr="00255291">
        <w:t>Preskill, H. (1988). Teachers and Com</w:t>
      </w:r>
      <w:r>
        <w:t>p</w:t>
      </w:r>
      <w:r w:rsidRPr="00255291">
        <w:t xml:space="preserve">uters: A staff development challenge, </w:t>
      </w:r>
      <w:r w:rsidRPr="00255291">
        <w:rPr>
          <w:i/>
        </w:rPr>
        <w:t>Educational Technology,</w:t>
      </w:r>
      <w:r w:rsidRPr="00255291">
        <w:t xml:space="preserve"> 28, 3, 24-26.</w:t>
      </w:r>
    </w:p>
    <w:p w:rsidR="00255291" w:rsidRPr="00255291" w:rsidRDefault="00255291" w:rsidP="00E20C91">
      <w:pPr>
        <w:ind w:firstLine="540"/>
      </w:pPr>
      <w:r w:rsidRPr="00255291">
        <w:t xml:space="preserve">Ruthven, K., Hennessy, S. and Brindley, S. (2004) Teachers representations of the successful use of computer-based tools and resources in secondary English, mathematics and science, </w:t>
      </w:r>
      <w:r w:rsidRPr="00255291">
        <w:rPr>
          <w:i/>
        </w:rPr>
        <w:t>Teaching and Teacher education</w:t>
      </w:r>
      <w:r w:rsidRPr="00255291">
        <w:t>, 20, 3, 259-275.</w:t>
      </w:r>
    </w:p>
    <w:p w:rsidR="00255291" w:rsidRPr="00255291" w:rsidRDefault="00255291" w:rsidP="00E20C91">
      <w:pPr>
        <w:ind w:firstLine="540"/>
      </w:pPr>
      <w:r w:rsidRPr="00255291">
        <w:lastRenderedPageBreak/>
        <w:t xml:space="preserve">Sandholtz, J. H., Ringstaff, C. and Dwyer, D. C.  (1977) </w:t>
      </w:r>
      <w:r w:rsidRPr="00255291">
        <w:rPr>
          <w:i/>
        </w:rPr>
        <w:t xml:space="preserve">Teaching with Technology: creating pupil-centred classrooms, </w:t>
      </w:r>
      <w:r w:rsidRPr="00255291">
        <w:t xml:space="preserve">Teachers College Press, </w:t>
      </w:r>
      <w:smartTag w:uri="urn:schemas-microsoft-com:office:smarttags" w:element="State">
        <w:smartTag w:uri="urn:schemas-microsoft-com:office:smarttags" w:element="place">
          <w:r w:rsidRPr="00255291">
            <w:t>New York</w:t>
          </w:r>
        </w:smartTag>
      </w:smartTag>
      <w:r w:rsidRPr="00255291">
        <w:t>.</w:t>
      </w:r>
    </w:p>
    <w:p w:rsidR="00255291" w:rsidRPr="00255291" w:rsidRDefault="00255291" w:rsidP="00E20C91">
      <w:pPr>
        <w:ind w:firstLine="540"/>
      </w:pPr>
      <w:r w:rsidRPr="00255291">
        <w:t xml:space="preserve">Skinner, E. A. and Belmont, M. J. (1993) Motivation in the classroom: Reciprocal effect of teacher behaviour and student engagement across the school year. </w:t>
      </w:r>
      <w:r w:rsidRPr="00255291">
        <w:rPr>
          <w:i/>
        </w:rPr>
        <w:t>Journal of Educational Psychology</w:t>
      </w:r>
      <w:r w:rsidRPr="00255291">
        <w:t>, 85, 571-581.</w:t>
      </w:r>
    </w:p>
    <w:p w:rsidR="00255291" w:rsidRPr="00255291" w:rsidRDefault="00255291" w:rsidP="00E20C91">
      <w:pPr>
        <w:ind w:firstLine="540"/>
      </w:pPr>
      <w:r w:rsidRPr="00255291">
        <w:t>Smith C., Dakers,  J., Dow, W., Head, G., Sutherland M and Irwin R (2005</w:t>
      </w:r>
      <w:r w:rsidRPr="002047C5">
        <w:t xml:space="preserve">) </w:t>
      </w:r>
      <w:r w:rsidRPr="00F960E6">
        <w:rPr>
          <w:i/>
        </w:rPr>
        <w:t xml:space="preserve">A Systematic Review of What Pupils, aged 11–16, Believe Impacts on their Motivation to Learn in the Classroom,  </w:t>
      </w:r>
      <w:smartTag w:uri="urn:schemas-microsoft-com:office:smarttags" w:element="PlaceType">
        <w:r w:rsidRPr="00255291">
          <w:t>Institute</w:t>
        </w:r>
      </w:smartTag>
      <w:r w:rsidRPr="00255291">
        <w:t xml:space="preserve"> of </w:t>
      </w:r>
      <w:smartTag w:uri="urn:schemas-microsoft-com:office:smarttags" w:element="PlaceName">
        <w:r w:rsidRPr="00255291">
          <w:t>Education</w:t>
        </w:r>
      </w:smartTag>
      <w:r w:rsidRPr="00255291">
        <w:t xml:space="preserve">, </w:t>
      </w:r>
      <w:smartTag w:uri="urn:schemas-microsoft-com:office:smarttags" w:element="place">
        <w:smartTag w:uri="urn:schemas-microsoft-com:office:smarttags" w:element="PlaceType">
          <w:r w:rsidRPr="00255291">
            <w:t>University</w:t>
          </w:r>
        </w:smartTag>
        <w:r w:rsidRPr="00255291">
          <w:t xml:space="preserve"> of </w:t>
        </w:r>
        <w:smartTag w:uri="urn:schemas-microsoft-com:office:smarttags" w:element="PlaceName">
          <w:r w:rsidRPr="00255291">
            <w:t>London</w:t>
          </w:r>
        </w:smartTag>
      </w:smartTag>
      <w:r w:rsidRPr="00255291">
        <w:t>.</w:t>
      </w:r>
    </w:p>
    <w:p w:rsidR="00255291" w:rsidRPr="00255291" w:rsidRDefault="00255291" w:rsidP="00E20C91">
      <w:pPr>
        <w:ind w:firstLine="540"/>
      </w:pPr>
      <w:r w:rsidRPr="00255291">
        <w:t xml:space="preserve">Spague, D.(1995) ITS changing teachers’ paradigms. In (Ed J. Willis, B. Robin and D. Willis), </w:t>
      </w:r>
      <w:r w:rsidRPr="00255291">
        <w:rPr>
          <w:i/>
        </w:rPr>
        <w:t>Technology and Teacher Education Annual</w:t>
      </w:r>
      <w:r w:rsidRPr="00255291">
        <w:t xml:space="preserve"> (352-356). </w:t>
      </w:r>
      <w:smartTag w:uri="urn:schemas-microsoft-com:office:smarttags" w:element="place">
        <w:smartTag w:uri="urn:schemas-microsoft-com:office:smarttags" w:element="City">
          <w:r w:rsidRPr="00255291">
            <w:t>Charlotesville</w:t>
          </w:r>
        </w:smartTag>
        <w:r w:rsidRPr="00255291">
          <w:t xml:space="preserve">, </w:t>
        </w:r>
        <w:smartTag w:uri="urn:schemas-microsoft-com:office:smarttags" w:element="State">
          <w:r w:rsidRPr="00255291">
            <w:t>VA</w:t>
          </w:r>
        </w:smartTag>
      </w:smartTag>
      <w:r w:rsidRPr="00255291">
        <w:t>: Association for the Advancement of Computing in Education.</w:t>
      </w:r>
    </w:p>
    <w:p w:rsidR="00255291" w:rsidRPr="00255291" w:rsidRDefault="00255291" w:rsidP="00E20C91">
      <w:pPr>
        <w:ind w:firstLine="540"/>
      </w:pPr>
      <w:r w:rsidRPr="00255291">
        <w:t xml:space="preserve">TDA (2007). </w:t>
      </w:r>
      <w:r w:rsidRPr="00255291">
        <w:rPr>
          <w:i/>
        </w:rPr>
        <w:t xml:space="preserve">NQT Survey 200, TDA, </w:t>
      </w:r>
      <w:smartTag w:uri="urn:schemas-microsoft-com:office:smarttags" w:element="City">
        <w:smartTag w:uri="urn:schemas-microsoft-com:office:smarttags" w:element="place">
          <w:r w:rsidRPr="00255291">
            <w:rPr>
              <w:i/>
            </w:rPr>
            <w:t>London</w:t>
          </w:r>
        </w:smartTag>
      </w:smartTag>
      <w:r w:rsidRPr="00255291">
        <w:rPr>
          <w:i/>
        </w:rPr>
        <w:t xml:space="preserve">. </w:t>
      </w:r>
      <w:r w:rsidRPr="00255291">
        <w:t>Retrieved 1 February 2008 www.tda.gov.uk/partners/datasurveys/nqtsurvey/nqtsurvey2007.aspx</w:t>
      </w:r>
    </w:p>
    <w:p w:rsidR="00255291" w:rsidRPr="00255291" w:rsidRDefault="00F960E6" w:rsidP="00E20C91">
      <w:pPr>
        <w:ind w:firstLine="540"/>
      </w:pPr>
      <w:r>
        <w:t>Van Merrienboer, J.</w:t>
      </w:r>
      <w:r w:rsidR="00255291" w:rsidRPr="00255291">
        <w:t xml:space="preserve">. and Paas, F. (2003) Powerful learning and the many faces of instructional design: towards a framework for the design of powerful learning environments in (Eds  E. DeCorte, L. Verschaffel, N. Entwhistle and J. Van Merrienboer) </w:t>
      </w:r>
      <w:r w:rsidR="00255291" w:rsidRPr="00255291">
        <w:rPr>
          <w:i/>
        </w:rPr>
        <w:t>Powerful Learning Environments</w:t>
      </w:r>
      <w:r w:rsidR="00255291" w:rsidRPr="00255291">
        <w:t xml:space="preserve">: Unravelling Basic Components and Dimensions. Pergamon: </w:t>
      </w:r>
      <w:smartTag w:uri="urn:schemas-microsoft-com:office:smarttags" w:element="City">
        <w:smartTag w:uri="urn:schemas-microsoft-com:office:smarttags" w:element="place">
          <w:r w:rsidR="00255291" w:rsidRPr="00255291">
            <w:t>Oxford</w:t>
          </w:r>
        </w:smartTag>
      </w:smartTag>
      <w:r w:rsidR="00255291" w:rsidRPr="00255291">
        <w:t>.</w:t>
      </w:r>
    </w:p>
    <w:p w:rsidR="00255291" w:rsidRPr="00255291" w:rsidRDefault="00255291" w:rsidP="00E20C91">
      <w:pPr>
        <w:ind w:firstLine="540"/>
      </w:pPr>
      <w:r w:rsidRPr="00255291">
        <w:t xml:space="preserve">Veen, W. (1993). The role of beliefs in the use of information technology: implications for teacher education or teaching the right thing at the right time, </w:t>
      </w:r>
      <w:r w:rsidRPr="00255291">
        <w:rPr>
          <w:i/>
        </w:rPr>
        <w:t>Journal of Information Technology for Teacher Education</w:t>
      </w:r>
      <w:r w:rsidRPr="00255291">
        <w:t>. 1, 2, 139-152.</w:t>
      </w:r>
    </w:p>
    <w:p w:rsidR="00255291" w:rsidRPr="00255291" w:rsidRDefault="00255291" w:rsidP="00E20C91">
      <w:pPr>
        <w:ind w:firstLine="540"/>
      </w:pPr>
      <w:r w:rsidRPr="00255291">
        <w:t xml:space="preserve">Wang, Y. (2002) When technology meets beliefs: Preservice teachers’ perception of the teacher’s role in the classroom with computers, </w:t>
      </w:r>
      <w:r w:rsidRPr="00255291">
        <w:rPr>
          <w:i/>
        </w:rPr>
        <w:t>Journal of Research on Teachnology in Education</w:t>
      </w:r>
      <w:r w:rsidRPr="00255291">
        <w:t>, 35, 150-161.</w:t>
      </w:r>
    </w:p>
    <w:p w:rsidR="00255291" w:rsidRPr="00255291" w:rsidRDefault="00255291" w:rsidP="00E20C91">
      <w:pPr>
        <w:ind w:firstLine="540"/>
      </w:pPr>
      <w:r w:rsidRPr="00255291">
        <w:t xml:space="preserve">Woodfield, R. (2000). </w:t>
      </w:r>
      <w:r w:rsidRPr="00255291">
        <w:rPr>
          <w:i/>
        </w:rPr>
        <w:t>Women, Work and Computing</w:t>
      </w:r>
      <w:r w:rsidRPr="00255291">
        <w:t xml:space="preserve">, </w:t>
      </w:r>
      <w:smartTag w:uri="urn:schemas-microsoft-com:office:smarttags" w:element="PlaceName">
        <w:r w:rsidRPr="00255291">
          <w:t>Cambridge</w:t>
        </w:r>
      </w:smartTag>
      <w:r w:rsidRPr="00255291">
        <w:t xml:space="preserve"> </w:t>
      </w:r>
      <w:smartTag w:uri="urn:schemas-microsoft-com:office:smarttags" w:element="PlaceType">
        <w:r w:rsidRPr="00255291">
          <w:t>University</w:t>
        </w:r>
      </w:smartTag>
      <w:r w:rsidRPr="00255291">
        <w:t xml:space="preserve"> Press, </w:t>
      </w:r>
      <w:smartTag w:uri="urn:schemas-microsoft-com:office:smarttags" w:element="City">
        <w:smartTag w:uri="urn:schemas-microsoft-com:office:smarttags" w:element="place">
          <w:r w:rsidRPr="00255291">
            <w:t>Cambridge</w:t>
          </w:r>
        </w:smartTag>
      </w:smartTag>
      <w:r w:rsidRPr="00255291">
        <w:t>.</w:t>
      </w:r>
    </w:p>
    <w:p w:rsidR="00255291" w:rsidRPr="00255291" w:rsidRDefault="00255291" w:rsidP="00E20C91">
      <w:pPr>
        <w:ind w:firstLine="540"/>
      </w:pPr>
      <w:r w:rsidRPr="00255291">
        <w:t xml:space="preserve">Yoon, F. S., Ho, J. and Hedberg, J. G. (2005) Teacher understandings of technology affordances and their impact on the design of engaging learning experiences, </w:t>
      </w:r>
      <w:r w:rsidRPr="00255291">
        <w:rPr>
          <w:i/>
        </w:rPr>
        <w:t>Educational Media International</w:t>
      </w:r>
      <w:r w:rsidRPr="00255291">
        <w:t>, 42, 4, 297-316.</w:t>
      </w:r>
    </w:p>
    <w:p w:rsidR="00255291" w:rsidRPr="00255291" w:rsidRDefault="00255291" w:rsidP="00E20C91">
      <w:pPr>
        <w:ind w:firstLine="540"/>
      </w:pPr>
      <w:r w:rsidRPr="00255291">
        <w:t xml:space="preserve">Zhao, Y. and Cziko, G. (2001) Teacher adoption of technology: a perceptual control theory perspective, </w:t>
      </w:r>
      <w:r w:rsidRPr="00255291">
        <w:rPr>
          <w:i/>
        </w:rPr>
        <w:t>Journal of Technology and Teacher Education</w:t>
      </w:r>
      <w:r w:rsidRPr="00255291">
        <w:t>, 9, 1, 5-30.</w:t>
      </w:r>
    </w:p>
    <w:p w:rsidR="00E20C91" w:rsidRPr="00255291" w:rsidRDefault="00E20C91"/>
    <w:sectPr w:rsidR="00E20C91" w:rsidRPr="00255291">
      <w:footerReference w:type="even"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209D" w:rsidRDefault="00CB209D">
      <w:r>
        <w:separator/>
      </w:r>
    </w:p>
  </w:endnote>
  <w:endnote w:type="continuationSeparator" w:id="1">
    <w:p w:rsidR="00CB209D" w:rsidRDefault="00CB209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7C5" w:rsidRDefault="002047C5" w:rsidP="00891E9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047C5" w:rsidRDefault="002047C5" w:rsidP="001706C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47C5" w:rsidRDefault="002047C5" w:rsidP="00891E9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914D3">
      <w:rPr>
        <w:rStyle w:val="PageNumber"/>
        <w:noProof/>
      </w:rPr>
      <w:t>4</w:t>
    </w:r>
    <w:r>
      <w:rPr>
        <w:rStyle w:val="PageNumber"/>
      </w:rPr>
      <w:fldChar w:fldCharType="end"/>
    </w:r>
  </w:p>
  <w:p w:rsidR="002047C5" w:rsidRDefault="002047C5" w:rsidP="001706C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209D" w:rsidRDefault="00CB209D">
      <w:r>
        <w:separator/>
      </w:r>
    </w:p>
  </w:footnote>
  <w:footnote w:type="continuationSeparator" w:id="1">
    <w:p w:rsidR="00CB209D" w:rsidRDefault="00CB20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F7546"/>
    <w:multiLevelType w:val="hybridMultilevel"/>
    <w:tmpl w:val="C0806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E6036A4"/>
    <w:multiLevelType w:val="multilevel"/>
    <w:tmpl w:val="4A7E45AE"/>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46CF29D5"/>
    <w:multiLevelType w:val="hybridMultilevel"/>
    <w:tmpl w:val="32C2CC24"/>
    <w:lvl w:ilvl="0" w:tplc="0809000F">
      <w:start w:val="1"/>
      <w:numFmt w:val="decimal"/>
      <w:lvlText w:val="%1."/>
      <w:lvlJc w:val="left"/>
      <w:pPr>
        <w:tabs>
          <w:tab w:val="num" w:pos="1080"/>
        </w:tabs>
        <w:ind w:left="1080" w:hanging="360"/>
      </w:p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
    <w:nsid w:val="58835BEC"/>
    <w:multiLevelType w:val="hybridMultilevel"/>
    <w:tmpl w:val="57E8D0CE"/>
    <w:lvl w:ilvl="0" w:tplc="00E6BE02">
      <w:start w:val="1"/>
      <w:numFmt w:val="bullet"/>
      <w:pStyle w:val="abullet"/>
      <w:lvlText w:val=""/>
      <w:lvlJc w:val="left"/>
      <w:pPr>
        <w:tabs>
          <w:tab w:val="num" w:pos="720"/>
        </w:tabs>
        <w:ind w:left="720" w:hanging="360"/>
      </w:pPr>
      <w:rPr>
        <w:rFonts w:ascii="Symbol" w:hAnsi="Symbol" w:hint="default"/>
        <w:sz w:val="16"/>
        <w:szCs w:val="16"/>
      </w:rPr>
    </w:lvl>
    <w:lvl w:ilvl="1" w:tplc="0809000F">
      <w:start w:val="1"/>
      <w:numFmt w:val="decimal"/>
      <w:lvlText w:val="%2."/>
      <w:lvlJc w:val="left"/>
      <w:pPr>
        <w:tabs>
          <w:tab w:val="num" w:pos="1440"/>
        </w:tabs>
        <w:ind w:left="1440" w:hanging="360"/>
      </w:pPr>
      <w:rPr>
        <w:rFonts w:hint="default"/>
        <w:sz w:val="16"/>
        <w:szCs w:val="16"/>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5E454561"/>
    <w:multiLevelType w:val="hybridMultilevel"/>
    <w:tmpl w:val="79F4E676"/>
    <w:lvl w:ilvl="0" w:tplc="4170E25A">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703F5EF6"/>
    <w:multiLevelType w:val="hybridMultilevel"/>
    <w:tmpl w:val="0DC6C57A"/>
    <w:lvl w:ilvl="0" w:tplc="3732F31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75ED438E"/>
    <w:multiLevelType w:val="hybridMultilevel"/>
    <w:tmpl w:val="17DCC470"/>
    <w:lvl w:ilvl="0" w:tplc="B2366042">
      <w:numFmt w:val="bullet"/>
      <w:lvlText w:val="-"/>
      <w:lvlJc w:val="left"/>
      <w:pPr>
        <w:tabs>
          <w:tab w:val="num" w:pos="720"/>
        </w:tabs>
        <w:ind w:left="720" w:hanging="36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nsid w:val="7610152B"/>
    <w:multiLevelType w:val="multilevel"/>
    <w:tmpl w:val="F336E9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
    <w:nsid w:val="7A695D8F"/>
    <w:multiLevelType w:val="hybridMultilevel"/>
    <w:tmpl w:val="A58A4ACE"/>
    <w:lvl w:ilvl="0" w:tplc="C9FC7A26">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8"/>
  </w:num>
  <w:num w:numId="2">
    <w:abstractNumId w:val="6"/>
  </w:num>
  <w:num w:numId="3">
    <w:abstractNumId w:val="0"/>
  </w:num>
  <w:num w:numId="4">
    <w:abstractNumId w:val="2"/>
  </w:num>
  <w:num w:numId="5">
    <w:abstractNumId w:val="4"/>
  </w:num>
  <w:num w:numId="6">
    <w:abstractNumId w:val="1"/>
  </w:num>
  <w:num w:numId="7">
    <w:abstractNumId w:val="5"/>
  </w:num>
  <w:num w:numId="8">
    <w:abstractNumId w:val="7"/>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1F08"/>
  <w:defaultTabStop w:val="720"/>
  <w:noPunctuationKerning/>
  <w:characterSpacingControl w:val="doNotCompress"/>
  <w:footnotePr>
    <w:footnote w:id="0"/>
    <w:footnote w:id="1"/>
  </w:footnotePr>
  <w:endnotePr>
    <w:endnote w:id="0"/>
    <w:endnote w:id="1"/>
  </w:endnotePr>
  <w:compat/>
  <w:rsids>
    <w:rsidRoot w:val="00FE5E3F"/>
    <w:rsid w:val="0002355D"/>
    <w:rsid w:val="000914D3"/>
    <w:rsid w:val="00096E1B"/>
    <w:rsid w:val="00115F14"/>
    <w:rsid w:val="001456F1"/>
    <w:rsid w:val="00164AA1"/>
    <w:rsid w:val="001706CB"/>
    <w:rsid w:val="00176B1A"/>
    <w:rsid w:val="001944B0"/>
    <w:rsid w:val="001B6675"/>
    <w:rsid w:val="002034CA"/>
    <w:rsid w:val="002047C5"/>
    <w:rsid w:val="0023507E"/>
    <w:rsid w:val="00255291"/>
    <w:rsid w:val="00292E3B"/>
    <w:rsid w:val="002940EC"/>
    <w:rsid w:val="002E424A"/>
    <w:rsid w:val="00303CBE"/>
    <w:rsid w:val="00311753"/>
    <w:rsid w:val="0031582D"/>
    <w:rsid w:val="00353B5F"/>
    <w:rsid w:val="00380860"/>
    <w:rsid w:val="003D4465"/>
    <w:rsid w:val="00414241"/>
    <w:rsid w:val="00462B26"/>
    <w:rsid w:val="004C3BBB"/>
    <w:rsid w:val="004E75DC"/>
    <w:rsid w:val="004F4055"/>
    <w:rsid w:val="00533E40"/>
    <w:rsid w:val="0056168A"/>
    <w:rsid w:val="0059660C"/>
    <w:rsid w:val="005C5400"/>
    <w:rsid w:val="005E24BC"/>
    <w:rsid w:val="00636664"/>
    <w:rsid w:val="00673457"/>
    <w:rsid w:val="00686FAA"/>
    <w:rsid w:val="006C2D1F"/>
    <w:rsid w:val="00734228"/>
    <w:rsid w:val="00737AC1"/>
    <w:rsid w:val="00751354"/>
    <w:rsid w:val="007D7A4E"/>
    <w:rsid w:val="00835011"/>
    <w:rsid w:val="00875E90"/>
    <w:rsid w:val="00891E9A"/>
    <w:rsid w:val="008A7AC1"/>
    <w:rsid w:val="008C3698"/>
    <w:rsid w:val="008F5611"/>
    <w:rsid w:val="008F5640"/>
    <w:rsid w:val="00921124"/>
    <w:rsid w:val="009A12AF"/>
    <w:rsid w:val="00A446E7"/>
    <w:rsid w:val="00A511F3"/>
    <w:rsid w:val="00A512E8"/>
    <w:rsid w:val="00AB127F"/>
    <w:rsid w:val="00AC73F5"/>
    <w:rsid w:val="00B13174"/>
    <w:rsid w:val="00B1625D"/>
    <w:rsid w:val="00B217E7"/>
    <w:rsid w:val="00B34804"/>
    <w:rsid w:val="00B804B5"/>
    <w:rsid w:val="00B82FC9"/>
    <w:rsid w:val="00BC0B05"/>
    <w:rsid w:val="00BE621F"/>
    <w:rsid w:val="00C00A60"/>
    <w:rsid w:val="00C70ED3"/>
    <w:rsid w:val="00CB209D"/>
    <w:rsid w:val="00CB32A4"/>
    <w:rsid w:val="00CC0151"/>
    <w:rsid w:val="00CE2044"/>
    <w:rsid w:val="00CF0CAF"/>
    <w:rsid w:val="00D30010"/>
    <w:rsid w:val="00D57E64"/>
    <w:rsid w:val="00D979D2"/>
    <w:rsid w:val="00DA2583"/>
    <w:rsid w:val="00DC65BB"/>
    <w:rsid w:val="00E12CDD"/>
    <w:rsid w:val="00E20C91"/>
    <w:rsid w:val="00E62CA5"/>
    <w:rsid w:val="00E82195"/>
    <w:rsid w:val="00E90400"/>
    <w:rsid w:val="00EA265C"/>
    <w:rsid w:val="00EC23A6"/>
    <w:rsid w:val="00EE5770"/>
    <w:rsid w:val="00EF205C"/>
    <w:rsid w:val="00F42621"/>
    <w:rsid w:val="00F673B1"/>
    <w:rsid w:val="00F960E6"/>
    <w:rsid w:val="00FE2BE6"/>
    <w:rsid w:val="00FE5E3F"/>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ate"/>
  <w:smartTagType w:namespaceuri="urn:schemas-microsoft-com:office:smarttags" w:name="stockticker"/>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City"/>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636664"/>
    <w:pPr>
      <w:spacing w:before="120" w:after="180" w:line="288" w:lineRule="auto"/>
      <w:jc w:val="both"/>
    </w:pPr>
    <w:rPr>
      <w:sz w:val="24"/>
      <w:szCs w:val="24"/>
    </w:rPr>
  </w:style>
  <w:style w:type="paragraph" w:styleId="Heading1">
    <w:name w:val="heading 1"/>
    <w:basedOn w:val="Normal"/>
    <w:next w:val="Normal"/>
    <w:qFormat/>
    <w:rsid w:val="00E20C91"/>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20C91"/>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636664"/>
    <w:pPr>
      <w:keepNext/>
      <w:spacing w:before="240" w:after="60"/>
      <w:outlineLvl w:val="2"/>
    </w:pPr>
    <w:rPr>
      <w:rFonts w:ascii="Arial" w:hAnsi="Arial" w:cs="Arial"/>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NormalWeb">
    <w:name w:val="Normal (Web)"/>
    <w:basedOn w:val="Normal"/>
    <w:uiPriority w:val="99"/>
    <w:rsid w:val="00BE621F"/>
    <w:pPr>
      <w:spacing w:before="100" w:beforeAutospacing="1" w:after="100" w:afterAutospacing="1"/>
    </w:pPr>
  </w:style>
  <w:style w:type="character" w:styleId="Strong">
    <w:name w:val="Strong"/>
    <w:basedOn w:val="DefaultParagraphFont"/>
    <w:qFormat/>
    <w:rsid w:val="00BE621F"/>
    <w:rPr>
      <w:b/>
      <w:bCs/>
    </w:rPr>
  </w:style>
  <w:style w:type="paragraph" w:styleId="Footer">
    <w:name w:val="footer"/>
    <w:basedOn w:val="Normal"/>
    <w:rsid w:val="001706CB"/>
    <w:pPr>
      <w:tabs>
        <w:tab w:val="center" w:pos="4153"/>
        <w:tab w:val="right" w:pos="8306"/>
      </w:tabs>
    </w:pPr>
  </w:style>
  <w:style w:type="character" w:styleId="PageNumber">
    <w:name w:val="page number"/>
    <w:basedOn w:val="DefaultParagraphFont"/>
    <w:rsid w:val="001706CB"/>
  </w:style>
  <w:style w:type="character" w:styleId="Emphasis">
    <w:name w:val="Emphasis"/>
    <w:basedOn w:val="DefaultParagraphFont"/>
    <w:uiPriority w:val="20"/>
    <w:qFormat/>
    <w:rsid w:val="00096E1B"/>
    <w:rPr>
      <w:i/>
      <w:iCs/>
    </w:rPr>
  </w:style>
  <w:style w:type="character" w:styleId="Hyperlink">
    <w:name w:val="Hyperlink"/>
    <w:basedOn w:val="DefaultParagraphFont"/>
    <w:rsid w:val="00EC23A6"/>
    <w:rPr>
      <w:color w:val="0000FF"/>
      <w:u w:val="single"/>
    </w:rPr>
  </w:style>
  <w:style w:type="paragraph" w:customStyle="1" w:styleId="abullet">
    <w:name w:val="abullet"/>
    <w:basedOn w:val="Normal"/>
    <w:rsid w:val="00E20C91"/>
    <w:pPr>
      <w:numPr>
        <w:numId w:val="9"/>
      </w:numPr>
    </w:pPr>
  </w:style>
</w:styles>
</file>

<file path=word/webSettings.xml><?xml version="1.0" encoding="utf-8"?>
<w:webSettings xmlns:r="http://schemas.openxmlformats.org/officeDocument/2006/relationships" xmlns:w="http://schemas.openxmlformats.org/wordprocessingml/2006/main">
  <w:divs>
    <w:div w:id="517619168">
      <w:bodyDiv w:val="1"/>
      <w:marLeft w:val="0"/>
      <w:marRight w:val="0"/>
      <w:marTop w:val="0"/>
      <w:marBottom w:val="0"/>
      <w:divBdr>
        <w:top w:val="none" w:sz="0" w:space="0" w:color="auto"/>
        <w:left w:val="none" w:sz="0" w:space="0" w:color="auto"/>
        <w:bottom w:val="none" w:sz="0" w:space="0" w:color="auto"/>
        <w:right w:val="none" w:sz="0" w:space="0" w:color="auto"/>
      </w:divBdr>
      <w:divsChild>
        <w:div w:id="1218004898">
          <w:marLeft w:val="0"/>
          <w:marRight w:val="0"/>
          <w:marTop w:val="0"/>
          <w:marBottom w:val="0"/>
          <w:divBdr>
            <w:top w:val="none" w:sz="0" w:space="0" w:color="auto"/>
            <w:left w:val="none" w:sz="0" w:space="0" w:color="auto"/>
            <w:bottom w:val="none" w:sz="0" w:space="0" w:color="auto"/>
            <w:right w:val="none" w:sz="0" w:space="0" w:color="auto"/>
          </w:divBdr>
          <w:divsChild>
            <w:div w:id="189589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ecta.org.uk/policybriefing/index.cf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4780</Words>
  <Characters>27248</Characters>
  <Application>Microsoft Office Word</Application>
  <DocSecurity>4</DocSecurity>
  <Lines>227</Lines>
  <Paragraphs>63</Paragraphs>
  <ScaleCrop>false</ScaleCrop>
  <HeadingPairs>
    <vt:vector size="2" baseType="variant">
      <vt:variant>
        <vt:lpstr>Title</vt:lpstr>
      </vt:variant>
      <vt:variant>
        <vt:i4>1</vt:i4>
      </vt:variant>
    </vt:vector>
  </HeadingPairs>
  <TitlesOfParts>
    <vt:vector size="1" baseType="lpstr">
      <vt:lpstr>Engagement and ICT</vt:lpstr>
    </vt:vector>
  </TitlesOfParts>
  <Company>University of Warwick</Company>
  <LinksUpToDate>false</LinksUpToDate>
  <CharactersWithSpaces>31965</CharactersWithSpaces>
  <SharedDoc>false</SharedDoc>
  <HLinks>
    <vt:vector size="6" baseType="variant">
      <vt:variant>
        <vt:i4>262216</vt:i4>
      </vt:variant>
      <vt:variant>
        <vt:i4>0</vt:i4>
      </vt:variant>
      <vt:variant>
        <vt:i4>0</vt:i4>
      </vt:variant>
      <vt:variant>
        <vt:i4>5</vt:i4>
      </vt:variant>
      <vt:variant>
        <vt:lpwstr>http://www.becta.org.uk/policybriefing/index.cfm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Engagement and ICT</dc:title>
  <dc:subject/>
  <dc:creator>edsgbt</dc:creator>
  <cp:keywords/>
  <cp:lastModifiedBy>hammondmP</cp:lastModifiedBy>
  <cp:revision>2</cp:revision>
  <cp:lastPrinted>2009-10-28T11:10:00Z</cp:lastPrinted>
  <dcterms:created xsi:type="dcterms:W3CDTF">2009-10-28T11:10:00Z</dcterms:created>
  <dcterms:modified xsi:type="dcterms:W3CDTF">2009-10-28T11:10:00Z</dcterms:modified>
</cp:coreProperties>
</file>