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98D" w:rsidRPr="006D4B1F" w:rsidRDefault="0064298D" w:rsidP="006D4B1F">
      <w:pPr>
        <w:pStyle w:val="Heading1"/>
      </w:pPr>
      <w:r w:rsidRPr="006D4B1F">
        <w:t>Some key terms</w:t>
      </w:r>
    </w:p>
    <w:p w:rsidR="002939AE" w:rsidRPr="002939AE" w:rsidRDefault="002939AE" w:rsidP="006D4B1F">
      <w:r>
        <w:t xml:space="preserve">These are reminders of some of the terms we used in the first year and taken from our recent book on research methods. </w:t>
      </w:r>
    </w:p>
    <w:p w:rsidR="00A93EF5" w:rsidRPr="0064298D" w:rsidRDefault="00A93EF5" w:rsidP="006D4B1F">
      <w:pPr>
        <w:pStyle w:val="Heading3"/>
      </w:pPr>
      <w:r w:rsidRPr="0064298D">
        <w:t>Validity</w:t>
      </w:r>
    </w:p>
    <w:p w:rsidR="00A93EF5" w:rsidRDefault="00A93EF5" w:rsidP="006D4B1F">
      <w:r w:rsidRPr="00E9301D">
        <w:t xml:space="preserve">Validity has a wide range of meaning both in everyday speech and within social research. A valid argument may be one that is logically true (see </w:t>
      </w:r>
      <w:r w:rsidRPr="00E9301D">
        <w:rPr>
          <w:rStyle w:val="normalbold"/>
        </w:rPr>
        <w:t>deduction</w:t>
      </w:r>
      <w:r w:rsidRPr="00E9301D">
        <w:t xml:space="preserve">) or, with less certainty, a valid argument is a strong one and supported with convincing evidence. </w:t>
      </w:r>
      <w:r>
        <w:t>V</w:t>
      </w:r>
      <w:r w:rsidRPr="00E9301D">
        <w:t xml:space="preserve">alidity may be used as a general term to discuss the fit, or lack of fit, between an interpretation of data and the data themselves or validity may be used in a more technical sense, for example a measure of correlation between predicted and recorded data.  </w:t>
      </w:r>
    </w:p>
    <w:p w:rsidR="0064298D" w:rsidRPr="00E9301D" w:rsidRDefault="0064298D" w:rsidP="006D4B1F">
      <w:r w:rsidRPr="00E9301D">
        <w:t>There are challenges in using the concept of validity. The first is to keep in mind that the really important question is the ‘internal validity’ of the research. This covers the logic of the research; the clarity with which questions are formed; the fit of methodology and methods to the research questions being asked; the marshalling of evidence in support of propositions. Often researchers address validity in a mechanistic way, they address the statistical measurement of construct validity, they discuss threats to validity including the take up rates of questionnaire surveys, bias in ways questions have been structured, and the limitations of statistical testing but miss the bigger picture regarding the ‘warrant’ (</w:t>
      </w:r>
      <w:proofErr w:type="spellStart"/>
      <w:r w:rsidRPr="00E9301D">
        <w:t>Toulmin</w:t>
      </w:r>
      <w:proofErr w:type="spellEnd"/>
      <w:r w:rsidRPr="00E9301D">
        <w:t>, 1958) or the claim to knowledge they are making. The warrant is about the conclusion being drawn from the data rather than the technical validity and reliability of the data per se (</w:t>
      </w:r>
      <w:r w:rsidRPr="00E9301D">
        <w:rPr>
          <w:lang/>
        </w:rPr>
        <w:t>Gorard</w:t>
      </w:r>
      <w:r w:rsidRPr="00E9301D">
        <w:t xml:space="preserve">, </w:t>
      </w:r>
      <w:r w:rsidRPr="00E9301D">
        <w:rPr>
          <w:lang/>
        </w:rPr>
        <w:t>2002</w:t>
      </w:r>
      <w:r w:rsidRPr="00E9301D">
        <w:t xml:space="preserve">). </w:t>
      </w:r>
    </w:p>
    <w:p w:rsidR="006D4B1F" w:rsidRPr="006D4B1F" w:rsidRDefault="00A93EF5" w:rsidP="006D4B1F">
      <w:pPr>
        <w:pStyle w:val="Heading3"/>
      </w:pPr>
      <w:r w:rsidRPr="006D4B1F">
        <w:rPr>
          <w:rStyle w:val="normalbold"/>
          <w:b/>
        </w:rPr>
        <w:t>Reliability</w:t>
      </w:r>
      <w:r w:rsidRPr="006D4B1F">
        <w:t xml:space="preserve"> </w:t>
      </w:r>
    </w:p>
    <w:p w:rsidR="00A93EF5" w:rsidRPr="00E9301D" w:rsidRDefault="006D4B1F" w:rsidP="006D4B1F">
      <w:r>
        <w:t xml:space="preserve">This </w:t>
      </w:r>
      <w:r w:rsidR="00A93EF5" w:rsidRPr="00E9301D">
        <w:t xml:space="preserve">represents the consistency of the </w:t>
      </w:r>
      <w:proofErr w:type="gramStart"/>
      <w:r w:rsidR="00A93EF5" w:rsidRPr="00E9301D">
        <w:t>measurement,</w:t>
      </w:r>
      <w:proofErr w:type="gramEnd"/>
      <w:r w:rsidR="00A93EF5" w:rsidRPr="00E9301D">
        <w:t xml:space="preserve"> validity considers the appropriateness of the measure. By way of analogy, a thermometer may be a very reliable measure of temperature but not a valid instrument for measuring wind speed, for which, say, manual observation of the rotation of child’s windmill may be much more valid but much less reliable. A reliable measure is a consistent one:  a question might be reliable if it is clear enough to be interpreted in the same way by different people; an application of </w:t>
      </w:r>
      <w:r w:rsidR="00A93EF5" w:rsidRPr="00E9301D">
        <w:lastRenderedPageBreak/>
        <w:t>a coding scheme is reliable if different coders record behaviour using the same category; an observation might be reliable if noted by more than one person.</w:t>
      </w:r>
    </w:p>
    <w:p w:rsidR="00A93EF5" w:rsidRDefault="00A93EF5" w:rsidP="006D4B1F">
      <w:r w:rsidRPr="00E9301D">
        <w:t xml:space="preserve">Reliability as a concept should be treated critically. A questionnaire may be as statistical reliable as anyone can wish but if it is not addressing one’s research question it lacks </w:t>
      </w:r>
      <w:r w:rsidRPr="00E9301D">
        <w:rPr>
          <w:rStyle w:val="normalbold"/>
        </w:rPr>
        <w:t xml:space="preserve">validity: </w:t>
      </w:r>
      <w:r w:rsidRPr="00E9301D">
        <w:rPr>
          <w:rStyle w:val="normalbold"/>
          <w:b w:val="0"/>
        </w:rPr>
        <w:t>no matter how</w:t>
      </w:r>
      <w:r w:rsidRPr="00E9301D">
        <w:rPr>
          <w:rStyle w:val="normalbold"/>
        </w:rPr>
        <w:t xml:space="preserve"> </w:t>
      </w:r>
      <w:r w:rsidRPr="00E9301D">
        <w:t xml:space="preserve">accurately a watch displays the time it is never going to be the right tool for measuring temperature. </w:t>
      </w:r>
    </w:p>
    <w:p w:rsidR="006D4B1F" w:rsidRDefault="006D4B1F" w:rsidP="006D4B1F">
      <w:pPr>
        <w:pStyle w:val="Heading3"/>
      </w:pPr>
      <w:bookmarkStart w:id="0" w:name="_Toc299513371"/>
      <w:bookmarkStart w:id="1" w:name="_Toc309376544"/>
      <w:bookmarkStart w:id="2" w:name="_Toc318185439"/>
      <w:r w:rsidRPr="0064298D">
        <w:t>Triangulation</w:t>
      </w:r>
      <w:r w:rsidRPr="00E9301D">
        <w:t xml:space="preserve"> </w:t>
      </w:r>
    </w:p>
    <w:p w:rsidR="006D4B1F" w:rsidRPr="00E9301D" w:rsidRDefault="006D4B1F" w:rsidP="006D4B1F">
      <w:r>
        <w:t xml:space="preserve">This </w:t>
      </w:r>
      <w:r w:rsidRPr="00E9301D">
        <w:t xml:space="preserve">is a term used in different contexts but has come to be associated most clearly with the use of more than one method for gathering data and an explicit concern for </w:t>
      </w:r>
      <w:proofErr w:type="gramStart"/>
      <w:r w:rsidRPr="00E9301D">
        <w:t>comparison</w:t>
      </w:r>
      <w:proofErr w:type="gramEnd"/>
      <w:r w:rsidRPr="00E9301D">
        <w:t xml:space="preserve"> of different sets of data. However researchers also talk about triangulation of data over time (for example re interviewing the same respondents); triangulation of sources (for example seeing how the same event is described by people with different roles); triangulation of investigators (for example comparing the responses made to different interviewers especially in the context of open ended interviews when the interviewer may impact on the interview more than in structured interviews). Another context for triangulation is the analysis of data from different theoretical standpoints, for example interpreting the same data about work place learning through a community of practice perspective and then a traditional apprenticeship model. Yet another possible context for triangulation is comparing findings in one study with those in another – though this might come under the label of external validity. Respondent validation might also be considered as a kind of triangulation in which the researcher’s interpretation of data is compared to that of the respondent.</w:t>
      </w:r>
    </w:p>
    <w:p w:rsidR="006D4B1F" w:rsidRPr="00E9301D" w:rsidRDefault="006D4B1F" w:rsidP="006D4B1F">
      <w:r>
        <w:t>C</w:t>
      </w:r>
      <w:r w:rsidRPr="00E9301D">
        <w:t xml:space="preserve">onsistency within data can improve the credibility of findings – for example if respondents are saying the same things in different contexts at different times then, in a commonsensical way at least, the credibility of the findings are improved.  However there should not be an a priori assumption that consistency will be found or that consistency is a good thing.  Imagine carrying out workplace research and finding a manager who describes him or herself as accessible to those he or she manages. The same manager may be seen by those working under him or her as inaccessible and over bearing. The interviewer can go back to the manager and seek examples of accessible behaviour but unless there is a deliberate ‘deception’, there are always going to be varying </w:t>
      </w:r>
      <w:r w:rsidRPr="00E9301D">
        <w:lastRenderedPageBreak/>
        <w:t xml:space="preserve">interpretations of </w:t>
      </w:r>
      <w:proofErr w:type="gramStart"/>
      <w:r w:rsidRPr="00E9301D">
        <w:t>a behaviour</w:t>
      </w:r>
      <w:proofErr w:type="gramEnd"/>
      <w:r w:rsidRPr="00E9301D">
        <w:t xml:space="preserve">, not reliable versus unreliable accounts. There is not a single account of an event and there is often a mismatch between </w:t>
      </w:r>
      <w:r w:rsidRPr="00E9301D">
        <w:rPr>
          <w:rStyle w:val="normalbold"/>
        </w:rPr>
        <w:t xml:space="preserve">observation </w:t>
      </w:r>
      <w:r w:rsidRPr="00E9301D">
        <w:t xml:space="preserve">and reporting of behaviour. Contrasting findings should not glossed over, they are as worthy of comment as consistency.  </w:t>
      </w:r>
    </w:p>
    <w:p w:rsidR="006D4B1F" w:rsidRPr="00E9301D" w:rsidRDefault="006D4B1F" w:rsidP="006D4B1F">
      <w:r w:rsidRPr="00E9301D">
        <w:t>It is very difficult to argue that triangulation should not be employed in principle (</w:t>
      </w:r>
      <w:proofErr w:type="spellStart"/>
      <w:r w:rsidRPr="00E9301D">
        <w:t>Hammersley</w:t>
      </w:r>
      <w:proofErr w:type="spellEnd"/>
      <w:r w:rsidRPr="00E9301D">
        <w:t xml:space="preserve">, 2008). There are however practical challenges; getting additional sources of evidence involves more time and expense and there may be ethical problems which rule out certain methods. Researchers should acknowledge the value of triangulation but triangulation should not be sought in a mechanistic fashion. </w:t>
      </w:r>
    </w:p>
    <w:p w:rsidR="0064298D" w:rsidRPr="006D4B1F" w:rsidRDefault="0064298D" w:rsidP="006D4B1F">
      <w:pPr>
        <w:pStyle w:val="Heading3"/>
      </w:pPr>
      <w:r w:rsidRPr="006D4B1F">
        <w:t>Trustworthiness</w:t>
      </w:r>
      <w:bookmarkEnd w:id="0"/>
      <w:bookmarkEnd w:id="1"/>
      <w:bookmarkEnd w:id="2"/>
    </w:p>
    <w:p w:rsidR="0064298D" w:rsidRPr="00E9301D" w:rsidRDefault="0064298D" w:rsidP="006D4B1F">
      <w:r w:rsidRPr="00E9301D">
        <w:t xml:space="preserve">Trustworthiness has become a term used within ‘qualitative’ and mainstream interpretive research in order to describe the strength of the claims to knowledge the researcher is making.  In choosing to use this word researchers are rejecting the positivist connotations of the word </w:t>
      </w:r>
      <w:r w:rsidRPr="00E9301D">
        <w:rPr>
          <w:rStyle w:val="normalbold"/>
        </w:rPr>
        <w:t>validity</w:t>
      </w:r>
      <w:r w:rsidRPr="00E9301D">
        <w:t xml:space="preserve"> and are focusing more on the transactional relationship between reader and researcher.  But what is trustworthy?</w:t>
      </w:r>
    </w:p>
    <w:p w:rsidR="0064298D" w:rsidRPr="00E9301D" w:rsidRDefault="0064298D" w:rsidP="006D4B1F">
      <w:r w:rsidRPr="00E9301D">
        <w:t xml:space="preserve">Trustworthiness makes reference to the integrity of another individual. A trustworthy person is someone you can depend on and have confidence in.  Trust is established over time, people have acted as they said they would in the past and we have come to expect them to do the same again. Someone we trust will not cause us harm.  To trust someone is to make </w:t>
      </w:r>
      <w:proofErr w:type="gramStart"/>
      <w:r w:rsidRPr="00E9301D">
        <w:t>yourself</w:t>
      </w:r>
      <w:proofErr w:type="gramEnd"/>
      <w:r w:rsidRPr="00E9301D">
        <w:t xml:space="preserve"> vulnerable and trust is not to be given lightly. Betrayal of trust is harmful and can feel personally devastating. Trust pervades the ethics and the conduct of research. </w:t>
      </w:r>
    </w:p>
    <w:p w:rsidR="0064298D" w:rsidRPr="00E9301D" w:rsidRDefault="0064298D" w:rsidP="006D4B1F">
      <w:r w:rsidRPr="00E9301D">
        <w:t xml:space="preserve">Establishing trust between research and reader is not straightforward as it needs to be done at a distance. As a reader we might think an account is trustworthy if we have confidence in the text and we are willing to lay ourselves open to an argument. A trustworthy account is worth paying attention to (Lincoln and </w:t>
      </w:r>
      <w:proofErr w:type="spellStart"/>
      <w:r w:rsidRPr="00E9301D">
        <w:t>Guba</w:t>
      </w:r>
      <w:proofErr w:type="spellEnd"/>
      <w:r w:rsidRPr="00E9301D">
        <w:t>, 1985). Trustworthiness can be established through the marshalling of evidence. In particular a trustworthy account is one that is confirmable</w:t>
      </w:r>
      <w:r>
        <w:t xml:space="preserve">, credible, transferable and </w:t>
      </w:r>
      <w:r w:rsidRPr="00E9301D">
        <w:t>dependable</w:t>
      </w:r>
      <w:r>
        <w:t>.</w:t>
      </w:r>
      <w:r w:rsidRPr="00E9301D">
        <w:t xml:space="preserve"> These terms are capable of varying interpretation but confirmability is generally taken as </w:t>
      </w:r>
      <w:r w:rsidRPr="00E9301D">
        <w:lastRenderedPageBreak/>
        <w:t xml:space="preserve">a measure of how well the findings are supported by the data. This may be demonstrated, for example, by the use of member checking, peer review and participant validation. </w:t>
      </w:r>
    </w:p>
    <w:p w:rsidR="0064298D" w:rsidRPr="00E9301D" w:rsidRDefault="0064298D" w:rsidP="006D4B1F">
      <w:r w:rsidRPr="00E9301D">
        <w:t xml:space="preserve">Credibility is strongly related to confirmability, for example credibility is enhanced if the researcher has had prolonged engagement with participants. Transferability refers to the degree to which the findings of one’s inquiry can apply beyond the bounds of the project (see also relatability within </w:t>
      </w:r>
      <w:proofErr w:type="spellStart"/>
      <w:r w:rsidRPr="00E9301D">
        <w:rPr>
          <w:rStyle w:val="normalbold"/>
        </w:rPr>
        <w:t>generalizability</w:t>
      </w:r>
      <w:proofErr w:type="spellEnd"/>
      <w:r w:rsidRPr="00E9301D">
        <w:t xml:space="preserve">) and may be undertaken through comparison with other studies. Dependability considers the process of data collection, data analysis, and theory generation and is often evidenced by an ‘audit trail’. Theoretically at least, another researcher could follow the steps taken in the original study. A trustworthy account follows systematic and rigorous procedures; it does not represent the truth of a situation, there is no single truth to describe, but the account is worth paying more attention to than one constructed on everyday observation or anecdotal reportage. </w:t>
      </w:r>
    </w:p>
    <w:p w:rsidR="0064298D" w:rsidRDefault="0064298D" w:rsidP="006D4B1F">
      <w:r w:rsidRPr="00E9301D">
        <w:t xml:space="preserve">The concept of trustworthiness has been discussed in many research reports. An example is that of </w:t>
      </w:r>
      <w:proofErr w:type="spellStart"/>
      <w:r w:rsidRPr="00E9301D">
        <w:t>Shenton</w:t>
      </w:r>
      <w:proofErr w:type="spellEnd"/>
      <w:r w:rsidRPr="00E9301D">
        <w:t xml:space="preserve"> (2004) in writing about his own doctorate research on children and information handling. Here, for example,</w:t>
      </w:r>
      <w:r w:rsidRPr="002939AE">
        <w:rPr>
          <w:i/>
        </w:rPr>
        <w:t xml:space="preserve"> credibility</w:t>
      </w:r>
      <w:r w:rsidRPr="00E9301D">
        <w:t xml:space="preserve"> is seen as enhanced by the extent of data collection and the use of peer review and member checking, while</w:t>
      </w:r>
      <w:r w:rsidRPr="002939AE">
        <w:rPr>
          <w:i/>
        </w:rPr>
        <w:t xml:space="preserve"> transferability </w:t>
      </w:r>
      <w:r w:rsidRPr="00E9301D">
        <w:t xml:space="preserve">is demonstrated by creating an audit trail which is available to other researchers. Issues of dependability and confirmability are addressed through an independent audit of the research by a competent peer. Trustworthiness shifts us from discrete ‘states’ (‘this is valid’ / ‘this is not valid’) to degrees (‘this appears credible’, ‘this is more credible than that’).  However, the concept of trustworthiness is not always understood in the same way. </w:t>
      </w:r>
    </w:p>
    <w:p w:rsidR="006D4B1F" w:rsidRPr="006D4B1F" w:rsidRDefault="0064298D" w:rsidP="006D4B1F">
      <w:pPr>
        <w:pStyle w:val="Heading3"/>
      </w:pPr>
      <w:proofErr w:type="spellStart"/>
      <w:r w:rsidRPr="006D4B1F">
        <w:t>Generalizability</w:t>
      </w:r>
      <w:proofErr w:type="spellEnd"/>
      <w:r w:rsidRPr="006D4B1F">
        <w:t xml:space="preserve"> </w:t>
      </w:r>
    </w:p>
    <w:p w:rsidR="0064298D" w:rsidRPr="00E9301D" w:rsidRDefault="006D4B1F" w:rsidP="006D4B1F">
      <w:r>
        <w:t xml:space="preserve">This </w:t>
      </w:r>
      <w:r w:rsidR="0064298D" w:rsidRPr="00E9301D">
        <w:t xml:space="preserve">usually refers to the feasibility of using an insight developed in one context and applying it in another context.  Often </w:t>
      </w:r>
      <w:proofErr w:type="spellStart"/>
      <w:r w:rsidR="0064298D" w:rsidRPr="00E9301D">
        <w:t>generalizability</w:t>
      </w:r>
      <w:proofErr w:type="spellEnd"/>
      <w:r w:rsidR="0064298D" w:rsidRPr="00E9301D">
        <w:t xml:space="preserve"> is discussed in relation to the laws of natural science which predict the consequence of one action or one variable on another (for example the impact of heat on water) which are applicable anywhere and at any time.  Indeed the discovery of predictable general laws has been the great achievement of natural science and it is noticeable that, in contrast, social researchers seem unable to reach predictable generalisations as to such basic social questions as </w:t>
      </w:r>
      <w:r w:rsidR="0064298D" w:rsidRPr="00E9301D">
        <w:lastRenderedPageBreak/>
        <w:t xml:space="preserve">‘What is the likely impact of using method X to teach reading?’; ‘What is the impact of early intervention programmes on poverty?’; ‘What is the best way of tackling rates of re-offending?’. Indeed the attempts to develop </w:t>
      </w:r>
      <w:proofErr w:type="spellStart"/>
      <w:r w:rsidR="0064298D" w:rsidRPr="00E9301D">
        <w:t>generalisable</w:t>
      </w:r>
      <w:proofErr w:type="spellEnd"/>
      <w:r w:rsidR="0064298D" w:rsidRPr="00E9301D">
        <w:t xml:space="preserve"> findings, most explicitly undertaken within </w:t>
      </w:r>
      <w:r w:rsidR="0064298D" w:rsidRPr="00E9301D">
        <w:rPr>
          <w:rStyle w:val="normalbold"/>
        </w:rPr>
        <w:t>evidence based</w:t>
      </w:r>
      <w:r w:rsidR="0064298D" w:rsidRPr="00E9301D">
        <w:t xml:space="preserve"> </w:t>
      </w:r>
      <w:r w:rsidR="0064298D" w:rsidRPr="00E9301D">
        <w:rPr>
          <w:rStyle w:val="normalbold"/>
        </w:rPr>
        <w:t xml:space="preserve">practice </w:t>
      </w:r>
      <w:r w:rsidR="0064298D" w:rsidRPr="00E9301D">
        <w:t xml:space="preserve">and using </w:t>
      </w:r>
      <w:r w:rsidR="0064298D" w:rsidRPr="00E9301D">
        <w:rPr>
          <w:rStyle w:val="normalbold"/>
        </w:rPr>
        <w:t>experimental methods</w:t>
      </w:r>
      <w:r w:rsidR="0064298D" w:rsidRPr="00E9301D">
        <w:t xml:space="preserve">, have </w:t>
      </w:r>
      <w:proofErr w:type="gramStart"/>
      <w:r w:rsidR="0064298D" w:rsidRPr="00E9301D">
        <w:t>fallen</w:t>
      </w:r>
      <w:proofErr w:type="gramEnd"/>
      <w:r w:rsidR="0064298D" w:rsidRPr="00E9301D">
        <w:t xml:space="preserve"> short for several reasons: social contexts are too complex to reduce to a limited list of variables; studies cannot be replicated in the same way as in natural science; and social research must somehow deal with human agency. </w:t>
      </w:r>
    </w:p>
    <w:p w:rsidR="0064298D" w:rsidRPr="00E9301D" w:rsidRDefault="0064298D" w:rsidP="006D4B1F">
      <w:r w:rsidRPr="00E9301D">
        <w:t xml:space="preserve">While there is near universal agreement that there are no absolute laws which can be uncovered about the social world there is less agreement on the extent to which generalisations can be offered. Some argue that, on the basis of looking at consistency and contrast across studies, probabilistic statements can be made, i.e. by doing X and avoiding Y it is likely that some benefit will accrue. Those supporting this kind of probabilistic prediction are comforted by its acceptance, and obvious value, in some branches of physics, for example quantum physics, and meteorology, for example prediction of likely weather patterns. </w:t>
      </w:r>
      <w:proofErr w:type="spellStart"/>
      <w:r w:rsidRPr="00E9301D">
        <w:t>Bassey</w:t>
      </w:r>
      <w:proofErr w:type="spellEnd"/>
      <w:r w:rsidRPr="00E9301D">
        <w:t xml:space="preserve"> (2001) loosens the concept of probabilistic prediction further by suggesting there are ‘fuzzy’ generalisations to be made in social research, i.e. by taking a particular action a certain outcome ‘might’ happen. This appears eminently commonsensical even if the epistemological basis for such generalisation is not clear. </w:t>
      </w:r>
    </w:p>
    <w:p w:rsidR="0064298D" w:rsidRPr="00E9301D" w:rsidRDefault="0064298D" w:rsidP="006D4B1F">
      <w:r w:rsidRPr="00E9301D">
        <w:t xml:space="preserve">The easy stance regarding generalisation is to dismiss it as a hangover of </w:t>
      </w:r>
      <w:r w:rsidRPr="00E9301D">
        <w:rPr>
          <w:rStyle w:val="normalbold"/>
        </w:rPr>
        <w:t>positivism</w:t>
      </w:r>
      <w:r w:rsidRPr="00E9301D">
        <w:t xml:space="preserve"> and to pour scorn on attempts to generalize. However even those conducting context-rich, small scale research can be asked to consider the concept of generalisation more fully, for even if the researcher is not concerned with generalising, those reading the research are. Indeed readers are rarely interested in all the particulars which the researcher has painstakingly supplied and will have limited emotional attachment to the ‘subjects’ involved, but they will want know how this one study can be compared to others. It is quite reasonable to ask researchers to offer this kind of comparison even if pointing out the difficulties which this throws up. </w:t>
      </w:r>
    </w:p>
    <w:p w:rsidR="002939AE" w:rsidRPr="006D4B1F" w:rsidRDefault="002939AE" w:rsidP="006D4B1F">
      <w:pPr>
        <w:pStyle w:val="Heading3"/>
      </w:pPr>
      <w:r w:rsidRPr="006D4B1F">
        <w:t xml:space="preserve">Relatability </w:t>
      </w:r>
    </w:p>
    <w:p w:rsidR="0064298D" w:rsidRPr="00E9301D" w:rsidRDefault="0064298D" w:rsidP="006D4B1F">
      <w:r w:rsidRPr="00E9301D">
        <w:t xml:space="preserve">A weakened form of </w:t>
      </w:r>
      <w:proofErr w:type="spellStart"/>
      <w:r w:rsidRPr="00E9301D">
        <w:t>generalizability</w:t>
      </w:r>
      <w:proofErr w:type="spellEnd"/>
      <w:r w:rsidRPr="00E9301D">
        <w:t xml:space="preserve"> is that of relatability and this may help in explaining the contribution of case study and of more interpretive approaches to social research. A </w:t>
      </w:r>
      <w:r w:rsidRPr="00E9301D">
        <w:lastRenderedPageBreak/>
        <w:t xml:space="preserve">study becomes relatable when there is enough background detail, appropriately presented, to enable the practitioner and / or fellow researcher to recognise a case as similar </w:t>
      </w:r>
      <w:proofErr w:type="gramStart"/>
      <w:r w:rsidRPr="00E9301D">
        <w:t>to their own</w:t>
      </w:r>
      <w:proofErr w:type="gramEnd"/>
      <w:r w:rsidRPr="00E9301D">
        <w:t xml:space="preserve">. A study that is relatable does not ‘tell’ the practitioner how to behave but helps him or her assess the likely consequences of choosing to follow the actions reported in that study. The researcher, through detailed description and skilful reporting, may increase the relatability of a study but much needs to be assessed and judged by the reader, given his or her experience, knowledge and wisdom. But this has one important caveat, as Roberts (1996, p.147) points out: ‘As with any research, the reader has to rely on the integrity of the researcher to select and present the evidence fairly’. Relatability implies there is enough which is common between contexts to make some generalisation worthwhile but enough which is different to make any generalisation a task for imaginative interpretation. </w:t>
      </w:r>
    </w:p>
    <w:p w:rsidR="002939AE" w:rsidRPr="006D4B1F" w:rsidRDefault="002939AE" w:rsidP="006D4B1F">
      <w:pPr>
        <w:pStyle w:val="Heading3"/>
      </w:pPr>
      <w:bookmarkStart w:id="3" w:name="_Toc318185431"/>
      <w:r w:rsidRPr="006D4B1F">
        <w:t>Reflexivity</w:t>
      </w:r>
      <w:bookmarkEnd w:id="3"/>
      <w:r w:rsidRPr="006D4B1F">
        <w:t xml:space="preserve"> </w:t>
      </w:r>
    </w:p>
    <w:p w:rsidR="002939AE" w:rsidRPr="00E9301D" w:rsidRDefault="002939AE" w:rsidP="006D4B1F">
      <w:r w:rsidRPr="00E9301D">
        <w:t xml:space="preserve">Reflexivity generally refers to the examination of one’s own beliefs, judgments and practices during the research process and how these may have influenced the research. If positionality refers to what we know and believe then reflexivity is about what we do with this knowledge.  Reflexivity involves questioning one’s own taken for granted assumptions. Essentially, it involves drawing attention to the researcher as opposed to ‘brushing her or him under the carpet’ and pretending that she or he did not have an impact or influence. It requires openness and an acceptance that the researcher is part of the research (Finlay 1998). Reflexivity is not the same as being ‘reflective’: all researchers think about and make judgements about their data (for example, ‘do the data suggest a certain conclusion can be drawn?’); reflexivity steps further back and examines the person making the judgements (‘am I the kind of person who will be predisposed to believe that the data suggest this conclusion?’). </w:t>
      </w:r>
    </w:p>
    <w:p w:rsidR="00194270" w:rsidRDefault="002939AE" w:rsidP="006D4B1F">
      <w:r w:rsidRPr="006D4B1F">
        <w:rPr>
          <w:b/>
        </w:rPr>
        <w:t>P</w:t>
      </w:r>
      <w:r w:rsidRPr="006D4B1F">
        <w:rPr>
          <w:rStyle w:val="Heading3Char"/>
        </w:rPr>
        <w:t>ositionality</w:t>
      </w:r>
    </w:p>
    <w:p w:rsidR="002939AE" w:rsidRPr="00E9301D" w:rsidRDefault="006D4B1F" w:rsidP="006D4B1F">
      <w:r w:rsidRPr="006D4B1F">
        <w:t>This</w:t>
      </w:r>
      <w:r w:rsidR="002939AE" w:rsidRPr="006D4B1F">
        <w:t xml:space="preserve"> </w:t>
      </w:r>
      <w:r w:rsidR="002939AE" w:rsidRPr="00E9301D">
        <w:t xml:space="preserve">refers to the steps taken by researchers to explain their ‘position’ in relation to their study, in other words how the study might be affected by their own particular background, beliefs and values.  This will apply across any ‘field’: educational research is carried out by researchers who were once at school themselves; linguists were, and are, users of language; market analysts are themselves consumers of goods and services.   </w:t>
      </w:r>
      <w:r w:rsidR="002939AE" w:rsidRPr="00E9301D">
        <w:lastRenderedPageBreak/>
        <w:t xml:space="preserve">Positionality is always important but it becomes a more debated and sensitive issue when there is a greater asymmetry between the researcher and the researched.  Here the researcher is facing not only problems of subjective interpretation but also gaps in background knowledge which might affect the very execution of a project. Having a position which is different to those being researched does not mean we are incapable of understanding, in the sense of ‘make comprehensible’, the experience of others. Indeed, as a general point, if we could not ‘stand in another’s shoes’ then outside of </w:t>
      </w:r>
      <w:proofErr w:type="spellStart"/>
      <w:r w:rsidR="002939AE" w:rsidRPr="00E9301D">
        <w:t>autoethnography</w:t>
      </w:r>
      <w:proofErr w:type="spellEnd"/>
      <w:r w:rsidR="002939AE" w:rsidRPr="00E9301D">
        <w:t xml:space="preserve"> we might as well give up interpretive research as we will never be conducting research with people exactly like us. Positionality is important, because it helps us see the barriers and the limits on understanding. </w:t>
      </w:r>
    </w:p>
    <w:p w:rsidR="002939AE" w:rsidRPr="00E9301D" w:rsidRDefault="002939AE" w:rsidP="006D4B1F">
      <w:r w:rsidRPr="00E9301D">
        <w:t xml:space="preserve">Discussion of positionality remains a controversial area in social research. It is underplayed within the positivist tradition which either accepts the myth of value free observation or at least accepts it is as </w:t>
      </w:r>
      <w:proofErr w:type="gramStart"/>
      <w:r w:rsidRPr="00E9301D">
        <w:t>a pretence</w:t>
      </w:r>
      <w:proofErr w:type="gramEnd"/>
      <w:r w:rsidRPr="00E9301D">
        <w:t xml:space="preserve"> worth maintaining. After all, natural scientists do not state their position when investigating atomic particles and nor should social scientists when investigating people’s behaviour.  At the other end of the spectrum post-modernist approaches to research sometimes explore at length the constraints of positionality and the impossibility of producing a value free narrative.  In between these two ends of the spectrum most researchers struggle to find a comfortable midpoint, but are willing to be open about their background values and beliefs and to alert the reader for a possible slanting of the data in a preferred direction or, just as likely, an effort to over compensate in the opposite direction. </w:t>
      </w:r>
    </w:p>
    <w:p w:rsidR="002939AE" w:rsidRPr="00E9301D" w:rsidRDefault="002939AE" w:rsidP="006D4B1F">
      <w:r w:rsidRPr="00E9301D">
        <w:t xml:space="preserve">It is impossible to provide a full account of the implications of positionality but the researcher can provide exemplars, explaining, say, the importance of past professional experience for appreciating the significance of certain actions.  </w:t>
      </w:r>
    </w:p>
    <w:p w:rsidR="0064298D" w:rsidRPr="00E9301D" w:rsidRDefault="0064298D" w:rsidP="006D4B1F"/>
    <w:p w:rsidR="0064298D" w:rsidRDefault="0064298D" w:rsidP="006D4B1F"/>
    <w:sectPr w:rsidR="0064298D" w:rsidSect="006D4B1F">
      <w:footerReference w:type="even" r:id="rId8"/>
      <w:footerReference w:type="default" r:id="rId9"/>
      <w:footerReference w:type="first" r:id="rId10"/>
      <w:pgSz w:w="11907" w:h="16840" w:code="9"/>
      <w:pgMar w:top="1440" w:right="1797" w:bottom="1440" w:left="1797"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3B90" w:rsidRDefault="003E3B90" w:rsidP="006D4B1F">
      <w:r>
        <w:separator/>
      </w:r>
    </w:p>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endnote>
  <w:endnote w:type="continuationSeparator" w:id="0">
    <w:p w:rsidR="003E3B90" w:rsidRDefault="003E3B90" w:rsidP="006D4B1F">
      <w:r>
        <w:continuationSeparator/>
      </w:r>
    </w:p>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endnote>
</w:endnotes>
</file>

<file path=word/fontTable.xml><?xml version="1.0" encoding="utf-8"?>
<w:fonts xmlns:r="http://schemas.openxmlformats.org/officeDocument/2006/relationships" xmlns:w="http://schemas.openxmlformats.org/wordprocessingml/2006/main">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3A6" w:rsidRDefault="00D70B6B" w:rsidP="006D4B1F">
    <w:pPr>
      <w:pStyle w:val="Footer"/>
      <w:rPr>
        <w:rStyle w:val="PageNumber"/>
      </w:rPr>
    </w:pPr>
    <w:r>
      <w:rPr>
        <w:rStyle w:val="PageNumber"/>
      </w:rPr>
      <w:fldChar w:fldCharType="begin"/>
    </w:r>
    <w:r w:rsidR="00E323A6">
      <w:rPr>
        <w:rStyle w:val="PageNumber"/>
      </w:rPr>
      <w:instrText xml:space="preserve">PAGE  </w:instrText>
    </w:r>
    <w:r>
      <w:rPr>
        <w:rStyle w:val="PageNumber"/>
      </w:rPr>
      <w:fldChar w:fldCharType="end"/>
    </w:r>
  </w:p>
  <w:p w:rsidR="00E323A6" w:rsidRDefault="00E323A6" w:rsidP="006D4B1F">
    <w:pPr>
      <w:pStyle w:val="Footer"/>
    </w:pPr>
  </w:p>
  <w:p w:rsidR="00000000" w:rsidRDefault="003E3B90" w:rsidP="006D4B1F"/>
  <w:p w:rsidR="00000000" w:rsidRDefault="003E3B90" w:rsidP="006D4B1F"/>
  <w:p w:rsidR="00000000" w:rsidRDefault="003E3B90" w:rsidP="006D4B1F"/>
  <w:p w:rsidR="00000000" w:rsidRDefault="003E3B90" w:rsidP="006D4B1F"/>
  <w:p w:rsidR="00000000" w:rsidRDefault="003E3B90" w:rsidP="006D4B1F"/>
  <w:p w:rsidR="00000000" w:rsidRDefault="003E3B90" w:rsidP="006D4B1F"/>
  <w:p w:rsidR="00000000" w:rsidRDefault="003E3B90" w:rsidP="006D4B1F"/>
  <w:p w:rsidR="00000000" w:rsidRDefault="003E3B90" w:rsidP="006D4B1F"/>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D4B1F" w:rsidP="006D4B1F">
    <w:pPr>
      <w:pStyle w:val="Footer"/>
    </w:pPr>
    <w:r>
      <w:rPr>
        <w:rStyle w:val="PageNumber"/>
      </w:rPr>
      <w:tab/>
    </w:r>
    <w:r>
      <w:rPr>
        <w:rStyle w:val="PageNumber"/>
      </w:rPr>
      <w:tab/>
    </w:r>
    <w:r>
      <w:rPr>
        <w:rStyle w:val="PageNumber"/>
      </w:rPr>
      <w:tab/>
    </w:r>
    <w:r w:rsidR="00D70B6B">
      <w:rPr>
        <w:rStyle w:val="PageNumber"/>
      </w:rPr>
      <w:fldChar w:fldCharType="begin"/>
    </w:r>
    <w:r w:rsidR="00E323A6">
      <w:rPr>
        <w:rStyle w:val="PageNumber"/>
      </w:rPr>
      <w:instrText xml:space="preserve">PAGE  </w:instrText>
    </w:r>
    <w:r w:rsidR="00D70B6B">
      <w:rPr>
        <w:rStyle w:val="PageNumber"/>
      </w:rPr>
      <w:fldChar w:fldCharType="separate"/>
    </w:r>
    <w:r w:rsidR="00194270">
      <w:rPr>
        <w:rStyle w:val="PageNumber"/>
        <w:noProof/>
      </w:rPr>
      <w:t>7</w:t>
    </w:r>
    <w:r w:rsidR="00D70B6B">
      <w:rPr>
        <w:rStyle w:val="PageNumber"/>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78741"/>
      <w:docPartObj>
        <w:docPartGallery w:val="Page Numbers (Bottom of Page)"/>
        <w:docPartUnique/>
      </w:docPartObj>
    </w:sdtPr>
    <w:sdtContent>
      <w:p w:rsidR="002939AE" w:rsidRDefault="002939AE" w:rsidP="00194270">
        <w:pPr>
          <w:pStyle w:val="Footer"/>
          <w:ind w:left="4487" w:firstLine="3433"/>
        </w:pPr>
        <w:fldSimple w:instr=" PAGE   \* MERGEFORMAT ">
          <w:r w:rsidR="00194270">
            <w:rPr>
              <w:noProof/>
            </w:rPr>
            <w:t>1</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3B90" w:rsidRDefault="003E3B90" w:rsidP="006D4B1F">
      <w:r>
        <w:separator/>
      </w:r>
    </w:p>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footnote>
  <w:footnote w:type="continuationSeparator" w:id="0">
    <w:p w:rsidR="003E3B90" w:rsidRDefault="003E3B90" w:rsidP="006D4B1F">
      <w:r>
        <w:continuationSeparator/>
      </w:r>
    </w:p>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p w:rsidR="003E3B90" w:rsidRDefault="003E3B90" w:rsidP="006D4B1F"/>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F418EF"/>
    <w:multiLevelType w:val="hybridMultilevel"/>
    <w:tmpl w:val="C96EF8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34875CC7"/>
    <w:multiLevelType w:val="hybridMultilevel"/>
    <w:tmpl w:val="BE60E4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31742CD"/>
    <w:multiLevelType w:val="hybridMultilevel"/>
    <w:tmpl w:val="0CB4C3B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nsid w:val="7069335A"/>
    <w:multiLevelType w:val="hybridMultilevel"/>
    <w:tmpl w:val="6E5EA1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BD26C3F"/>
    <w:multiLevelType w:val="hybridMultilevel"/>
    <w:tmpl w:val="F4FAD5A8"/>
    <w:lvl w:ilvl="0" w:tplc="3E0A8568">
      <w:start w:val="1"/>
      <w:numFmt w:val="bullet"/>
      <w:pStyle w:val="nom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CD13229"/>
    <w:multiLevelType w:val="hybridMultilevel"/>
    <w:tmpl w:val="392CA8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0"/>
  </w:num>
  <w:num w:numId="3">
    <w:abstractNumId w:val="2"/>
  </w:num>
  <w:num w:numId="4">
    <w:abstractNumId w:val="3"/>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rsids>
    <w:rsidRoot w:val="0064298D"/>
    <w:rsid w:val="00031FDB"/>
    <w:rsid w:val="000A19BA"/>
    <w:rsid w:val="00194270"/>
    <w:rsid w:val="002939AE"/>
    <w:rsid w:val="002E2E59"/>
    <w:rsid w:val="003D794B"/>
    <w:rsid w:val="003E3B90"/>
    <w:rsid w:val="0043090D"/>
    <w:rsid w:val="005F2790"/>
    <w:rsid w:val="0064298D"/>
    <w:rsid w:val="006D4B1F"/>
    <w:rsid w:val="006D4B43"/>
    <w:rsid w:val="008B334D"/>
    <w:rsid w:val="009A3686"/>
    <w:rsid w:val="00A93EF5"/>
    <w:rsid w:val="00B4539A"/>
    <w:rsid w:val="00D70B6B"/>
    <w:rsid w:val="00E323A6"/>
    <w:rsid w:val="00E40A0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agaramond"/>
    <w:autoRedefine/>
    <w:qFormat/>
    <w:rsid w:val="006D4B1F"/>
    <w:pPr>
      <w:tabs>
        <w:tab w:val="left" w:pos="720"/>
      </w:tabs>
      <w:suppressAutoHyphens/>
      <w:spacing w:before="120" w:after="360" w:line="360" w:lineRule="auto"/>
    </w:pPr>
    <w:rPr>
      <w:rFonts w:ascii="Garamond" w:hAnsi="Garamond" w:cs="Times New Roman"/>
      <w:bCs/>
      <w:iCs/>
      <w:sz w:val="24"/>
      <w:szCs w:val="24"/>
      <w:lang w:eastAsia="en-GB"/>
    </w:rPr>
  </w:style>
  <w:style w:type="paragraph" w:styleId="Heading1">
    <w:name w:val="heading 1"/>
    <w:basedOn w:val="Normal"/>
    <w:next w:val="Normal"/>
    <w:link w:val="Heading1Char"/>
    <w:qFormat/>
    <w:rsid w:val="0043090D"/>
    <w:pPr>
      <w:keepNext/>
      <w:outlineLvl w:val="0"/>
    </w:pPr>
    <w:rPr>
      <w:b/>
      <w:sz w:val="28"/>
    </w:rPr>
  </w:style>
  <w:style w:type="paragraph" w:styleId="Heading3">
    <w:name w:val="heading 3"/>
    <w:next w:val="Normal"/>
    <w:link w:val="Heading3Char"/>
    <w:qFormat/>
    <w:rsid w:val="006D4B1F"/>
    <w:pPr>
      <w:keepNext/>
      <w:spacing w:before="120" w:after="240" w:line="240" w:lineRule="auto"/>
      <w:outlineLvl w:val="2"/>
    </w:pPr>
    <w:rPr>
      <w:rFonts w:ascii="Garamond" w:hAnsi="Garamond"/>
      <w:b/>
      <w:sz w:val="24"/>
      <w:szCs w:val="24"/>
    </w:rPr>
  </w:style>
  <w:style w:type="paragraph" w:styleId="Heading4">
    <w:name w:val="heading 4"/>
    <w:basedOn w:val="Normal"/>
    <w:next w:val="Normal"/>
    <w:link w:val="Heading4Char"/>
    <w:qFormat/>
    <w:rsid w:val="00B4539A"/>
    <w:pPr>
      <w:keepNext/>
      <w:tabs>
        <w:tab w:val="right" w:leader="dot" w:pos="567"/>
        <w:tab w:val="right" w:pos="9072"/>
      </w:tabs>
      <w:spacing w:after="240" w:line="240" w:lineRule="auto"/>
      <w:ind w:left="567"/>
      <w:outlineLvl w:val="3"/>
    </w:pPr>
    <w:rPr>
      <w:b/>
    </w:rPr>
  </w:style>
  <w:style w:type="paragraph" w:styleId="Heading7">
    <w:name w:val="heading 7"/>
    <w:basedOn w:val="Normal"/>
    <w:next w:val="Normal"/>
    <w:link w:val="Heading7Char"/>
    <w:qFormat/>
    <w:rsid w:val="0043090D"/>
    <w:pPr>
      <w:keepNext/>
      <w:pBdr>
        <w:top w:val="single" w:sz="4" w:space="1" w:color="auto"/>
        <w:left w:val="single" w:sz="4" w:space="4" w:color="auto"/>
        <w:bottom w:val="single" w:sz="4" w:space="1" w:color="auto"/>
        <w:right w:val="single" w:sz="4" w:space="4" w:color="auto"/>
      </w:pBdr>
      <w:shd w:val="pct15" w:color="auto" w:fill="FFFFFF"/>
      <w:jc w:val="both"/>
      <w:outlineLvl w:val="6"/>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indent">
    <w:name w:val="normal indent"/>
    <w:basedOn w:val="Normal"/>
    <w:qFormat/>
    <w:rsid w:val="002E2E59"/>
    <w:pPr>
      <w:spacing w:after="180"/>
      <w:ind w:left="720"/>
    </w:pPr>
  </w:style>
  <w:style w:type="character" w:customStyle="1" w:styleId="Heading3Char">
    <w:name w:val="Heading 3 Char"/>
    <w:basedOn w:val="DefaultParagraphFont"/>
    <w:link w:val="Heading3"/>
    <w:rsid w:val="006D4B1F"/>
    <w:rPr>
      <w:rFonts w:ascii="Garamond" w:hAnsi="Garamond"/>
      <w:b/>
      <w:sz w:val="24"/>
      <w:szCs w:val="24"/>
    </w:rPr>
  </w:style>
  <w:style w:type="character" w:customStyle="1" w:styleId="Heading4Char">
    <w:name w:val="Heading 4 Char"/>
    <w:basedOn w:val="DefaultParagraphFont"/>
    <w:link w:val="Heading4"/>
    <w:rsid w:val="00B4539A"/>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rsid w:val="0043090D"/>
    <w:rPr>
      <w:rFonts w:ascii="Garamond" w:hAnsi="Garamond" w:cs="Times New Roman"/>
      <w:b/>
      <w:sz w:val="28"/>
      <w:szCs w:val="20"/>
    </w:rPr>
  </w:style>
  <w:style w:type="character" w:customStyle="1" w:styleId="Heading7Char">
    <w:name w:val="Heading 7 Char"/>
    <w:basedOn w:val="DefaultParagraphFont"/>
    <w:link w:val="Heading7"/>
    <w:rsid w:val="0043090D"/>
    <w:rPr>
      <w:rFonts w:ascii="Garamond" w:hAnsi="Garamond" w:cs="Times New Roman"/>
      <w:b/>
      <w:sz w:val="24"/>
      <w:szCs w:val="20"/>
      <w:shd w:val="pct15" w:color="auto" w:fill="FFFFFF"/>
    </w:rPr>
  </w:style>
  <w:style w:type="paragraph" w:customStyle="1" w:styleId="BodyText21">
    <w:name w:val="Body Text 21"/>
    <w:basedOn w:val="Normal"/>
    <w:rsid w:val="0043090D"/>
    <w:pPr>
      <w:widowControl w:val="0"/>
      <w:jc w:val="both"/>
    </w:pPr>
    <w:rPr>
      <w:snapToGrid w:val="0"/>
    </w:rPr>
  </w:style>
  <w:style w:type="paragraph" w:styleId="Title">
    <w:name w:val="Title"/>
    <w:basedOn w:val="Normal"/>
    <w:link w:val="TitleChar"/>
    <w:qFormat/>
    <w:rsid w:val="0043090D"/>
    <w:pPr>
      <w:jc w:val="center"/>
    </w:pPr>
    <w:rPr>
      <w:b/>
      <w:sz w:val="36"/>
    </w:rPr>
  </w:style>
  <w:style w:type="character" w:customStyle="1" w:styleId="TitleChar">
    <w:name w:val="Title Char"/>
    <w:basedOn w:val="DefaultParagraphFont"/>
    <w:link w:val="Title"/>
    <w:rsid w:val="0043090D"/>
    <w:rPr>
      <w:rFonts w:ascii="Garamond" w:hAnsi="Garamond" w:cs="Times New Roman"/>
      <w:b/>
      <w:sz w:val="36"/>
      <w:szCs w:val="20"/>
    </w:rPr>
  </w:style>
  <w:style w:type="paragraph" w:styleId="Header">
    <w:name w:val="header"/>
    <w:basedOn w:val="Normal"/>
    <w:link w:val="HeaderChar"/>
    <w:rsid w:val="0043090D"/>
    <w:pPr>
      <w:tabs>
        <w:tab w:val="center" w:pos="4153"/>
        <w:tab w:val="right" w:pos="8306"/>
      </w:tabs>
    </w:pPr>
  </w:style>
  <w:style w:type="character" w:customStyle="1" w:styleId="HeaderChar">
    <w:name w:val="Header Char"/>
    <w:basedOn w:val="DefaultParagraphFont"/>
    <w:link w:val="Header"/>
    <w:rsid w:val="0043090D"/>
    <w:rPr>
      <w:rFonts w:ascii="Garamond" w:hAnsi="Garamond" w:cs="Times New Roman"/>
      <w:sz w:val="24"/>
      <w:szCs w:val="20"/>
    </w:rPr>
  </w:style>
  <w:style w:type="paragraph" w:styleId="Footer">
    <w:name w:val="footer"/>
    <w:basedOn w:val="Normal"/>
    <w:link w:val="FooterChar"/>
    <w:uiPriority w:val="99"/>
    <w:rsid w:val="0043090D"/>
    <w:pPr>
      <w:tabs>
        <w:tab w:val="center" w:pos="4153"/>
        <w:tab w:val="right" w:pos="8306"/>
      </w:tabs>
    </w:pPr>
  </w:style>
  <w:style w:type="character" w:customStyle="1" w:styleId="FooterChar">
    <w:name w:val="Footer Char"/>
    <w:basedOn w:val="DefaultParagraphFont"/>
    <w:link w:val="Footer"/>
    <w:uiPriority w:val="99"/>
    <w:rsid w:val="0043090D"/>
    <w:rPr>
      <w:rFonts w:ascii="Garamond" w:hAnsi="Garamond" w:cs="Times New Roman"/>
      <w:sz w:val="24"/>
      <w:szCs w:val="20"/>
    </w:rPr>
  </w:style>
  <w:style w:type="character" w:styleId="PageNumber">
    <w:name w:val="page number"/>
    <w:basedOn w:val="DefaultParagraphFont"/>
    <w:rsid w:val="0043090D"/>
  </w:style>
  <w:style w:type="character" w:styleId="Hyperlink">
    <w:name w:val="Hyperlink"/>
    <w:uiPriority w:val="99"/>
    <w:rsid w:val="0043090D"/>
    <w:rPr>
      <w:color w:val="0000FF"/>
      <w:u w:val="single"/>
    </w:rPr>
  </w:style>
  <w:style w:type="character" w:customStyle="1" w:styleId="normalbold">
    <w:name w:val="normal bold"/>
    <w:qFormat/>
    <w:rsid w:val="0043090D"/>
    <w:rPr>
      <w:b/>
    </w:rPr>
  </w:style>
  <w:style w:type="paragraph" w:styleId="Quote">
    <w:name w:val="Quote"/>
    <w:basedOn w:val="Normal"/>
    <w:next w:val="Normal"/>
    <w:link w:val="QuoteChar"/>
    <w:uiPriority w:val="29"/>
    <w:qFormat/>
    <w:rsid w:val="0043090D"/>
    <w:pPr>
      <w:spacing w:line="480" w:lineRule="auto"/>
    </w:pPr>
    <w:rPr>
      <w:i/>
      <w:color w:val="000000"/>
    </w:rPr>
  </w:style>
  <w:style w:type="character" w:customStyle="1" w:styleId="QuoteChar">
    <w:name w:val="Quote Char"/>
    <w:basedOn w:val="DefaultParagraphFont"/>
    <w:link w:val="Quote"/>
    <w:uiPriority w:val="29"/>
    <w:rsid w:val="0043090D"/>
    <w:rPr>
      <w:rFonts w:ascii="Garamond" w:hAnsi="Garamond" w:cs="Times New Roman"/>
      <w:bCs/>
      <w:i/>
      <w:color w:val="000000"/>
      <w:sz w:val="24"/>
      <w:szCs w:val="24"/>
    </w:rPr>
  </w:style>
  <w:style w:type="paragraph" w:styleId="TOCHeading">
    <w:name w:val="TOC Heading"/>
    <w:basedOn w:val="Heading1"/>
    <w:next w:val="Normal"/>
    <w:uiPriority w:val="39"/>
    <w:semiHidden/>
    <w:unhideWhenUsed/>
    <w:qFormat/>
    <w:rsid w:val="0043090D"/>
    <w:pPr>
      <w:keepLines/>
      <w:spacing w:before="480" w:line="276" w:lineRule="auto"/>
      <w:outlineLvl w:val="9"/>
    </w:pPr>
    <w:rPr>
      <w:rFonts w:asciiTheme="majorHAnsi" w:eastAsiaTheme="majorEastAsia" w:hAnsiTheme="majorHAnsi" w:cstheme="majorBidi"/>
      <w:b w:val="0"/>
      <w:i/>
      <w:color w:val="365F91" w:themeColor="accent1" w:themeShade="BF"/>
      <w:szCs w:val="28"/>
      <w:lang w:val="en-US"/>
    </w:rPr>
  </w:style>
  <w:style w:type="paragraph" w:styleId="TOC1">
    <w:name w:val="toc 1"/>
    <w:basedOn w:val="Normal"/>
    <w:next w:val="Normal"/>
    <w:autoRedefine/>
    <w:uiPriority w:val="39"/>
    <w:unhideWhenUsed/>
    <w:rsid w:val="0043090D"/>
    <w:pPr>
      <w:spacing w:after="100"/>
    </w:pPr>
  </w:style>
  <w:style w:type="paragraph" w:styleId="BalloonText">
    <w:name w:val="Balloon Text"/>
    <w:basedOn w:val="Normal"/>
    <w:link w:val="BalloonTextChar"/>
    <w:uiPriority w:val="99"/>
    <w:semiHidden/>
    <w:unhideWhenUsed/>
    <w:rsid w:val="0043090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90D"/>
    <w:rPr>
      <w:rFonts w:ascii="Tahoma" w:hAnsi="Tahoma" w:cs="Tahoma"/>
      <w:sz w:val="16"/>
      <w:szCs w:val="16"/>
    </w:rPr>
  </w:style>
  <w:style w:type="paragraph" w:customStyle="1" w:styleId="Default">
    <w:name w:val="Default"/>
    <w:rsid w:val="00A93EF5"/>
    <w:pPr>
      <w:autoSpaceDE w:val="0"/>
      <w:autoSpaceDN w:val="0"/>
      <w:adjustRightInd w:val="0"/>
      <w:spacing w:after="0" w:line="240" w:lineRule="auto"/>
    </w:pPr>
    <w:rPr>
      <w:rFonts w:ascii="Garamond" w:hAnsi="Garamond" w:cs="Garamond"/>
      <w:color w:val="000000"/>
      <w:sz w:val="24"/>
      <w:szCs w:val="24"/>
    </w:rPr>
  </w:style>
  <w:style w:type="paragraph" w:customStyle="1" w:styleId="nomalbullet">
    <w:name w:val="nomal bullet"/>
    <w:basedOn w:val="Normal"/>
    <w:autoRedefine/>
    <w:qFormat/>
    <w:rsid w:val="00A93EF5"/>
    <w:pPr>
      <w:numPr>
        <w:numId w:val="6"/>
      </w:numPr>
    </w:pPr>
  </w:style>
</w:styles>
</file>

<file path=word/webSettings.xml><?xml version="1.0" encoding="utf-8"?>
<w:webSettings xmlns:r="http://schemas.openxmlformats.org/officeDocument/2006/relationships" xmlns:w="http://schemas.openxmlformats.org/wordprocessingml/2006/main">
  <w:divs>
    <w:div w:id="1392001040">
      <w:bodyDiv w:val="1"/>
      <w:marLeft w:val="0"/>
      <w:marRight w:val="0"/>
      <w:marTop w:val="0"/>
      <w:marBottom w:val="0"/>
      <w:divBdr>
        <w:top w:val="none" w:sz="0" w:space="0" w:color="auto"/>
        <w:left w:val="none" w:sz="0" w:space="0" w:color="auto"/>
        <w:bottom w:val="none" w:sz="0" w:space="0" w:color="auto"/>
        <w:right w:val="none" w:sz="0" w:space="0" w:color="auto"/>
      </w:divBdr>
      <w:divsChild>
        <w:div w:id="971716755">
          <w:marLeft w:val="547"/>
          <w:marRight w:val="0"/>
          <w:marTop w:val="154"/>
          <w:marBottom w:val="0"/>
          <w:divBdr>
            <w:top w:val="none" w:sz="0" w:space="0" w:color="auto"/>
            <w:left w:val="none" w:sz="0" w:space="0" w:color="auto"/>
            <w:bottom w:val="none" w:sz="0" w:space="0" w:color="auto"/>
            <w:right w:val="none" w:sz="0" w:space="0" w:color="auto"/>
          </w:divBdr>
        </w:div>
        <w:div w:id="1717972525">
          <w:marLeft w:val="547"/>
          <w:marRight w:val="0"/>
          <w:marTop w:val="154"/>
          <w:marBottom w:val="0"/>
          <w:divBdr>
            <w:top w:val="none" w:sz="0" w:space="0" w:color="auto"/>
            <w:left w:val="none" w:sz="0" w:space="0" w:color="auto"/>
            <w:bottom w:val="none" w:sz="0" w:space="0" w:color="auto"/>
            <w:right w:val="none" w:sz="0" w:space="0" w:color="auto"/>
          </w:divBdr>
        </w:div>
        <w:div w:id="287467331">
          <w:marLeft w:val="547"/>
          <w:marRight w:val="0"/>
          <w:marTop w:val="154"/>
          <w:marBottom w:val="0"/>
          <w:divBdr>
            <w:top w:val="none" w:sz="0" w:space="0" w:color="auto"/>
            <w:left w:val="none" w:sz="0" w:space="0" w:color="auto"/>
            <w:bottom w:val="none" w:sz="0" w:space="0" w:color="auto"/>
            <w:right w:val="none" w:sz="0" w:space="0" w:color="auto"/>
          </w:divBdr>
        </w:div>
        <w:div w:id="652948393">
          <w:marLeft w:val="547"/>
          <w:marRight w:val="0"/>
          <w:marTop w:val="154"/>
          <w:marBottom w:val="0"/>
          <w:divBdr>
            <w:top w:val="none" w:sz="0" w:space="0" w:color="auto"/>
            <w:left w:val="none" w:sz="0" w:space="0" w:color="auto"/>
            <w:bottom w:val="none" w:sz="0" w:space="0" w:color="auto"/>
            <w:right w:val="none" w:sz="0" w:space="0" w:color="auto"/>
          </w:divBdr>
        </w:div>
        <w:div w:id="182673847">
          <w:marLeft w:val="547"/>
          <w:marRight w:val="0"/>
          <w:marTop w:val="154"/>
          <w:marBottom w:val="0"/>
          <w:divBdr>
            <w:top w:val="none" w:sz="0" w:space="0" w:color="auto"/>
            <w:left w:val="none" w:sz="0" w:space="0" w:color="auto"/>
            <w:bottom w:val="none" w:sz="0" w:space="0" w:color="auto"/>
            <w:right w:val="none" w:sz="0" w:space="0" w:color="auto"/>
          </w:divBdr>
        </w:div>
        <w:div w:id="1261988801">
          <w:marLeft w:val="547"/>
          <w:marRight w:val="0"/>
          <w:marTop w:val="154"/>
          <w:marBottom w:val="0"/>
          <w:divBdr>
            <w:top w:val="none" w:sz="0" w:space="0" w:color="auto"/>
            <w:left w:val="none" w:sz="0" w:space="0" w:color="auto"/>
            <w:bottom w:val="none" w:sz="0" w:space="0" w:color="auto"/>
            <w:right w:val="none" w:sz="0" w:space="0" w:color="auto"/>
          </w:divBdr>
        </w:div>
        <w:div w:id="2063479737">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6E82B1-D5B2-4528-85C5-EC407C507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Pages>
  <Words>2430</Words>
  <Characters>13853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Michael Hammond</dc:creator>
  <cp:lastModifiedBy>Michael Hammond</cp:lastModifiedBy>
  <cp:revision>2</cp:revision>
  <cp:lastPrinted>2013-01-31T11:36:00Z</cp:lastPrinted>
  <dcterms:created xsi:type="dcterms:W3CDTF">2013-01-31T10:47:00Z</dcterms:created>
  <dcterms:modified xsi:type="dcterms:W3CDTF">2013-01-31T11:39:00Z</dcterms:modified>
</cp:coreProperties>
</file>