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A72388" w14:textId="77777777" w:rsidR="0026627B" w:rsidRDefault="0026627B" w:rsidP="0026627B">
      <w:pPr>
        <w:spacing w:after="100"/>
      </w:pPr>
      <w:r>
        <w:rPr>
          <w:rFonts w:ascii="Segoe UI" w:eastAsia="Segoe UI" w:hAnsi="Segoe UI" w:cs="Segoe UI"/>
          <w:b/>
          <w:bCs/>
          <w:color w:val="323130"/>
          <w:sz w:val="34"/>
          <w:szCs w:val="34"/>
        </w:rPr>
        <w:t xml:space="preserve">Neurodiversity-Affirmative Employment Advice on the </w:t>
      </w:r>
      <w:proofErr w:type="gramStart"/>
      <w:r>
        <w:rPr>
          <w:rFonts w:ascii="Segoe UI" w:eastAsia="Segoe UI" w:hAnsi="Segoe UI" w:cs="Segoe UI"/>
          <w:b/>
          <w:bCs/>
          <w:color w:val="323130"/>
          <w:sz w:val="34"/>
          <w:szCs w:val="34"/>
        </w:rPr>
        <w:t>23rd</w:t>
      </w:r>
      <w:proofErr w:type="gramEnd"/>
      <w:r>
        <w:rPr>
          <w:rFonts w:ascii="Segoe UI" w:eastAsia="Segoe UI" w:hAnsi="Segoe UI" w:cs="Segoe UI"/>
          <w:b/>
          <w:bCs/>
          <w:color w:val="323130"/>
          <w:sz w:val="34"/>
          <w:szCs w:val="34"/>
        </w:rPr>
        <w:t> April -20260423_101349-Meeting Recording</w:t>
      </w:r>
    </w:p>
    <w:p w14:paraId="6F0B032D" w14:textId="77777777" w:rsidR="0026627B" w:rsidRDefault="0026627B" w:rsidP="0026627B">
      <w:pPr>
        <w:spacing w:after="100"/>
        <w:rPr>
          <w:rFonts w:ascii="Segoe UI" w:eastAsia="Segoe UI" w:hAnsi="Segoe UI" w:cs="Segoe UI"/>
          <w:b/>
          <w:bCs/>
          <w:color w:val="605E5C"/>
          <w:sz w:val="24"/>
          <w:szCs w:val="24"/>
        </w:rPr>
      </w:pPr>
    </w:p>
    <w:p w14:paraId="1485CF55" w14:textId="77777777" w:rsidR="0026627B" w:rsidRDefault="0026627B" w:rsidP="0026627B">
      <w:pPr>
        <w:spacing w:after="100"/>
        <w:rPr>
          <w:rFonts w:ascii="Segoe UI" w:eastAsia="Segoe UI" w:hAnsi="Segoe UI" w:cs="Segoe UI"/>
          <w:b/>
          <w:bCs/>
          <w:color w:val="605E5C"/>
          <w:sz w:val="24"/>
          <w:szCs w:val="24"/>
        </w:rPr>
      </w:pPr>
      <w:r>
        <w:rPr>
          <w:rFonts w:ascii="Segoe UI" w:eastAsia="Segoe UI" w:hAnsi="Segoe UI" w:cs="Segoe UI"/>
          <w:b/>
          <w:bCs/>
          <w:color w:val="605E5C"/>
          <w:sz w:val="24"/>
          <w:szCs w:val="24"/>
        </w:rPr>
        <w:t xml:space="preserve">Summary of Dimitra Hartas’ presentation: </w:t>
      </w:r>
    </w:p>
    <w:p w14:paraId="6C6FBEA0" w14:textId="77777777" w:rsidR="0026627B" w:rsidRDefault="0026627B" w:rsidP="0026627B">
      <w:pPr>
        <w:spacing w:after="100"/>
        <w:rPr>
          <w:rFonts w:ascii="Segoe UI" w:eastAsia="Segoe UI" w:hAnsi="Segoe UI" w:cs="Segoe UI"/>
          <w:b/>
          <w:bCs/>
          <w:color w:val="605E5C"/>
          <w:sz w:val="24"/>
          <w:szCs w:val="24"/>
        </w:rPr>
      </w:pPr>
    </w:p>
    <w:p w14:paraId="15F0FCA9"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 xml:space="preserve">Neurodiversity is emerging as a key area within workplace equality, diversity and inclusion, but current practice </w:t>
      </w:r>
      <w:proofErr w:type="gramStart"/>
      <w:r w:rsidRPr="006139FC">
        <w:rPr>
          <w:rFonts w:ascii="Segoe UI" w:eastAsia="Segoe UI" w:hAnsi="Segoe UI" w:cs="Segoe UI"/>
          <w:b/>
          <w:bCs/>
          <w:color w:val="605E5C"/>
          <w:sz w:val="24"/>
          <w:szCs w:val="24"/>
        </w:rPr>
        <w:t>lags behind</w:t>
      </w:r>
      <w:proofErr w:type="gramEnd"/>
      <w:r w:rsidRPr="006139FC">
        <w:rPr>
          <w:rFonts w:ascii="Segoe UI" w:eastAsia="Segoe UI" w:hAnsi="Segoe UI" w:cs="Segoe UI"/>
          <w:b/>
          <w:bCs/>
          <w:color w:val="605E5C"/>
          <w:sz w:val="24"/>
          <w:szCs w:val="24"/>
        </w:rPr>
        <w:t xml:space="preserve"> stated intentions. Although around 20% of people identify as neurodivergent, employment outcomes remain poor—only 31% of autistic individuals are employed compared with 54.7% of disabled people overall.</w:t>
      </w:r>
    </w:p>
    <w:p w14:paraId="59198EAC"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Recent UK policy efforts, including a 2025 expert panel, aim to improve employment opportunities and raise the employment rate for disabled and neurodivergent people to 80%, though this target is widely seen as unrealistic without major systemic change.</w:t>
      </w:r>
    </w:p>
    <w:p w14:paraId="44834DED"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 xml:space="preserve">Organisations report growing interest in </w:t>
      </w:r>
      <w:proofErr w:type="spellStart"/>
      <w:r w:rsidRPr="006139FC">
        <w:rPr>
          <w:rFonts w:ascii="Segoe UI" w:eastAsia="Segoe UI" w:hAnsi="Segoe UI" w:cs="Segoe UI"/>
          <w:b/>
          <w:bCs/>
          <w:color w:val="605E5C"/>
          <w:sz w:val="24"/>
          <w:szCs w:val="24"/>
        </w:rPr>
        <w:t>neuroinclusion</w:t>
      </w:r>
      <w:proofErr w:type="spellEnd"/>
      <w:r w:rsidRPr="006139FC">
        <w:rPr>
          <w:rFonts w:ascii="Segoe UI" w:eastAsia="Segoe UI" w:hAnsi="Segoe UI" w:cs="Segoe UI"/>
          <w:b/>
          <w:bCs/>
          <w:color w:val="605E5C"/>
          <w:sz w:val="24"/>
          <w:szCs w:val="24"/>
        </w:rPr>
        <w:t>—60% claim it is a focus—but this varies significantly by sector, with the public and voluntary sectors far more engaged than the private sector. Employee experiences reveal a deeper gap: while 53% feel their workplace culture is open to discussing neurodiversity, only 38% believe meaningful support is provided, and just 19% feel comfortable requesting adjustments.</w:t>
      </w:r>
    </w:p>
    <w:p w14:paraId="7C515715"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Disclosure remains a major barrier. Three in ten neurodivergent employees choose not to disclose, citing privacy (44%), fear of discrimination (37%) and stigma (34%).</w:t>
      </w:r>
    </w:p>
    <w:p w14:paraId="5786C699" w14:textId="77777777" w:rsidR="0026627B"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Overall, the data highlights a persistent disconnect between organisational commitments and the lived realities of neurodivergent employees, underscoring the need for more genuine, structural inclusion.</w:t>
      </w:r>
    </w:p>
    <w:p w14:paraId="687DD317"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A 2024 Brain in Hand survey reinforces that neurodivergent employees face consistent challenges at work, including mental health difficulties, burnout, concentration issues and anxiety. Autistic employees with ADHD are particularly likely to be overlooked for development opportunities, highlighting systemic inequities.</w:t>
      </w:r>
    </w:p>
    <w:p w14:paraId="3E180EB2"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To address these barriers, organisations need to adopt neuro</w:t>
      </w:r>
      <w:r w:rsidRPr="006139FC">
        <w:rPr>
          <w:rFonts w:ascii="Segoe UI" w:eastAsia="Segoe UI" w:hAnsi="Segoe UI" w:cs="Segoe UI"/>
          <w:b/>
          <w:bCs/>
          <w:color w:val="605E5C"/>
          <w:sz w:val="24"/>
          <w:szCs w:val="24"/>
        </w:rPr>
        <w:noBreakHyphen/>
        <w:t>inclusive recruitment and workplace practices. This includes replacing traditional interviews with skills</w:t>
      </w:r>
      <w:r w:rsidRPr="006139FC">
        <w:rPr>
          <w:rFonts w:ascii="Segoe UI" w:eastAsia="Segoe UI" w:hAnsi="Segoe UI" w:cs="Segoe UI"/>
          <w:b/>
          <w:bCs/>
          <w:color w:val="605E5C"/>
          <w:sz w:val="24"/>
          <w:szCs w:val="24"/>
        </w:rPr>
        <w:noBreakHyphen/>
        <w:t>based assessments, portfolios, work trials, and providing structured questions in advance. Allowing alternative communication formats and removing unnecessary job requirements can also reduce exclusion.</w:t>
      </w:r>
    </w:p>
    <w:p w14:paraId="3BF88760"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A major priority is upskilling managers and HR teams through mandatory training on supporting autistic and ADHD employees—covering communication differences, sensory needs and executive</w:t>
      </w:r>
      <w:r w:rsidRPr="006139FC">
        <w:rPr>
          <w:rFonts w:ascii="Segoe UI" w:eastAsia="Segoe UI" w:hAnsi="Segoe UI" w:cs="Segoe UI"/>
          <w:b/>
          <w:bCs/>
          <w:color w:val="605E5C"/>
          <w:sz w:val="24"/>
          <w:szCs w:val="24"/>
        </w:rPr>
        <w:noBreakHyphen/>
        <w:t xml:space="preserve">function challenges. </w:t>
      </w:r>
      <w:proofErr w:type="spellStart"/>
      <w:r w:rsidRPr="006139FC">
        <w:rPr>
          <w:rFonts w:ascii="Segoe UI" w:eastAsia="Segoe UI" w:hAnsi="Segoe UI" w:cs="Segoe UI"/>
          <w:b/>
          <w:bCs/>
          <w:color w:val="605E5C"/>
          <w:sz w:val="24"/>
          <w:szCs w:val="24"/>
        </w:rPr>
        <w:lastRenderedPageBreak/>
        <w:t>Neuroinclusion</w:t>
      </w:r>
      <w:proofErr w:type="spellEnd"/>
      <w:r w:rsidRPr="006139FC">
        <w:rPr>
          <w:rFonts w:ascii="Segoe UI" w:eastAsia="Segoe UI" w:hAnsi="Segoe UI" w:cs="Segoe UI"/>
          <w:b/>
          <w:bCs/>
          <w:color w:val="605E5C"/>
          <w:sz w:val="24"/>
          <w:szCs w:val="24"/>
        </w:rPr>
        <w:t xml:space="preserve"> should be embedded into EDI strategies, not treated as an optional add</w:t>
      </w:r>
      <w:r w:rsidRPr="006139FC">
        <w:rPr>
          <w:rFonts w:ascii="Segoe UI" w:eastAsia="Segoe UI" w:hAnsi="Segoe UI" w:cs="Segoe UI"/>
          <w:b/>
          <w:bCs/>
          <w:color w:val="605E5C"/>
          <w:sz w:val="24"/>
          <w:szCs w:val="24"/>
        </w:rPr>
        <w:noBreakHyphen/>
        <w:t>on.</w:t>
      </w:r>
    </w:p>
    <w:p w14:paraId="486E3701"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Effective workplace adjustments include:</w:t>
      </w:r>
    </w:p>
    <w:p w14:paraId="474105FE"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Flexible or predictable working hours</w:t>
      </w:r>
    </w:p>
    <w:p w14:paraId="248FB8F1"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Low</w:t>
      </w:r>
      <w:r w:rsidRPr="006139FC">
        <w:rPr>
          <w:rFonts w:ascii="Segoe UI" w:eastAsia="Segoe UI" w:hAnsi="Segoe UI" w:cs="Segoe UI"/>
          <w:b/>
          <w:bCs/>
          <w:color w:val="605E5C"/>
          <w:sz w:val="24"/>
          <w:szCs w:val="24"/>
        </w:rPr>
        <w:noBreakHyphen/>
        <w:t>sensory or quiet environments</w:t>
      </w:r>
    </w:p>
    <w:p w14:paraId="38B6BCF5"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Written instructions and visual workflows</w:t>
      </w:r>
    </w:p>
    <w:p w14:paraId="557BE0D0"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Assistive technologies (speech</w:t>
      </w:r>
      <w:r w:rsidRPr="006139FC">
        <w:rPr>
          <w:rFonts w:ascii="Segoe UI" w:eastAsia="Segoe UI" w:hAnsi="Segoe UI" w:cs="Segoe UI"/>
          <w:b/>
          <w:bCs/>
          <w:color w:val="605E5C"/>
          <w:sz w:val="24"/>
          <w:szCs w:val="24"/>
        </w:rPr>
        <w:noBreakHyphen/>
        <w:t>to</w:t>
      </w:r>
      <w:r w:rsidRPr="006139FC">
        <w:rPr>
          <w:rFonts w:ascii="Segoe UI" w:eastAsia="Segoe UI" w:hAnsi="Segoe UI" w:cs="Segoe UI"/>
          <w:b/>
          <w:bCs/>
          <w:color w:val="605E5C"/>
          <w:sz w:val="24"/>
          <w:szCs w:val="24"/>
        </w:rPr>
        <w:noBreakHyphen/>
        <w:t>text, timers, planning tools)</w:t>
      </w:r>
    </w:p>
    <w:p w14:paraId="0C6C754A"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Clear expectations and straightforward language</w:t>
      </w:r>
    </w:p>
    <w:p w14:paraId="37DC56AC"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Regular mentoring and check</w:t>
      </w:r>
      <w:r w:rsidRPr="006139FC">
        <w:rPr>
          <w:rFonts w:ascii="Segoe UI" w:eastAsia="Segoe UI" w:hAnsi="Segoe UI" w:cs="Segoe UI"/>
          <w:b/>
          <w:bCs/>
          <w:color w:val="605E5C"/>
          <w:sz w:val="24"/>
          <w:szCs w:val="24"/>
        </w:rPr>
        <w:noBreakHyphen/>
        <w:t>ins</w:t>
      </w:r>
    </w:p>
    <w:p w14:paraId="1AF5E691" w14:textId="77777777" w:rsidR="0026627B" w:rsidRPr="006139FC" w:rsidRDefault="0026627B" w:rsidP="0026627B">
      <w:pPr>
        <w:numPr>
          <w:ilvl w:val="0"/>
          <w:numId w:val="1"/>
        </w:num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Hybrid or remote work options</w:t>
      </w:r>
    </w:p>
    <w:p w14:paraId="669B1999" w14:textId="77777777" w:rsidR="0026627B" w:rsidRPr="006139FC" w:rsidRDefault="0026627B" w:rsidP="0026627B">
      <w:pPr>
        <w:spacing w:after="100"/>
        <w:rPr>
          <w:rFonts w:ascii="Segoe UI" w:eastAsia="Segoe UI" w:hAnsi="Segoe UI" w:cs="Segoe UI"/>
          <w:b/>
          <w:bCs/>
          <w:color w:val="605E5C"/>
          <w:sz w:val="24"/>
          <w:szCs w:val="24"/>
        </w:rPr>
      </w:pPr>
      <w:r w:rsidRPr="006139FC">
        <w:rPr>
          <w:rFonts w:ascii="Segoe UI" w:eastAsia="Segoe UI" w:hAnsi="Segoe UI" w:cs="Segoe UI"/>
          <w:b/>
          <w:bCs/>
          <w:color w:val="605E5C"/>
          <w:sz w:val="24"/>
          <w:szCs w:val="24"/>
        </w:rPr>
        <w:t>The most critical area for improvement is the transition from education to employment. This can be strengthened through coaching, mentoring, and partnerships between employers and university wellbeing/disability services. Employer</w:t>
      </w:r>
      <w:r w:rsidRPr="006139FC">
        <w:rPr>
          <w:rFonts w:ascii="Segoe UI" w:eastAsia="Segoe UI" w:hAnsi="Segoe UI" w:cs="Segoe UI"/>
          <w:b/>
          <w:bCs/>
          <w:color w:val="605E5C"/>
          <w:sz w:val="24"/>
          <w:szCs w:val="24"/>
        </w:rPr>
        <w:noBreakHyphen/>
        <w:t>led workshops with clear expectations can further reduce uncertainty for neurodivergent young people.</w:t>
      </w:r>
    </w:p>
    <w:p w14:paraId="2E5834A9" w14:textId="77777777" w:rsidR="0026627B" w:rsidRDefault="0026627B"/>
    <w:sectPr w:rsidR="0026627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1D785E"/>
    <w:multiLevelType w:val="multilevel"/>
    <w:tmpl w:val="E3FAA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2754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27B"/>
    <w:rsid w:val="0026627B"/>
    <w:rsid w:val="008D245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168CB"/>
  <w15:chartTrackingRefBased/>
  <w15:docId w15:val="{F9B20DC0-301B-485D-A723-09E5A407C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627B"/>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2662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662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662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662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662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6627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6627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6627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6627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62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662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662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662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662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662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662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662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6627B"/>
    <w:rPr>
      <w:rFonts w:eastAsiaTheme="majorEastAsia" w:cstheme="majorBidi"/>
      <w:color w:val="272727" w:themeColor="text1" w:themeTint="D8"/>
    </w:rPr>
  </w:style>
  <w:style w:type="paragraph" w:styleId="Title">
    <w:name w:val="Title"/>
    <w:basedOn w:val="Normal"/>
    <w:next w:val="Normal"/>
    <w:link w:val="TitleChar"/>
    <w:uiPriority w:val="10"/>
    <w:qFormat/>
    <w:rsid w:val="0026627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662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627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662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6627B"/>
    <w:pPr>
      <w:spacing w:before="160"/>
      <w:jc w:val="center"/>
    </w:pPr>
    <w:rPr>
      <w:i/>
      <w:iCs/>
      <w:color w:val="404040" w:themeColor="text1" w:themeTint="BF"/>
    </w:rPr>
  </w:style>
  <w:style w:type="character" w:customStyle="1" w:styleId="QuoteChar">
    <w:name w:val="Quote Char"/>
    <w:basedOn w:val="DefaultParagraphFont"/>
    <w:link w:val="Quote"/>
    <w:uiPriority w:val="29"/>
    <w:rsid w:val="0026627B"/>
    <w:rPr>
      <w:i/>
      <w:iCs/>
      <w:color w:val="404040" w:themeColor="text1" w:themeTint="BF"/>
    </w:rPr>
  </w:style>
  <w:style w:type="paragraph" w:styleId="ListParagraph">
    <w:name w:val="List Paragraph"/>
    <w:basedOn w:val="Normal"/>
    <w:uiPriority w:val="34"/>
    <w:qFormat/>
    <w:rsid w:val="0026627B"/>
    <w:pPr>
      <w:ind w:left="720"/>
      <w:contextualSpacing/>
    </w:pPr>
  </w:style>
  <w:style w:type="character" w:styleId="IntenseEmphasis">
    <w:name w:val="Intense Emphasis"/>
    <w:basedOn w:val="DefaultParagraphFont"/>
    <w:uiPriority w:val="21"/>
    <w:qFormat/>
    <w:rsid w:val="0026627B"/>
    <w:rPr>
      <w:i/>
      <w:iCs/>
      <w:color w:val="0F4761" w:themeColor="accent1" w:themeShade="BF"/>
    </w:rPr>
  </w:style>
  <w:style w:type="paragraph" w:styleId="IntenseQuote">
    <w:name w:val="Intense Quote"/>
    <w:basedOn w:val="Normal"/>
    <w:next w:val="Normal"/>
    <w:link w:val="IntenseQuoteChar"/>
    <w:uiPriority w:val="30"/>
    <w:qFormat/>
    <w:rsid w:val="002662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6627B"/>
    <w:rPr>
      <w:i/>
      <w:iCs/>
      <w:color w:val="0F4761" w:themeColor="accent1" w:themeShade="BF"/>
    </w:rPr>
  </w:style>
  <w:style w:type="character" w:styleId="IntenseReference">
    <w:name w:val="Intense Reference"/>
    <w:basedOn w:val="DefaultParagraphFont"/>
    <w:uiPriority w:val="32"/>
    <w:qFormat/>
    <w:rsid w:val="0026627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472</Words>
  <Characters>2697</Characters>
  <Application>Microsoft Office Word</Application>
  <DocSecurity>0</DocSecurity>
  <Lines>22</Lines>
  <Paragraphs>6</Paragraphs>
  <ScaleCrop>false</ScaleCrop>
  <Company/>
  <LinksUpToDate>false</LinksUpToDate>
  <CharactersWithSpaces>3163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Dimitra</dc:creator>
  <cp:keywords/>
  <dc:description/>
  <cp:lastModifiedBy>Dimitra</cp:lastModifiedBy>
  <cp:revision>1</cp:revision>
  <dcterms:created xsi:type="dcterms:W3CDTF">2026-04-23T12:37:00Z</dcterms:created>
  <dcterms:modified xsi:type="dcterms:W3CDTF">2026-04-23T12:37:00Z</dcterms:modified>
</cp:coreProperties>
</file>