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06B0" w:rsidRPr="0044550C" w:rsidRDefault="006206B0" w:rsidP="006206B0">
      <w:pPr>
        <w:widowControl w:val="0"/>
        <w:autoSpaceDE w:val="0"/>
        <w:autoSpaceDN w:val="0"/>
        <w:adjustRightInd w:val="0"/>
        <w:spacing w:after="0" w:line="240" w:lineRule="auto"/>
        <w:rPr>
          <w:rFonts w:eastAsiaTheme="minorEastAsia" w:cs="Calibri"/>
          <w:b/>
          <w:color w:val="18376A"/>
          <w:sz w:val="28"/>
          <w:szCs w:val="28"/>
          <w:lang w:val="en-US"/>
        </w:rPr>
      </w:pPr>
      <w:r w:rsidRPr="0044550C">
        <w:rPr>
          <w:rFonts w:eastAsiaTheme="minorEastAsia" w:cs="Calibri"/>
          <w:b/>
          <w:color w:val="18376A"/>
          <w:sz w:val="28"/>
          <w:szCs w:val="28"/>
          <w:lang w:val="en-US"/>
        </w:rPr>
        <w:t xml:space="preserve">Learning </w:t>
      </w:r>
      <w:r w:rsidR="00C10CA5" w:rsidRPr="0044550C">
        <w:rPr>
          <w:rFonts w:eastAsiaTheme="minorEastAsia" w:cs="Calibri"/>
          <w:b/>
          <w:color w:val="18376A"/>
          <w:sz w:val="28"/>
          <w:szCs w:val="28"/>
          <w:lang w:val="en-US"/>
        </w:rPr>
        <w:t>A</w:t>
      </w:r>
      <w:r w:rsidRPr="0044550C">
        <w:rPr>
          <w:rFonts w:eastAsiaTheme="minorEastAsia" w:cs="Calibri"/>
          <w:b/>
          <w:color w:val="18376A"/>
          <w:sz w:val="28"/>
          <w:szCs w:val="28"/>
          <w:lang w:val="en-US"/>
        </w:rPr>
        <w:t>nalytics 26 Feb</w:t>
      </w:r>
      <w:r w:rsidR="00C10CA5" w:rsidRPr="0044550C">
        <w:rPr>
          <w:rFonts w:eastAsiaTheme="minorEastAsia" w:cs="Calibri"/>
          <w:b/>
          <w:color w:val="18376A"/>
          <w:sz w:val="28"/>
          <w:szCs w:val="28"/>
          <w:lang w:val="en-US"/>
        </w:rPr>
        <w:t>ruary 2016</w:t>
      </w:r>
    </w:p>
    <w:p w:rsidR="006206B0" w:rsidRPr="0044550C" w:rsidRDefault="006206B0" w:rsidP="006206B0">
      <w:pPr>
        <w:widowControl w:val="0"/>
        <w:autoSpaceDE w:val="0"/>
        <w:autoSpaceDN w:val="0"/>
        <w:adjustRightInd w:val="0"/>
        <w:spacing w:after="0" w:line="240" w:lineRule="auto"/>
        <w:rPr>
          <w:rFonts w:eastAsiaTheme="minorEastAsia" w:cs="Calibri"/>
          <w:color w:val="18376A"/>
          <w:sz w:val="28"/>
          <w:szCs w:val="28"/>
          <w:lang w:val="en-US"/>
        </w:rPr>
      </w:pPr>
    </w:p>
    <w:p w:rsidR="006206B0" w:rsidRPr="0044550C" w:rsidRDefault="006206B0" w:rsidP="0044550C">
      <w:pPr>
        <w:widowControl w:val="0"/>
        <w:autoSpaceDE w:val="0"/>
        <w:autoSpaceDN w:val="0"/>
        <w:adjustRightInd w:val="0"/>
        <w:spacing w:after="0" w:line="276" w:lineRule="auto"/>
        <w:rPr>
          <w:rFonts w:eastAsiaTheme="minorEastAsia" w:cs="Calibri"/>
          <w:color w:val="18376A"/>
          <w:sz w:val="28"/>
          <w:szCs w:val="28"/>
          <w:lang w:val="en-US"/>
        </w:rPr>
      </w:pPr>
      <w:r w:rsidRPr="0044550C">
        <w:rPr>
          <w:rFonts w:eastAsiaTheme="minorEastAsia" w:cs="Calibri"/>
          <w:color w:val="18376A"/>
          <w:sz w:val="28"/>
          <w:szCs w:val="28"/>
          <w:lang w:val="en-US"/>
        </w:rPr>
        <w:t>“</w:t>
      </w:r>
      <w:r w:rsidR="003F2565" w:rsidRPr="0044550C">
        <w:rPr>
          <w:rFonts w:eastAsiaTheme="minorEastAsia" w:cs="Times"/>
          <w:sz w:val="28"/>
          <w:szCs w:val="28"/>
          <w:lang w:val="en-US"/>
        </w:rPr>
        <w:t>L</w:t>
      </w:r>
      <w:r w:rsidR="00885330" w:rsidRPr="0044550C">
        <w:rPr>
          <w:rFonts w:eastAsiaTheme="minorEastAsia" w:cs="Times"/>
          <w:sz w:val="28"/>
          <w:szCs w:val="28"/>
          <w:lang w:val="en-US"/>
        </w:rPr>
        <w:t>earning Analytics is the process of measuring and collecting data about learners and learning with the aim of improving teaching and learning practice through analysis of the data</w:t>
      </w:r>
      <w:r w:rsidR="003F2565" w:rsidRPr="0044550C">
        <w:rPr>
          <w:rFonts w:eastAsiaTheme="minorEastAsia" w:cs="Times"/>
          <w:sz w:val="28"/>
          <w:szCs w:val="28"/>
          <w:lang w:val="en-US"/>
        </w:rPr>
        <w:t>”</w:t>
      </w:r>
    </w:p>
    <w:p w:rsidR="00885330" w:rsidRPr="0044550C" w:rsidRDefault="00885330" w:rsidP="006206B0">
      <w:pPr>
        <w:widowControl w:val="0"/>
        <w:autoSpaceDE w:val="0"/>
        <w:autoSpaceDN w:val="0"/>
        <w:adjustRightInd w:val="0"/>
        <w:spacing w:after="0" w:line="240" w:lineRule="auto"/>
        <w:rPr>
          <w:rFonts w:eastAsiaTheme="minorEastAsia" w:cs="Times New Roman"/>
          <w:sz w:val="28"/>
          <w:szCs w:val="28"/>
          <w:lang w:val="en-US"/>
        </w:rPr>
      </w:pPr>
    </w:p>
    <w:p w:rsidR="006206B0" w:rsidRPr="0044550C" w:rsidRDefault="0044550C" w:rsidP="0044550C">
      <w:pPr>
        <w:widowControl w:val="0"/>
        <w:autoSpaceDE w:val="0"/>
        <w:autoSpaceDN w:val="0"/>
        <w:adjustRightInd w:val="0"/>
        <w:spacing w:after="0" w:line="240" w:lineRule="auto"/>
        <w:ind w:left="709" w:hanging="709"/>
        <w:rPr>
          <w:rFonts w:eastAsiaTheme="minorEastAsia" w:cs="Times New Roman"/>
          <w:sz w:val="28"/>
          <w:szCs w:val="28"/>
          <w:lang w:val="en-US"/>
        </w:rPr>
      </w:pPr>
      <w:r>
        <w:rPr>
          <w:rFonts w:eastAsiaTheme="minorEastAsia" w:cs="Calibri"/>
          <w:color w:val="18376A"/>
          <w:sz w:val="28"/>
          <w:szCs w:val="28"/>
          <w:lang w:val="en-US"/>
        </w:rPr>
        <w:t>9:30      </w:t>
      </w:r>
      <w:r w:rsidR="006206B0" w:rsidRPr="0044550C">
        <w:rPr>
          <w:rFonts w:eastAsiaTheme="minorEastAsia" w:cs="Calibri"/>
          <w:color w:val="18376A"/>
          <w:sz w:val="28"/>
          <w:szCs w:val="28"/>
          <w:lang w:val="en-US"/>
        </w:rPr>
        <w:t>Welcome (tea and coffee available)</w:t>
      </w:r>
    </w:p>
    <w:p w:rsidR="00C10CA5" w:rsidRPr="0044550C" w:rsidRDefault="006206B0" w:rsidP="0044550C">
      <w:pPr>
        <w:widowControl w:val="0"/>
        <w:autoSpaceDE w:val="0"/>
        <w:autoSpaceDN w:val="0"/>
        <w:adjustRightInd w:val="0"/>
        <w:spacing w:after="0" w:line="240" w:lineRule="auto"/>
        <w:ind w:left="709" w:hanging="709"/>
        <w:rPr>
          <w:rFonts w:eastAsiaTheme="minorEastAsia" w:cs="Calibri"/>
          <w:color w:val="18376A"/>
          <w:sz w:val="28"/>
          <w:szCs w:val="28"/>
          <w:lang w:val="en-US"/>
        </w:rPr>
      </w:pPr>
      <w:r w:rsidRPr="0044550C">
        <w:rPr>
          <w:rFonts w:eastAsiaTheme="minorEastAsia" w:cs="Calibri"/>
          <w:color w:val="18376A"/>
          <w:sz w:val="28"/>
          <w:szCs w:val="28"/>
          <w:lang w:val="en-US"/>
        </w:rPr>
        <w:t>10:00     Introduction to Learni</w:t>
      </w:r>
      <w:r w:rsidR="00C10CA5" w:rsidRPr="0044550C">
        <w:rPr>
          <w:rFonts w:eastAsiaTheme="minorEastAsia" w:cs="Calibri"/>
          <w:color w:val="18376A"/>
          <w:sz w:val="28"/>
          <w:szCs w:val="28"/>
          <w:lang w:val="en-US"/>
        </w:rPr>
        <w:t>ng analytics and some Warwick</w:t>
      </w:r>
    </w:p>
    <w:p w:rsidR="006206B0" w:rsidRPr="0044550C" w:rsidRDefault="0044550C" w:rsidP="0044550C">
      <w:pPr>
        <w:widowControl w:val="0"/>
        <w:autoSpaceDE w:val="0"/>
        <w:autoSpaceDN w:val="0"/>
        <w:adjustRightInd w:val="0"/>
        <w:spacing w:after="0" w:line="240" w:lineRule="auto"/>
        <w:ind w:left="709" w:hanging="709"/>
        <w:rPr>
          <w:rFonts w:eastAsiaTheme="minorEastAsia" w:cs="Calibri"/>
          <w:color w:val="18376A"/>
          <w:sz w:val="28"/>
          <w:szCs w:val="28"/>
          <w:lang w:val="en-US"/>
        </w:rPr>
      </w:pPr>
      <w:r>
        <w:rPr>
          <w:rFonts w:eastAsiaTheme="minorEastAsia" w:cs="Calibri"/>
          <w:color w:val="18376A"/>
          <w:sz w:val="28"/>
          <w:szCs w:val="28"/>
          <w:lang w:val="en-US"/>
        </w:rPr>
        <w:t xml:space="preserve">             </w:t>
      </w:r>
      <w:proofErr w:type="gramStart"/>
      <w:r w:rsidR="006206B0" w:rsidRPr="0044550C">
        <w:rPr>
          <w:rFonts w:eastAsiaTheme="minorEastAsia" w:cs="Calibri"/>
          <w:color w:val="18376A"/>
          <w:sz w:val="28"/>
          <w:szCs w:val="28"/>
          <w:lang w:val="en-US"/>
        </w:rPr>
        <w:t>context</w:t>
      </w:r>
      <w:proofErr w:type="gramEnd"/>
      <w:r w:rsidR="006206B0" w:rsidRPr="0044550C">
        <w:rPr>
          <w:rFonts w:eastAsiaTheme="minorEastAsia" w:cs="Calibri"/>
          <w:color w:val="18376A"/>
          <w:sz w:val="28"/>
          <w:szCs w:val="28"/>
          <w:lang w:val="en-US"/>
        </w:rPr>
        <w:t xml:space="preserve"> (Amber) </w:t>
      </w:r>
    </w:p>
    <w:p w:rsidR="006206B0" w:rsidRPr="0044550C" w:rsidRDefault="006206B0" w:rsidP="0044550C">
      <w:pPr>
        <w:widowControl w:val="0"/>
        <w:autoSpaceDE w:val="0"/>
        <w:autoSpaceDN w:val="0"/>
        <w:adjustRightInd w:val="0"/>
        <w:spacing w:after="0" w:line="240" w:lineRule="auto"/>
        <w:ind w:left="709" w:hanging="709"/>
        <w:rPr>
          <w:rFonts w:eastAsiaTheme="minorEastAsia" w:cs="Times New Roman"/>
          <w:sz w:val="28"/>
          <w:szCs w:val="28"/>
          <w:lang w:val="en-US"/>
        </w:rPr>
      </w:pPr>
      <w:r w:rsidRPr="0044550C">
        <w:rPr>
          <w:rFonts w:eastAsiaTheme="minorEastAsia" w:cs="Calibri"/>
          <w:color w:val="18376A"/>
          <w:sz w:val="28"/>
          <w:szCs w:val="28"/>
          <w:lang w:val="en-US"/>
        </w:rPr>
        <w:t xml:space="preserve">10:20     Research meets </w:t>
      </w:r>
      <w:r w:rsidR="003F2565" w:rsidRPr="0044550C">
        <w:rPr>
          <w:rFonts w:eastAsiaTheme="minorEastAsia" w:cs="Calibri"/>
          <w:color w:val="18376A"/>
          <w:sz w:val="28"/>
          <w:szCs w:val="28"/>
          <w:lang w:val="en-US"/>
        </w:rPr>
        <w:t>p</w:t>
      </w:r>
      <w:r w:rsidRPr="0044550C">
        <w:rPr>
          <w:rFonts w:eastAsiaTheme="minorEastAsia" w:cs="Calibri"/>
          <w:color w:val="18376A"/>
          <w:sz w:val="28"/>
          <w:szCs w:val="28"/>
          <w:lang w:val="en-US"/>
        </w:rPr>
        <w:t>ractice (Rob)</w:t>
      </w:r>
    </w:p>
    <w:p w:rsidR="006206B0" w:rsidRPr="0044550C" w:rsidRDefault="006206B0" w:rsidP="0044550C">
      <w:pPr>
        <w:widowControl w:val="0"/>
        <w:autoSpaceDE w:val="0"/>
        <w:autoSpaceDN w:val="0"/>
        <w:adjustRightInd w:val="0"/>
        <w:spacing w:after="0" w:line="240" w:lineRule="auto"/>
        <w:ind w:left="709" w:hanging="709"/>
        <w:rPr>
          <w:rFonts w:eastAsiaTheme="minorEastAsia" w:cs="Calibri"/>
          <w:color w:val="18376A"/>
          <w:sz w:val="28"/>
          <w:szCs w:val="28"/>
          <w:lang w:val="en-US"/>
        </w:rPr>
      </w:pPr>
      <w:r w:rsidRPr="0044550C">
        <w:rPr>
          <w:rFonts w:eastAsiaTheme="minorEastAsia" w:cs="Calibri"/>
          <w:color w:val="18376A"/>
          <w:sz w:val="28"/>
          <w:szCs w:val="28"/>
          <w:lang w:val="en-US"/>
        </w:rPr>
        <w:t xml:space="preserve">10:40     Researching learning analytics (Michael) </w:t>
      </w:r>
    </w:p>
    <w:p w:rsidR="006206B0" w:rsidRPr="0044550C" w:rsidRDefault="0044550C" w:rsidP="0044550C">
      <w:pPr>
        <w:widowControl w:val="0"/>
        <w:autoSpaceDE w:val="0"/>
        <w:autoSpaceDN w:val="0"/>
        <w:adjustRightInd w:val="0"/>
        <w:spacing w:after="0" w:line="240" w:lineRule="auto"/>
        <w:ind w:left="709" w:hanging="709"/>
        <w:rPr>
          <w:rFonts w:eastAsiaTheme="minorEastAsia" w:cs="Calibri"/>
          <w:color w:val="18376A"/>
          <w:sz w:val="28"/>
          <w:szCs w:val="28"/>
          <w:lang w:val="en-US"/>
        </w:rPr>
      </w:pPr>
      <w:r>
        <w:rPr>
          <w:rFonts w:eastAsiaTheme="minorEastAsia" w:cs="Calibri"/>
          <w:color w:val="18376A"/>
          <w:sz w:val="28"/>
          <w:szCs w:val="28"/>
          <w:lang w:val="en-US"/>
        </w:rPr>
        <w:t>11.00</w:t>
      </w:r>
      <w:r>
        <w:rPr>
          <w:rFonts w:eastAsiaTheme="minorEastAsia" w:cs="Calibri"/>
          <w:color w:val="18376A"/>
          <w:sz w:val="28"/>
          <w:szCs w:val="28"/>
          <w:lang w:val="en-US"/>
        </w:rPr>
        <w:tab/>
        <w:t xml:space="preserve">   </w:t>
      </w:r>
      <w:r w:rsidR="006206B0" w:rsidRPr="0044550C">
        <w:rPr>
          <w:rFonts w:eastAsiaTheme="minorEastAsia" w:cs="Calibri"/>
          <w:color w:val="18376A"/>
          <w:sz w:val="28"/>
          <w:szCs w:val="28"/>
          <w:lang w:val="en-US"/>
        </w:rPr>
        <w:t xml:space="preserve">A case study of learning analytics (Alexandra) </w:t>
      </w:r>
    </w:p>
    <w:p w:rsidR="006206B0" w:rsidRPr="0044550C" w:rsidRDefault="006206B0" w:rsidP="0044550C">
      <w:pPr>
        <w:widowControl w:val="0"/>
        <w:autoSpaceDE w:val="0"/>
        <w:autoSpaceDN w:val="0"/>
        <w:adjustRightInd w:val="0"/>
        <w:spacing w:after="0" w:line="240" w:lineRule="auto"/>
        <w:ind w:left="709" w:hanging="709"/>
        <w:rPr>
          <w:rFonts w:eastAsiaTheme="minorEastAsia" w:cs="Times New Roman"/>
          <w:sz w:val="28"/>
          <w:szCs w:val="28"/>
          <w:lang w:val="en-US"/>
        </w:rPr>
      </w:pPr>
      <w:r w:rsidRPr="0044550C">
        <w:rPr>
          <w:rFonts w:eastAsiaTheme="minorEastAsia" w:cs="Calibri"/>
          <w:color w:val="18376A"/>
          <w:sz w:val="28"/>
          <w:szCs w:val="28"/>
          <w:lang w:val="en-US"/>
        </w:rPr>
        <w:t>11:30     Ways ahead for our research of learning analytics</w:t>
      </w:r>
    </w:p>
    <w:p w:rsidR="003F2565" w:rsidRPr="0044550C" w:rsidRDefault="006206B0" w:rsidP="0044550C">
      <w:pPr>
        <w:ind w:left="709" w:hanging="709"/>
        <w:rPr>
          <w:rFonts w:eastAsiaTheme="minorEastAsia" w:cs="Calibri"/>
          <w:color w:val="18376A"/>
          <w:sz w:val="28"/>
          <w:szCs w:val="28"/>
          <w:lang w:val="en-US"/>
        </w:rPr>
      </w:pPr>
      <w:r w:rsidRPr="0044550C">
        <w:rPr>
          <w:rFonts w:eastAsiaTheme="minorEastAsia" w:cs="Calibri"/>
          <w:color w:val="18376A"/>
          <w:sz w:val="28"/>
          <w:szCs w:val="28"/>
          <w:lang w:val="en-US"/>
        </w:rPr>
        <w:t>11:45     Thanks and tea and coffee</w:t>
      </w:r>
    </w:p>
    <w:p w:rsidR="00C10CA5" w:rsidRPr="0044550C" w:rsidRDefault="006206B0" w:rsidP="00C10CA5">
      <w:pPr>
        <w:spacing w:line="240" w:lineRule="auto"/>
        <w:rPr>
          <w:rFonts w:eastAsiaTheme="minorEastAsia" w:cs="Calibri"/>
          <w:color w:val="18376A"/>
          <w:sz w:val="28"/>
          <w:szCs w:val="28"/>
          <w:lang w:val="en-US"/>
        </w:rPr>
      </w:pPr>
      <w:r w:rsidRPr="0044550C">
        <w:rPr>
          <w:rFonts w:eastAsiaTheme="minorEastAsia" w:cs="Calibri"/>
          <w:color w:val="18376A"/>
          <w:sz w:val="28"/>
          <w:szCs w:val="28"/>
          <w:lang w:val="en-US"/>
        </w:rPr>
        <w:t xml:space="preserve">12 -1.00 (For those who able to stay) </w:t>
      </w:r>
    </w:p>
    <w:p w:rsidR="006206B0" w:rsidRDefault="006206B0" w:rsidP="00C10CA5">
      <w:pPr>
        <w:spacing w:line="240" w:lineRule="auto"/>
        <w:rPr>
          <w:rFonts w:eastAsiaTheme="minorEastAsia" w:cs="Calibri"/>
          <w:color w:val="18376A"/>
          <w:sz w:val="28"/>
          <w:szCs w:val="28"/>
          <w:lang w:val="en-US"/>
        </w:rPr>
      </w:pPr>
      <w:r w:rsidRPr="0044550C">
        <w:rPr>
          <w:rFonts w:eastAsiaTheme="minorEastAsia" w:cs="Calibri"/>
          <w:color w:val="18376A"/>
          <w:sz w:val="28"/>
          <w:szCs w:val="28"/>
          <w:lang w:val="en-US"/>
        </w:rPr>
        <w:t>Future seminars and research</w:t>
      </w:r>
      <w:r w:rsidR="003F2565" w:rsidRPr="0044550C">
        <w:rPr>
          <w:rFonts w:eastAsiaTheme="minorEastAsia" w:cs="Calibri"/>
          <w:color w:val="18376A"/>
          <w:sz w:val="28"/>
          <w:szCs w:val="28"/>
          <w:lang w:val="en-US"/>
        </w:rPr>
        <w:t xml:space="preserve"> </w:t>
      </w:r>
      <w:r w:rsidRPr="0044550C">
        <w:rPr>
          <w:rFonts w:eastAsiaTheme="minorEastAsia" w:cs="Calibri"/>
          <w:color w:val="18376A"/>
          <w:sz w:val="28"/>
          <w:szCs w:val="28"/>
          <w:lang w:val="en-US"/>
        </w:rPr>
        <w:t>student network</w:t>
      </w:r>
    </w:p>
    <w:p w:rsidR="0044550C" w:rsidRPr="0044550C" w:rsidRDefault="0044550C" w:rsidP="00C10CA5">
      <w:pPr>
        <w:spacing w:line="240" w:lineRule="auto"/>
        <w:rPr>
          <w:rFonts w:eastAsiaTheme="minorEastAsia" w:cs="Calibri"/>
          <w:color w:val="18376A"/>
          <w:sz w:val="28"/>
          <w:szCs w:val="28"/>
          <w:lang w:val="en-US"/>
        </w:rPr>
      </w:pPr>
    </w:p>
    <w:p w:rsidR="00C10CA5" w:rsidRPr="0044550C" w:rsidRDefault="00C10CA5">
      <w:pPr>
        <w:spacing w:after="0" w:line="240" w:lineRule="auto"/>
        <w:rPr>
          <w:rFonts w:eastAsiaTheme="minorEastAsia" w:cs="Calibri"/>
          <w:color w:val="18376A"/>
          <w:szCs w:val="24"/>
          <w:lang w:val="en-US"/>
        </w:rPr>
      </w:pPr>
      <w:r w:rsidRPr="0044550C">
        <w:rPr>
          <w:rFonts w:eastAsiaTheme="minorEastAsia" w:cs="Calibri"/>
          <w:color w:val="18376A"/>
          <w:szCs w:val="24"/>
          <w:lang w:val="en-US"/>
        </w:rPr>
        <w:br w:type="page"/>
      </w:r>
    </w:p>
    <w:p w:rsidR="00C10CA5" w:rsidRPr="0044550C" w:rsidRDefault="00C10CA5" w:rsidP="006206B0">
      <w:pPr>
        <w:widowControl w:val="0"/>
        <w:autoSpaceDE w:val="0"/>
        <w:autoSpaceDN w:val="0"/>
        <w:adjustRightInd w:val="0"/>
        <w:spacing w:after="0" w:line="240" w:lineRule="auto"/>
        <w:rPr>
          <w:rFonts w:eastAsiaTheme="minorEastAsia" w:cs="Calibri"/>
          <w:color w:val="18376A"/>
          <w:szCs w:val="24"/>
          <w:lang w:val="en-US"/>
        </w:rPr>
      </w:pPr>
    </w:p>
    <w:p w:rsidR="00C10CA5" w:rsidRPr="00835CBD" w:rsidRDefault="00E8283A" w:rsidP="006206B0">
      <w:pPr>
        <w:widowControl w:val="0"/>
        <w:autoSpaceDE w:val="0"/>
        <w:autoSpaceDN w:val="0"/>
        <w:adjustRightInd w:val="0"/>
        <w:spacing w:after="0" w:line="240" w:lineRule="auto"/>
        <w:rPr>
          <w:rFonts w:eastAsiaTheme="minorEastAsia" w:cs="Calibri"/>
          <w:b/>
          <w:color w:val="18376A"/>
          <w:szCs w:val="24"/>
          <w:lang w:val="en-US"/>
        </w:rPr>
      </w:pPr>
      <w:r w:rsidRPr="00835CBD">
        <w:rPr>
          <w:rFonts w:eastAsiaTheme="minorEastAsia" w:cs="Calibri"/>
          <w:b/>
          <w:color w:val="18376A"/>
          <w:szCs w:val="24"/>
          <w:lang w:val="en-US"/>
        </w:rPr>
        <w:t xml:space="preserve">Researching </w:t>
      </w:r>
      <w:r w:rsidR="00835CBD">
        <w:rPr>
          <w:rFonts w:eastAsiaTheme="minorEastAsia" w:cs="Calibri"/>
          <w:b/>
          <w:color w:val="18376A"/>
          <w:szCs w:val="24"/>
          <w:lang w:val="en-US"/>
        </w:rPr>
        <w:t>Learning A</w:t>
      </w:r>
      <w:bookmarkStart w:id="0" w:name="_GoBack"/>
      <w:bookmarkEnd w:id="0"/>
      <w:r w:rsidR="00C10CA5" w:rsidRPr="00835CBD">
        <w:rPr>
          <w:rFonts w:eastAsiaTheme="minorEastAsia" w:cs="Calibri"/>
          <w:b/>
          <w:color w:val="18376A"/>
          <w:szCs w:val="24"/>
          <w:lang w:val="en-US"/>
        </w:rPr>
        <w:t>nalytics</w:t>
      </w:r>
    </w:p>
    <w:p w:rsidR="00C10CA5" w:rsidRPr="0044550C" w:rsidRDefault="00C10CA5" w:rsidP="006206B0">
      <w:pPr>
        <w:widowControl w:val="0"/>
        <w:autoSpaceDE w:val="0"/>
        <w:autoSpaceDN w:val="0"/>
        <w:adjustRightInd w:val="0"/>
        <w:spacing w:after="0" w:line="240" w:lineRule="auto"/>
        <w:rPr>
          <w:rFonts w:eastAsiaTheme="minorEastAsia" w:cs="Calibri"/>
          <w:color w:val="18376A"/>
          <w:szCs w:val="24"/>
          <w:lang w:val="en-US"/>
        </w:rPr>
      </w:pPr>
    </w:p>
    <w:p w:rsidR="003F2565" w:rsidRPr="0044550C" w:rsidRDefault="00885330" w:rsidP="003F2565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Theme="minorEastAsia" w:cs="Calibri"/>
          <w:color w:val="18376A"/>
          <w:szCs w:val="24"/>
          <w:lang w:val="en-US"/>
        </w:rPr>
      </w:pPr>
      <w:r w:rsidRPr="0044550C">
        <w:rPr>
          <w:rFonts w:eastAsiaTheme="minorEastAsia" w:cs="Calibri"/>
          <w:color w:val="18376A"/>
          <w:szCs w:val="24"/>
          <w:lang w:val="en-US"/>
        </w:rPr>
        <w:t xml:space="preserve">Positionality – </w:t>
      </w:r>
      <w:r w:rsidR="003F2565" w:rsidRPr="0044550C">
        <w:rPr>
          <w:rFonts w:eastAsiaTheme="minorEastAsia" w:cs="Calibri"/>
          <w:color w:val="18376A"/>
          <w:szCs w:val="24"/>
          <w:lang w:val="en-US"/>
        </w:rPr>
        <w:t>usual suspects and unusual suspects</w:t>
      </w:r>
    </w:p>
    <w:p w:rsidR="00C10CA5" w:rsidRPr="0044550C" w:rsidRDefault="00C10CA5" w:rsidP="003F2565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Theme="minorEastAsia" w:cs="Calibri"/>
          <w:color w:val="18376A"/>
          <w:szCs w:val="24"/>
          <w:lang w:val="en-US"/>
        </w:rPr>
      </w:pPr>
      <w:r w:rsidRPr="0044550C">
        <w:rPr>
          <w:rFonts w:eastAsiaTheme="minorEastAsia" w:cs="Calibri"/>
          <w:color w:val="18376A"/>
          <w:szCs w:val="24"/>
          <w:lang w:val="en-US"/>
        </w:rPr>
        <w:t>Disconnect between data available and how much is used</w:t>
      </w:r>
    </w:p>
    <w:p w:rsidR="003F2565" w:rsidRPr="0044550C" w:rsidRDefault="003F2565" w:rsidP="003F2565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Theme="minorEastAsia" w:cs="Calibri"/>
          <w:color w:val="18376A"/>
          <w:szCs w:val="24"/>
          <w:lang w:val="en-US"/>
        </w:rPr>
      </w:pPr>
      <w:r w:rsidRPr="0044550C">
        <w:rPr>
          <w:rFonts w:eastAsiaTheme="minorEastAsia" w:cs="Calibri"/>
          <w:color w:val="18376A"/>
          <w:szCs w:val="24"/>
          <w:lang w:val="en-US"/>
        </w:rPr>
        <w:t xml:space="preserve">Is it new? </w:t>
      </w:r>
      <w:r w:rsidR="00E8283A" w:rsidRPr="0044550C">
        <w:rPr>
          <w:rFonts w:eastAsiaTheme="minorEastAsia" w:cs="Calibri"/>
          <w:color w:val="18376A"/>
          <w:szCs w:val="24"/>
          <w:lang w:val="en-US"/>
        </w:rPr>
        <w:t>S</w:t>
      </w:r>
      <w:r w:rsidR="00C10CA5" w:rsidRPr="0044550C">
        <w:rPr>
          <w:rFonts w:eastAsiaTheme="minorEastAsia" w:cs="Calibri"/>
          <w:color w:val="18376A"/>
          <w:szCs w:val="24"/>
          <w:lang w:val="en-US"/>
        </w:rPr>
        <w:t>ocial network analysis plus c</w:t>
      </w:r>
      <w:r w:rsidRPr="0044550C">
        <w:rPr>
          <w:rFonts w:eastAsiaTheme="minorEastAsia" w:cs="Calibri"/>
          <w:color w:val="18376A"/>
          <w:szCs w:val="24"/>
          <w:lang w:val="en-US"/>
        </w:rPr>
        <w:t>o</w:t>
      </w:r>
      <w:r w:rsidR="00C10CA5" w:rsidRPr="0044550C">
        <w:rPr>
          <w:rFonts w:eastAsiaTheme="minorEastAsia" w:cs="Calibri"/>
          <w:color w:val="18376A"/>
          <w:szCs w:val="24"/>
          <w:lang w:val="en-US"/>
        </w:rPr>
        <w:t xml:space="preserve">ding / </w:t>
      </w:r>
      <w:r w:rsidRPr="0044550C">
        <w:rPr>
          <w:rFonts w:eastAsiaTheme="minorEastAsia" w:cs="Calibri"/>
          <w:color w:val="18376A"/>
          <w:szCs w:val="24"/>
          <w:lang w:val="en-US"/>
        </w:rPr>
        <w:t xml:space="preserve">frequency </w:t>
      </w:r>
      <w:r w:rsidR="00C10CA5" w:rsidRPr="0044550C">
        <w:rPr>
          <w:rFonts w:eastAsiaTheme="minorEastAsia" w:cs="Calibri"/>
          <w:color w:val="18376A"/>
          <w:szCs w:val="24"/>
          <w:lang w:val="en-US"/>
        </w:rPr>
        <w:t xml:space="preserve">of </w:t>
      </w:r>
      <w:r w:rsidRPr="0044550C">
        <w:rPr>
          <w:rFonts w:eastAsiaTheme="minorEastAsia" w:cs="Calibri"/>
          <w:color w:val="18376A"/>
          <w:szCs w:val="24"/>
          <w:lang w:val="en-US"/>
        </w:rPr>
        <w:t xml:space="preserve">messages </w:t>
      </w:r>
      <w:r w:rsidR="00C10CA5" w:rsidRPr="0044550C">
        <w:rPr>
          <w:rFonts w:eastAsiaTheme="minorEastAsia" w:cs="Calibri"/>
          <w:color w:val="18376A"/>
          <w:szCs w:val="24"/>
          <w:lang w:val="en-US"/>
        </w:rPr>
        <w:t>long established in online discussion research; ‘</w:t>
      </w:r>
      <w:r w:rsidRPr="0044550C">
        <w:rPr>
          <w:rFonts w:eastAsiaTheme="minorEastAsia" w:cs="Calibri"/>
          <w:color w:val="18376A"/>
          <w:szCs w:val="24"/>
          <w:lang w:val="en-US"/>
        </w:rPr>
        <w:t>Freakonomics</w:t>
      </w:r>
      <w:r w:rsidR="00C10CA5" w:rsidRPr="0044550C">
        <w:rPr>
          <w:rFonts w:eastAsiaTheme="minorEastAsia" w:cs="Calibri"/>
          <w:color w:val="18376A"/>
          <w:szCs w:val="24"/>
          <w:lang w:val="en-US"/>
        </w:rPr>
        <w:t>’ and number crunching</w:t>
      </w:r>
      <w:r w:rsidR="00E9778E" w:rsidRPr="0044550C">
        <w:rPr>
          <w:rFonts w:eastAsiaTheme="minorEastAsia" w:cs="Calibri"/>
          <w:color w:val="18376A"/>
          <w:szCs w:val="24"/>
          <w:lang w:val="en-US"/>
        </w:rPr>
        <w:t xml:space="preserve"> not new</w:t>
      </w:r>
    </w:p>
    <w:p w:rsidR="003F2565" w:rsidRPr="0044550C" w:rsidRDefault="003F2565" w:rsidP="003F2565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Theme="minorEastAsia" w:cs="Calibri"/>
          <w:color w:val="18376A"/>
          <w:szCs w:val="24"/>
          <w:lang w:val="en-US"/>
        </w:rPr>
      </w:pPr>
      <w:r w:rsidRPr="0044550C">
        <w:rPr>
          <w:rFonts w:eastAsiaTheme="minorEastAsia" w:cs="Calibri"/>
          <w:color w:val="18376A"/>
          <w:szCs w:val="24"/>
          <w:lang w:val="en-US"/>
        </w:rPr>
        <w:t>Inductive versus deductive analysis</w:t>
      </w:r>
      <w:r w:rsidR="00C10CA5" w:rsidRPr="0044550C">
        <w:rPr>
          <w:rFonts w:eastAsiaTheme="minorEastAsia" w:cs="Calibri"/>
          <w:color w:val="18376A"/>
          <w:szCs w:val="24"/>
          <w:lang w:val="en-US"/>
        </w:rPr>
        <w:t xml:space="preserve"> with consequent worries over lack of theorisation, the needle in the hay stack, exemplars of Google</w:t>
      </w:r>
      <w:r w:rsidRPr="0044550C">
        <w:rPr>
          <w:rFonts w:eastAsiaTheme="minorEastAsia" w:cs="Calibri"/>
          <w:color w:val="18376A"/>
          <w:szCs w:val="24"/>
          <w:lang w:val="en-US"/>
        </w:rPr>
        <w:t xml:space="preserve"> translate </w:t>
      </w:r>
      <w:r w:rsidR="00C10CA5" w:rsidRPr="0044550C">
        <w:rPr>
          <w:rFonts w:eastAsiaTheme="minorEastAsia" w:cs="Calibri"/>
          <w:color w:val="18376A"/>
          <w:szCs w:val="24"/>
          <w:lang w:val="en-US"/>
        </w:rPr>
        <w:t>/ S</w:t>
      </w:r>
      <w:r w:rsidRPr="0044550C">
        <w:rPr>
          <w:rFonts w:eastAsiaTheme="minorEastAsia" w:cs="Calibri"/>
          <w:color w:val="18376A"/>
          <w:szCs w:val="24"/>
          <w:lang w:val="en-US"/>
        </w:rPr>
        <w:t xml:space="preserve">peech recognition </w:t>
      </w:r>
    </w:p>
    <w:p w:rsidR="003F2565" w:rsidRPr="0044550C" w:rsidRDefault="003F2565" w:rsidP="006206B0">
      <w:pPr>
        <w:widowControl w:val="0"/>
        <w:autoSpaceDE w:val="0"/>
        <w:autoSpaceDN w:val="0"/>
        <w:adjustRightInd w:val="0"/>
        <w:spacing w:after="0" w:line="240" w:lineRule="auto"/>
        <w:rPr>
          <w:rFonts w:eastAsiaTheme="minorEastAsia" w:cs="Calibri"/>
          <w:color w:val="18376A"/>
          <w:szCs w:val="24"/>
          <w:lang w:val="en-US"/>
        </w:rPr>
      </w:pPr>
    </w:p>
    <w:p w:rsidR="00E8283A" w:rsidRPr="0044550C" w:rsidRDefault="00E8283A" w:rsidP="006206B0">
      <w:pPr>
        <w:widowControl w:val="0"/>
        <w:autoSpaceDE w:val="0"/>
        <w:autoSpaceDN w:val="0"/>
        <w:adjustRightInd w:val="0"/>
        <w:spacing w:after="0" w:line="240" w:lineRule="auto"/>
        <w:rPr>
          <w:rFonts w:eastAsiaTheme="minorEastAsia" w:cs="Calibri"/>
          <w:color w:val="18376A"/>
          <w:szCs w:val="24"/>
          <w:lang w:val="en-US"/>
        </w:rPr>
      </w:pPr>
      <w:r w:rsidRPr="0044550C">
        <w:rPr>
          <w:rFonts w:eastAsiaTheme="minorEastAsia" w:cs="Calibri"/>
          <w:color w:val="18376A"/>
          <w:szCs w:val="24"/>
          <w:lang w:val="en-US"/>
        </w:rPr>
        <w:t>A case I found interesting:</w:t>
      </w:r>
    </w:p>
    <w:p w:rsidR="00E8283A" w:rsidRPr="0044550C" w:rsidRDefault="00E8283A" w:rsidP="00E8283A">
      <w:pPr>
        <w:spacing w:line="276" w:lineRule="auto"/>
        <w:ind w:firstLine="567"/>
        <w:rPr>
          <w:color w:val="000000"/>
          <w:szCs w:val="24"/>
        </w:rPr>
      </w:pPr>
      <w:proofErr w:type="spellStart"/>
      <w:proofErr w:type="gramStart"/>
      <w:r w:rsidRPr="0044550C">
        <w:rPr>
          <w:color w:val="000000"/>
          <w:szCs w:val="24"/>
        </w:rPr>
        <w:t>Agudo-Peregrina</w:t>
      </w:r>
      <w:proofErr w:type="spellEnd"/>
      <w:r w:rsidRPr="0044550C">
        <w:rPr>
          <w:color w:val="000000"/>
          <w:szCs w:val="24"/>
        </w:rPr>
        <w:t>, Á. F., Iglesias-</w:t>
      </w:r>
      <w:proofErr w:type="spellStart"/>
      <w:r w:rsidRPr="0044550C">
        <w:rPr>
          <w:color w:val="000000"/>
          <w:szCs w:val="24"/>
        </w:rPr>
        <w:t>Pradas</w:t>
      </w:r>
      <w:proofErr w:type="spellEnd"/>
      <w:r w:rsidRPr="0044550C">
        <w:rPr>
          <w:color w:val="000000"/>
          <w:szCs w:val="24"/>
        </w:rPr>
        <w:t xml:space="preserve">, S., </w:t>
      </w:r>
      <w:proofErr w:type="spellStart"/>
      <w:r w:rsidRPr="0044550C">
        <w:rPr>
          <w:color w:val="000000"/>
          <w:szCs w:val="24"/>
        </w:rPr>
        <w:t>Conde</w:t>
      </w:r>
      <w:proofErr w:type="spellEnd"/>
      <w:r w:rsidRPr="0044550C">
        <w:rPr>
          <w:color w:val="000000"/>
          <w:szCs w:val="24"/>
        </w:rPr>
        <w:t>-González, M. Á., &amp; Hernández-</w:t>
      </w:r>
      <w:proofErr w:type="spellStart"/>
      <w:r w:rsidRPr="0044550C">
        <w:rPr>
          <w:color w:val="000000"/>
          <w:szCs w:val="24"/>
        </w:rPr>
        <w:t>García</w:t>
      </w:r>
      <w:proofErr w:type="spellEnd"/>
      <w:r w:rsidRPr="0044550C">
        <w:rPr>
          <w:color w:val="000000"/>
          <w:szCs w:val="24"/>
        </w:rPr>
        <w:t>, Á. (2014).</w:t>
      </w:r>
      <w:proofErr w:type="gramEnd"/>
      <w:r w:rsidRPr="0044550C">
        <w:rPr>
          <w:color w:val="000000"/>
          <w:szCs w:val="24"/>
        </w:rPr>
        <w:t xml:space="preserve"> Can we predict success from log data in VLEs? </w:t>
      </w:r>
      <w:proofErr w:type="gramStart"/>
      <w:r w:rsidRPr="0044550C">
        <w:rPr>
          <w:color w:val="000000"/>
          <w:szCs w:val="24"/>
        </w:rPr>
        <w:t>Classification of interactions for learning analytics and their relation with performance in VLE-supported F2F and online learning.</w:t>
      </w:r>
      <w:proofErr w:type="gramEnd"/>
      <w:r w:rsidRPr="0044550C">
        <w:rPr>
          <w:color w:val="000000"/>
          <w:szCs w:val="24"/>
        </w:rPr>
        <w:t xml:space="preserve"> </w:t>
      </w:r>
      <w:proofErr w:type="gramStart"/>
      <w:r w:rsidRPr="0044550C">
        <w:rPr>
          <w:i/>
          <w:color w:val="000000"/>
          <w:szCs w:val="24"/>
        </w:rPr>
        <w:t xml:space="preserve">Computers in Human </w:t>
      </w:r>
      <w:proofErr w:type="spellStart"/>
      <w:r w:rsidRPr="0044550C">
        <w:rPr>
          <w:i/>
          <w:color w:val="000000"/>
          <w:szCs w:val="24"/>
        </w:rPr>
        <w:t>Behavior</w:t>
      </w:r>
      <w:proofErr w:type="spellEnd"/>
      <w:r w:rsidRPr="0044550C">
        <w:rPr>
          <w:i/>
          <w:color w:val="000000"/>
          <w:szCs w:val="24"/>
        </w:rPr>
        <w:t>, 31</w:t>
      </w:r>
      <w:r w:rsidRPr="0044550C">
        <w:rPr>
          <w:color w:val="000000"/>
          <w:szCs w:val="24"/>
        </w:rPr>
        <w:t>, 542-550.</w:t>
      </w:r>
      <w:proofErr w:type="gramEnd"/>
    </w:p>
    <w:p w:rsidR="00C31CD2" w:rsidRPr="0044550C" w:rsidRDefault="0044550C" w:rsidP="00E8283A">
      <w:pPr>
        <w:spacing w:line="276" w:lineRule="auto"/>
        <w:ind w:firstLine="567"/>
        <w:rPr>
          <w:color w:val="000000"/>
          <w:szCs w:val="24"/>
        </w:rPr>
      </w:pPr>
      <w:r w:rsidRPr="0044550C">
        <w:rPr>
          <w:color w:val="000000"/>
          <w:szCs w:val="24"/>
        </w:rPr>
        <w:t>[</w:t>
      </w:r>
      <w:proofErr w:type="gramStart"/>
      <w:r w:rsidR="00C31CD2" w:rsidRPr="0044550C">
        <w:rPr>
          <w:color w:val="000000"/>
          <w:szCs w:val="24"/>
        </w:rPr>
        <w:t>my</w:t>
      </w:r>
      <w:proofErr w:type="gramEnd"/>
      <w:r w:rsidR="00C31CD2" w:rsidRPr="0044550C">
        <w:rPr>
          <w:color w:val="000000"/>
          <w:szCs w:val="24"/>
        </w:rPr>
        <w:t xml:space="preserve"> own paper is Online collaboration and cooperation: The recurring importance of evidence, rationale and viability at http://link.springer.com/article/10.1007/s10639-016-9469-x?wt_mc=internal.event.1.SEM.ArticleAuthorOnlineFirst]</w:t>
      </w:r>
    </w:p>
    <w:p w:rsidR="0044550C" w:rsidRPr="0044550C" w:rsidRDefault="0044550C" w:rsidP="0044550C">
      <w:pPr>
        <w:spacing w:line="240" w:lineRule="auto"/>
        <w:rPr>
          <w:b/>
          <w:szCs w:val="24"/>
          <w:lang w:val="en-US"/>
        </w:rPr>
      </w:pPr>
      <w:r w:rsidRPr="0044550C">
        <w:rPr>
          <w:b/>
          <w:szCs w:val="24"/>
          <w:lang w:val="en-US"/>
        </w:rPr>
        <w:t>Further references</w:t>
      </w:r>
    </w:p>
    <w:p w:rsidR="0044550C" w:rsidRPr="0044550C" w:rsidRDefault="0044550C" w:rsidP="0044550C">
      <w:pPr>
        <w:spacing w:line="240" w:lineRule="auto"/>
        <w:rPr>
          <w:rFonts w:cs="Helvetica Neue Light"/>
          <w:color w:val="2A2A2A"/>
          <w:szCs w:val="24"/>
          <w:lang w:val="en-US"/>
        </w:rPr>
      </w:pPr>
      <w:r w:rsidRPr="0044550C">
        <w:rPr>
          <w:rFonts w:cs="Helvetica Neue Light"/>
          <w:color w:val="2A2A2A"/>
          <w:szCs w:val="24"/>
          <w:lang w:val="en-US"/>
        </w:rPr>
        <w:t>JISC studies</w:t>
      </w:r>
    </w:p>
    <w:p w:rsidR="0044550C" w:rsidRPr="0044550C" w:rsidRDefault="0044550C" w:rsidP="0044550C">
      <w:pPr>
        <w:spacing w:line="240" w:lineRule="auto"/>
        <w:rPr>
          <w:rFonts w:cs="Helvetica Neue Light"/>
          <w:color w:val="2A2A2A"/>
          <w:szCs w:val="24"/>
          <w:lang w:val="en-US"/>
        </w:rPr>
      </w:pPr>
      <w:proofErr w:type="spellStart"/>
      <w:r w:rsidRPr="0044550C">
        <w:rPr>
          <w:rFonts w:cs="Helvetica Neue Light"/>
          <w:color w:val="2A2A2A"/>
          <w:szCs w:val="24"/>
          <w:lang w:val="en-US"/>
        </w:rPr>
        <w:t>Sclater</w:t>
      </w:r>
      <w:proofErr w:type="spellEnd"/>
      <w:r w:rsidRPr="0044550C">
        <w:rPr>
          <w:rFonts w:cs="Helvetica Neue Light"/>
          <w:color w:val="2A2A2A"/>
          <w:szCs w:val="24"/>
          <w:lang w:val="en-US"/>
        </w:rPr>
        <w:t xml:space="preserve">, N. (2014) </w:t>
      </w:r>
      <w:r w:rsidRPr="0044550C">
        <w:rPr>
          <w:rFonts w:cs="Helvetica Neue Light"/>
          <w:i/>
          <w:iCs/>
          <w:color w:val="2A2A2A"/>
          <w:szCs w:val="24"/>
          <w:lang w:val="en-US"/>
        </w:rPr>
        <w:t>The Current State of Play in UK Higher and Further Education</w:t>
      </w:r>
      <w:r w:rsidRPr="0044550C">
        <w:rPr>
          <w:rFonts w:cs="Helvetica Neue Light"/>
          <w:color w:val="2A2A2A"/>
          <w:szCs w:val="24"/>
          <w:lang w:val="en-US"/>
        </w:rPr>
        <w:t xml:space="preserve"> published at:</w:t>
      </w:r>
      <w:hyperlink r:id="rId6" w:history="1">
        <w:r w:rsidRPr="0044550C">
          <w:rPr>
            <w:rFonts w:cs="Helvetica Neue Light"/>
            <w:color w:val="186CC6"/>
            <w:szCs w:val="24"/>
            <w:lang w:val="en-US"/>
          </w:rPr>
          <w:t>http://repository.jisc.ac.uk/5657/1/Learning_analytics_report.pdf</w:t>
        </w:r>
      </w:hyperlink>
    </w:p>
    <w:p w:rsidR="0044550C" w:rsidRPr="0044550C" w:rsidRDefault="0044550C" w:rsidP="0044550C">
      <w:pPr>
        <w:spacing w:line="240" w:lineRule="auto"/>
        <w:rPr>
          <w:rFonts w:cs="Helvetica Neue Light"/>
          <w:color w:val="2A2A2A"/>
          <w:szCs w:val="24"/>
          <w:lang w:val="en-US"/>
        </w:rPr>
      </w:pPr>
      <w:proofErr w:type="spellStart"/>
      <w:r w:rsidRPr="0044550C">
        <w:rPr>
          <w:rFonts w:cs="Helvetica Neue Light"/>
          <w:color w:val="2A2A2A"/>
          <w:szCs w:val="24"/>
          <w:lang w:val="en-US"/>
        </w:rPr>
        <w:t>Sclater</w:t>
      </w:r>
      <w:proofErr w:type="spellEnd"/>
      <w:r w:rsidRPr="0044550C">
        <w:rPr>
          <w:rFonts w:cs="Helvetica Neue Light"/>
          <w:color w:val="2A2A2A"/>
          <w:szCs w:val="24"/>
          <w:lang w:val="en-US"/>
        </w:rPr>
        <w:t xml:space="preserve">, N. (2014) </w:t>
      </w:r>
      <w:r w:rsidRPr="0044550C">
        <w:rPr>
          <w:rFonts w:cs="Helvetica Neue Light"/>
          <w:i/>
          <w:iCs/>
          <w:color w:val="2A2A2A"/>
          <w:szCs w:val="24"/>
          <w:lang w:val="en-US"/>
        </w:rPr>
        <w:t xml:space="preserve">Code of Practice for Learner Analytics, </w:t>
      </w:r>
      <w:r w:rsidRPr="0044550C">
        <w:rPr>
          <w:rFonts w:cs="Helvetica Neue Light"/>
          <w:color w:val="2A2A2A"/>
          <w:szCs w:val="24"/>
          <w:lang w:val="en-US"/>
        </w:rPr>
        <w:t xml:space="preserve">at </w:t>
      </w:r>
      <w:hyperlink r:id="rId7" w:history="1">
        <w:r w:rsidRPr="0044550C">
          <w:rPr>
            <w:rFonts w:cs="Helvetica Neue Light"/>
            <w:color w:val="186CC6"/>
            <w:szCs w:val="24"/>
            <w:lang w:val="en-US"/>
          </w:rPr>
          <w:t>http://analytics.jiscinvolve.org/wp/2014/12/04/jisc-releases-report-on-ethical-and-legal-challenges-of-learning-analytics/</w:t>
        </w:r>
      </w:hyperlink>
    </w:p>
    <w:p w:rsidR="0044550C" w:rsidRPr="0044550C" w:rsidRDefault="0044550C" w:rsidP="0044550C">
      <w:pPr>
        <w:spacing w:line="240" w:lineRule="auto"/>
        <w:rPr>
          <w:rFonts w:cs="Helvetica Neue Light"/>
          <w:color w:val="2A2A2A"/>
          <w:szCs w:val="24"/>
          <w:lang w:val="en-US"/>
        </w:rPr>
      </w:pPr>
      <w:r w:rsidRPr="0044550C">
        <w:rPr>
          <w:rFonts w:cs="Helvetica Neue Light"/>
          <w:color w:val="2A2A2A"/>
          <w:szCs w:val="24"/>
          <w:lang w:val="en-US"/>
        </w:rPr>
        <w:t>Critical voices</w:t>
      </w:r>
    </w:p>
    <w:p w:rsidR="0044550C" w:rsidRPr="0044550C" w:rsidRDefault="0044550C" w:rsidP="0044550C">
      <w:pPr>
        <w:spacing w:line="240" w:lineRule="auto"/>
        <w:rPr>
          <w:rFonts w:cs="Helvetica Neue Light"/>
          <w:color w:val="2A2A2A"/>
          <w:szCs w:val="24"/>
          <w:lang w:val="en-US"/>
        </w:rPr>
      </w:pPr>
      <w:proofErr w:type="gramStart"/>
      <w:r w:rsidRPr="0044550C">
        <w:rPr>
          <w:rFonts w:cs="Helvetica Neue Light"/>
          <w:color w:val="2A2A2A"/>
          <w:szCs w:val="24"/>
          <w:lang w:val="en-US"/>
        </w:rPr>
        <w:t>Williamson, B. (ed.) 2015.</w:t>
      </w:r>
      <w:proofErr w:type="gramEnd"/>
      <w:r w:rsidRPr="0044550C">
        <w:rPr>
          <w:rFonts w:cs="Helvetica Neue Light"/>
          <w:color w:val="2A2A2A"/>
          <w:szCs w:val="24"/>
          <w:lang w:val="en-US"/>
        </w:rPr>
        <w:t xml:space="preserve"> </w:t>
      </w:r>
      <w:r w:rsidRPr="0044550C">
        <w:rPr>
          <w:rFonts w:cs="Helvetica Neue Light"/>
          <w:i/>
          <w:iCs/>
          <w:color w:val="2A2A2A"/>
          <w:szCs w:val="24"/>
          <w:lang w:val="en-US"/>
        </w:rPr>
        <w:t>Coding/Learning: Software and digital data in education</w:t>
      </w:r>
      <w:r w:rsidRPr="0044550C">
        <w:rPr>
          <w:rFonts w:cs="Helvetica Neue Light"/>
          <w:color w:val="2A2A2A"/>
          <w:szCs w:val="24"/>
          <w:lang w:val="en-US"/>
        </w:rPr>
        <w:t xml:space="preserve">. </w:t>
      </w:r>
      <w:proofErr w:type="spellStart"/>
      <w:r w:rsidRPr="0044550C">
        <w:rPr>
          <w:rFonts w:cs="Helvetica Neue Light"/>
          <w:color w:val="2A2A2A"/>
          <w:szCs w:val="24"/>
          <w:lang w:val="en-US"/>
        </w:rPr>
        <w:t>Stirling</w:t>
      </w:r>
      <w:proofErr w:type="spellEnd"/>
      <w:r w:rsidRPr="0044550C">
        <w:rPr>
          <w:rFonts w:cs="Helvetica Neue Light"/>
          <w:color w:val="2A2A2A"/>
          <w:szCs w:val="24"/>
          <w:lang w:val="en-US"/>
        </w:rPr>
        <w:t xml:space="preserve">: University of </w:t>
      </w:r>
      <w:proofErr w:type="spellStart"/>
      <w:r w:rsidRPr="0044550C">
        <w:rPr>
          <w:rFonts w:cs="Helvetica Neue Light"/>
          <w:color w:val="2A2A2A"/>
          <w:szCs w:val="24"/>
          <w:lang w:val="en-US"/>
        </w:rPr>
        <w:t>Stirling</w:t>
      </w:r>
      <w:proofErr w:type="spellEnd"/>
      <w:r w:rsidRPr="0044550C">
        <w:rPr>
          <w:rFonts w:cs="Helvetica Neue Light"/>
          <w:color w:val="2A2A2A"/>
          <w:szCs w:val="24"/>
          <w:lang w:val="en-US"/>
        </w:rPr>
        <w:t xml:space="preserve"> at: </w:t>
      </w:r>
      <w:hyperlink r:id="rId8" w:history="1">
        <w:r w:rsidRPr="0044550C">
          <w:rPr>
            <w:rFonts w:cs="Helvetica Neue Light"/>
            <w:color w:val="186CC6"/>
            <w:szCs w:val="24"/>
            <w:lang w:val="en-US"/>
          </w:rPr>
          <w:t>https://codeactsineducation.files.wordpress.com/2015/08/coding_learning_-_software_and_digital_data_in_education.pdf</w:t>
        </w:r>
      </w:hyperlink>
    </w:p>
    <w:p w:rsidR="0044550C" w:rsidRPr="0044550C" w:rsidRDefault="0044550C" w:rsidP="0044550C">
      <w:pPr>
        <w:spacing w:line="240" w:lineRule="auto"/>
        <w:rPr>
          <w:rFonts w:cs="Helvetica Neue Light"/>
          <w:color w:val="2A2A2A"/>
          <w:szCs w:val="24"/>
          <w:lang w:val="en-US"/>
        </w:rPr>
      </w:pPr>
      <w:r w:rsidRPr="0044550C">
        <w:rPr>
          <w:rFonts w:cs="Helvetica Neue Light"/>
          <w:color w:val="2A2A2A"/>
          <w:szCs w:val="24"/>
          <w:lang w:val="en-US"/>
        </w:rPr>
        <w:t>HEA Academy ‘tool kit’</w:t>
      </w:r>
    </w:p>
    <w:p w:rsidR="0044550C" w:rsidRPr="0044550C" w:rsidRDefault="0044550C" w:rsidP="0044550C">
      <w:pPr>
        <w:spacing w:line="240" w:lineRule="auto"/>
        <w:rPr>
          <w:rFonts w:cs="Helvetica Neue Light"/>
          <w:color w:val="2A2A2A"/>
          <w:szCs w:val="24"/>
          <w:lang w:val="en-US"/>
        </w:rPr>
      </w:pPr>
      <w:hyperlink r:id="rId9" w:history="1">
        <w:r w:rsidRPr="0044550C">
          <w:rPr>
            <w:rStyle w:val="Hyperlink"/>
            <w:rFonts w:eastAsiaTheme="minorEastAsia" w:cs="Helvetica Neue Light"/>
            <w:szCs w:val="24"/>
            <w:lang w:val="en-US"/>
          </w:rPr>
          <w:t>https://www.heacademy.ac.uk/enhancement/starter-tools/learning-analytics</w:t>
        </w:r>
      </w:hyperlink>
    </w:p>
    <w:p w:rsidR="0044550C" w:rsidRPr="0044550C" w:rsidRDefault="0044550C" w:rsidP="0044550C">
      <w:pPr>
        <w:spacing w:line="240" w:lineRule="auto"/>
        <w:rPr>
          <w:rFonts w:cs="Helvetica Neue Light"/>
          <w:color w:val="2A2A2A"/>
          <w:szCs w:val="24"/>
          <w:lang w:val="en-US"/>
        </w:rPr>
      </w:pPr>
      <w:r w:rsidRPr="0044550C">
        <w:rPr>
          <w:rFonts w:cs="Helvetica Neue Light"/>
          <w:color w:val="2A2A2A"/>
          <w:szCs w:val="24"/>
          <w:lang w:val="en-US"/>
        </w:rPr>
        <w:t>More references in this blog post:</w:t>
      </w:r>
    </w:p>
    <w:p w:rsidR="0044550C" w:rsidRPr="0044550C" w:rsidRDefault="0044550C" w:rsidP="0044550C">
      <w:pPr>
        <w:spacing w:line="240" w:lineRule="auto"/>
        <w:rPr>
          <w:rFonts w:cs="Helvetica Neue Light"/>
          <w:color w:val="2A2A2A"/>
          <w:szCs w:val="24"/>
          <w:lang w:val="en-US"/>
        </w:rPr>
      </w:pPr>
      <w:hyperlink r:id="rId10" w:history="1">
        <w:r w:rsidRPr="0044550C">
          <w:rPr>
            <w:rStyle w:val="Hyperlink"/>
            <w:rFonts w:eastAsiaTheme="minorEastAsia" w:cs="Helvetica Neue Light"/>
            <w:szCs w:val="24"/>
            <w:lang w:val="en-US"/>
          </w:rPr>
          <w:t>https://mickhammond.wordpress.com/2015/12/09/big-data-and-educatio</w:t>
        </w:r>
        <w:r w:rsidRPr="0044550C">
          <w:rPr>
            <w:rStyle w:val="Hyperlink"/>
            <w:rFonts w:eastAsiaTheme="minorEastAsia" w:cs="Helvetica Neue Light"/>
            <w:szCs w:val="24"/>
            <w:lang w:val="en-US"/>
          </w:rPr>
          <w:t>n</w:t>
        </w:r>
        <w:r w:rsidRPr="0044550C">
          <w:rPr>
            <w:rStyle w:val="Hyperlink"/>
            <w:rFonts w:eastAsiaTheme="minorEastAsia" w:cs="Helvetica Neue Light"/>
            <w:szCs w:val="24"/>
            <w:lang w:val="en-US"/>
          </w:rPr>
          <w:t>/</w:t>
        </w:r>
      </w:hyperlink>
    </w:p>
    <w:p w:rsidR="0044550C" w:rsidRPr="0044550C" w:rsidRDefault="0044550C" w:rsidP="0044550C">
      <w:pPr>
        <w:widowControl w:val="0"/>
        <w:autoSpaceDE w:val="0"/>
        <w:autoSpaceDN w:val="0"/>
        <w:adjustRightInd w:val="0"/>
        <w:spacing w:after="0" w:line="240" w:lineRule="auto"/>
        <w:rPr>
          <w:rFonts w:eastAsiaTheme="minorEastAsia" w:cs="Helvetica Neue Light"/>
          <w:color w:val="2A2A2A"/>
          <w:szCs w:val="24"/>
          <w:lang w:val="en-US"/>
        </w:rPr>
      </w:pPr>
    </w:p>
    <w:p w:rsidR="0044550C" w:rsidRPr="0044550C" w:rsidRDefault="0044550C" w:rsidP="0044550C">
      <w:pPr>
        <w:widowControl w:val="0"/>
        <w:autoSpaceDE w:val="0"/>
        <w:autoSpaceDN w:val="0"/>
        <w:adjustRightInd w:val="0"/>
        <w:spacing w:after="0" w:line="240" w:lineRule="auto"/>
        <w:rPr>
          <w:rFonts w:eastAsiaTheme="minorEastAsia" w:cs="Helvetica Neue Light"/>
          <w:color w:val="2A2A2A"/>
          <w:szCs w:val="24"/>
          <w:lang w:val="en-US"/>
        </w:rPr>
      </w:pPr>
      <w:r w:rsidRPr="0044550C">
        <w:rPr>
          <w:rFonts w:eastAsiaTheme="minorEastAsia" w:cs="Times"/>
          <w:color w:val="2A2A2A"/>
          <w:szCs w:val="24"/>
          <w:lang w:val="en-US"/>
        </w:rPr>
        <w:t xml:space="preserve">Andrew Blake Machines that learn: </w:t>
      </w:r>
      <w:r w:rsidR="00835CBD">
        <w:rPr>
          <w:rFonts w:eastAsiaTheme="minorEastAsia" w:cs="Times"/>
          <w:color w:val="2A2A2A"/>
          <w:szCs w:val="24"/>
          <w:lang w:val="en-US"/>
        </w:rPr>
        <w:t>big data or explanatory models?</w:t>
      </w:r>
    </w:p>
    <w:p w:rsidR="0044550C" w:rsidRPr="0044550C" w:rsidRDefault="0044550C" w:rsidP="0044550C">
      <w:pPr>
        <w:rPr>
          <w:szCs w:val="24"/>
        </w:rPr>
      </w:pPr>
    </w:p>
    <w:p w:rsidR="00E8283A" w:rsidRPr="0044550C" w:rsidRDefault="00E8283A" w:rsidP="006206B0">
      <w:pPr>
        <w:widowControl w:val="0"/>
        <w:autoSpaceDE w:val="0"/>
        <w:autoSpaceDN w:val="0"/>
        <w:adjustRightInd w:val="0"/>
        <w:spacing w:after="0" w:line="240" w:lineRule="auto"/>
        <w:rPr>
          <w:rFonts w:eastAsiaTheme="minorEastAsia" w:cs="Calibri"/>
          <w:color w:val="18376A"/>
          <w:szCs w:val="24"/>
          <w:lang w:val="en-US"/>
        </w:rPr>
      </w:pPr>
    </w:p>
    <w:sectPr w:rsidR="00E8283A" w:rsidRPr="0044550C" w:rsidSect="00B82D1E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Helvetica Neue Light">
    <w:panose1 w:val="02000403000000020004"/>
    <w:charset w:val="00"/>
    <w:family w:val="auto"/>
    <w:pitch w:val="variable"/>
    <w:sig w:usb0="A00002FF" w:usb1="5000205B" w:usb2="00000002" w:usb3="00000000" w:csb0="00000007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bullet"/>
      <w:lvlText w:val="▪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00000002"/>
    <w:lvl w:ilvl="0" w:tplc="00000065">
      <w:start w:val="1"/>
      <w:numFmt w:val="bullet"/>
      <w:lvlText w:val="▪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03"/>
    <w:multiLevelType w:val="hybridMultilevel"/>
    <w:tmpl w:val="00000003"/>
    <w:lvl w:ilvl="0" w:tplc="000000C9">
      <w:start w:val="1"/>
      <w:numFmt w:val="bullet"/>
      <w:lvlText w:val="▪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161F52EC"/>
    <w:multiLevelType w:val="hybridMultilevel"/>
    <w:tmpl w:val="EBA239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06B0"/>
    <w:rsid w:val="00042B4D"/>
    <w:rsid w:val="00154B81"/>
    <w:rsid w:val="003F2565"/>
    <w:rsid w:val="0044550C"/>
    <w:rsid w:val="00497831"/>
    <w:rsid w:val="006206B0"/>
    <w:rsid w:val="00622790"/>
    <w:rsid w:val="00835CBD"/>
    <w:rsid w:val="00885330"/>
    <w:rsid w:val="00B82D1E"/>
    <w:rsid w:val="00C10CA5"/>
    <w:rsid w:val="00C31CD2"/>
    <w:rsid w:val="00D31D8B"/>
    <w:rsid w:val="00D47B0A"/>
    <w:rsid w:val="00E8283A"/>
    <w:rsid w:val="00E9778E"/>
    <w:rsid w:val="00F46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2E6C1EC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2790"/>
    <w:pPr>
      <w:spacing w:after="160" w:line="480" w:lineRule="auto"/>
    </w:pPr>
    <w:rPr>
      <w:rFonts w:ascii="Garamond" w:eastAsiaTheme="minorHAnsi" w:hAnsi="Garamond"/>
      <w:szCs w:val="22"/>
    </w:rPr>
  </w:style>
  <w:style w:type="paragraph" w:styleId="Heading2">
    <w:name w:val="heading 2"/>
    <w:basedOn w:val="Normal"/>
    <w:link w:val="Heading2Char"/>
    <w:qFormat/>
    <w:rsid w:val="00042B4D"/>
    <w:pPr>
      <w:spacing w:before="120" w:after="120" w:line="360" w:lineRule="auto"/>
      <w:outlineLvl w:val="1"/>
    </w:pPr>
    <w:rPr>
      <w:rFonts w:eastAsia="Times New Roman" w:cs="Times New Roman"/>
      <w:b/>
      <w:bCs/>
      <w:sz w:val="2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aliases w:val="afeed"/>
    <w:basedOn w:val="Normal"/>
    <w:next w:val="Normal"/>
    <w:link w:val="TitleChar"/>
    <w:uiPriority w:val="10"/>
    <w:qFormat/>
    <w:rsid w:val="00154B81"/>
    <w:pPr>
      <w:spacing w:after="300" w:line="360" w:lineRule="auto"/>
      <w:contextualSpacing/>
    </w:pPr>
    <w:rPr>
      <w:rFonts w:eastAsiaTheme="majorEastAsia" w:cstheme="majorBidi"/>
      <w:color w:val="17365D" w:themeColor="text2" w:themeShade="BF"/>
      <w:spacing w:val="5"/>
      <w:kern w:val="28"/>
      <w:szCs w:val="52"/>
      <w:lang w:val="en-US"/>
    </w:rPr>
  </w:style>
  <w:style w:type="character" w:customStyle="1" w:styleId="TitleChar">
    <w:name w:val="Title Char"/>
    <w:aliases w:val="afeed Char"/>
    <w:basedOn w:val="DefaultParagraphFont"/>
    <w:link w:val="Title"/>
    <w:uiPriority w:val="10"/>
    <w:rsid w:val="00154B81"/>
    <w:rPr>
      <w:rFonts w:ascii="Garamond" w:eastAsiaTheme="majorEastAsia" w:hAnsi="Garamond" w:cstheme="majorBidi"/>
      <w:color w:val="17365D" w:themeColor="text2" w:themeShade="BF"/>
      <w:spacing w:val="5"/>
      <w:kern w:val="28"/>
      <w:szCs w:val="52"/>
      <w:lang w:eastAsia="en-GB"/>
    </w:rPr>
  </w:style>
  <w:style w:type="character" w:customStyle="1" w:styleId="Heading2Char">
    <w:name w:val="Heading 2 Char"/>
    <w:basedOn w:val="DefaultParagraphFont"/>
    <w:link w:val="Heading2"/>
    <w:rsid w:val="00042B4D"/>
    <w:rPr>
      <w:rFonts w:ascii="Garamond" w:eastAsia="Times New Roman" w:hAnsi="Garamond" w:cs="Times New Roman"/>
      <w:b/>
      <w:bCs/>
      <w:sz w:val="26"/>
      <w:szCs w:val="36"/>
      <w:lang w:val="en-GB" w:eastAsia="en-GB"/>
    </w:rPr>
  </w:style>
  <w:style w:type="character" w:styleId="Hyperlink">
    <w:name w:val="Hyperlink"/>
    <w:basedOn w:val="DefaultParagraphFont"/>
    <w:uiPriority w:val="99"/>
    <w:unhideWhenUsed/>
    <w:rsid w:val="006206B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3F2565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835CB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2790"/>
    <w:pPr>
      <w:spacing w:after="160" w:line="480" w:lineRule="auto"/>
    </w:pPr>
    <w:rPr>
      <w:rFonts w:ascii="Garamond" w:eastAsiaTheme="minorHAnsi" w:hAnsi="Garamond"/>
      <w:szCs w:val="22"/>
    </w:rPr>
  </w:style>
  <w:style w:type="paragraph" w:styleId="Heading2">
    <w:name w:val="heading 2"/>
    <w:basedOn w:val="Normal"/>
    <w:link w:val="Heading2Char"/>
    <w:qFormat/>
    <w:rsid w:val="00042B4D"/>
    <w:pPr>
      <w:spacing w:before="120" w:after="120" w:line="360" w:lineRule="auto"/>
      <w:outlineLvl w:val="1"/>
    </w:pPr>
    <w:rPr>
      <w:rFonts w:eastAsia="Times New Roman" w:cs="Times New Roman"/>
      <w:b/>
      <w:bCs/>
      <w:sz w:val="2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aliases w:val="afeed"/>
    <w:basedOn w:val="Normal"/>
    <w:next w:val="Normal"/>
    <w:link w:val="TitleChar"/>
    <w:uiPriority w:val="10"/>
    <w:qFormat/>
    <w:rsid w:val="00154B81"/>
    <w:pPr>
      <w:spacing w:after="300" w:line="360" w:lineRule="auto"/>
      <w:contextualSpacing/>
    </w:pPr>
    <w:rPr>
      <w:rFonts w:eastAsiaTheme="majorEastAsia" w:cstheme="majorBidi"/>
      <w:color w:val="17365D" w:themeColor="text2" w:themeShade="BF"/>
      <w:spacing w:val="5"/>
      <w:kern w:val="28"/>
      <w:szCs w:val="52"/>
      <w:lang w:val="en-US"/>
    </w:rPr>
  </w:style>
  <w:style w:type="character" w:customStyle="1" w:styleId="TitleChar">
    <w:name w:val="Title Char"/>
    <w:aliases w:val="afeed Char"/>
    <w:basedOn w:val="DefaultParagraphFont"/>
    <w:link w:val="Title"/>
    <w:uiPriority w:val="10"/>
    <w:rsid w:val="00154B81"/>
    <w:rPr>
      <w:rFonts w:ascii="Garamond" w:eastAsiaTheme="majorEastAsia" w:hAnsi="Garamond" w:cstheme="majorBidi"/>
      <w:color w:val="17365D" w:themeColor="text2" w:themeShade="BF"/>
      <w:spacing w:val="5"/>
      <w:kern w:val="28"/>
      <w:szCs w:val="52"/>
      <w:lang w:eastAsia="en-GB"/>
    </w:rPr>
  </w:style>
  <w:style w:type="character" w:customStyle="1" w:styleId="Heading2Char">
    <w:name w:val="Heading 2 Char"/>
    <w:basedOn w:val="DefaultParagraphFont"/>
    <w:link w:val="Heading2"/>
    <w:rsid w:val="00042B4D"/>
    <w:rPr>
      <w:rFonts w:ascii="Garamond" w:eastAsia="Times New Roman" w:hAnsi="Garamond" w:cs="Times New Roman"/>
      <w:b/>
      <w:bCs/>
      <w:sz w:val="26"/>
      <w:szCs w:val="36"/>
      <w:lang w:val="en-GB" w:eastAsia="en-GB"/>
    </w:rPr>
  </w:style>
  <w:style w:type="character" w:styleId="Hyperlink">
    <w:name w:val="Hyperlink"/>
    <w:basedOn w:val="DefaultParagraphFont"/>
    <w:uiPriority w:val="99"/>
    <w:unhideWhenUsed/>
    <w:rsid w:val="006206B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3F2565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835CB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http://repository.jisc.ac.uk/5657/1/Learning_analytics_report.pdf" TargetMode="External"/><Relationship Id="rId7" Type="http://schemas.openxmlformats.org/officeDocument/2006/relationships/hyperlink" Target="http://analytics.jiscinvolve.org/wp/2014/12/04/jisc-releases-report-on-ethical-and-legal-challenges-of-learning-analytics/" TargetMode="External"/><Relationship Id="rId8" Type="http://schemas.openxmlformats.org/officeDocument/2006/relationships/hyperlink" Target="https://codeactsineducation.files.wordpress.com/2015/08/coding_learning_-_software_and_digital_data_in_education.pdf" TargetMode="External"/><Relationship Id="rId9" Type="http://schemas.openxmlformats.org/officeDocument/2006/relationships/hyperlink" Target="https://www.heacademy.ac.uk/enhancement/starter-tools/learning-analytics" TargetMode="External"/><Relationship Id="rId10" Type="http://schemas.openxmlformats.org/officeDocument/2006/relationships/hyperlink" Target="https://mickhammond.wordpress.com/2015/12/09/big-data-and-educatio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2</Pages>
  <Words>472</Words>
  <Characters>2695</Characters>
  <Application>Microsoft Macintosh Word</Application>
  <DocSecurity>0</DocSecurity>
  <Lines>22</Lines>
  <Paragraphs>6</Paragraphs>
  <ScaleCrop>false</ScaleCrop>
  <Company>university of warwick</Company>
  <LinksUpToDate>false</LinksUpToDate>
  <CharactersWithSpaces>3161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Hammond</dc:creator>
  <cp:keywords/>
  <dc:description/>
  <cp:lastModifiedBy>Michael Hammond</cp:lastModifiedBy>
  <cp:revision>1</cp:revision>
  <cp:lastPrinted>2016-02-25T14:25:00Z</cp:lastPrinted>
  <dcterms:created xsi:type="dcterms:W3CDTF">2016-02-25T09:44:00Z</dcterms:created>
  <dcterms:modified xsi:type="dcterms:W3CDTF">2016-02-26T16:06:00Z</dcterms:modified>
</cp:coreProperties>
</file>