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55E2" w:rsidRDefault="00E262A5" w:rsidP="00E54870">
      <w:pPr>
        <w:pStyle w:val="Body"/>
        <w:jc w:val="both"/>
        <w:rPr>
          <w:b/>
          <w:bCs/>
        </w:rPr>
      </w:pPr>
      <w:r>
        <w:rPr>
          <w:b/>
          <w:bCs/>
        </w:rPr>
        <w:t>The Need for Evaluation</w:t>
      </w:r>
    </w:p>
    <w:p w:rsidR="00B555E2" w:rsidRDefault="00E262A5" w:rsidP="00E54870">
      <w:pPr>
        <w:pStyle w:val="Body"/>
        <w:jc w:val="both"/>
      </w:pPr>
      <w:r>
        <w:t xml:space="preserve">Professor Anna </w:t>
      </w:r>
      <w:proofErr w:type="spellStart"/>
      <w:r>
        <w:t>Vignoles</w:t>
      </w:r>
      <w:proofErr w:type="spellEnd"/>
    </w:p>
    <w:p w:rsidR="00B555E2" w:rsidRDefault="00B555E2" w:rsidP="00E54870">
      <w:pPr>
        <w:pStyle w:val="Body"/>
        <w:jc w:val="both"/>
      </w:pPr>
      <w:bookmarkStart w:id="0" w:name="_GoBack"/>
      <w:bookmarkEnd w:id="0"/>
    </w:p>
    <w:p w:rsidR="00B555E2" w:rsidRDefault="00E262A5" w:rsidP="00E54870">
      <w:pPr>
        <w:pStyle w:val="Body"/>
        <w:jc w:val="both"/>
      </w:pPr>
      <w:r>
        <w:rPr>
          <w:lang w:val="en-US"/>
        </w:rPr>
        <w:t xml:space="preserve">Higher education has the potential to be transformative: for individuals, local communities and for the wider society. The extent to which HE succeeds, however, depends on many factors. For </w:t>
      </w:r>
      <w:proofErr w:type="gramStart"/>
      <w:r>
        <w:rPr>
          <w:lang w:val="en-US"/>
        </w:rPr>
        <w:t>HE</w:t>
      </w:r>
      <w:proofErr w:type="gramEnd"/>
      <w:r>
        <w:rPr>
          <w:lang w:val="en-US"/>
        </w:rPr>
        <w:t xml:space="preserve"> to transform </w:t>
      </w:r>
      <w:r>
        <w:rPr>
          <w:lang w:val="en-US"/>
        </w:rPr>
        <w:t>lives, individuals from a wide range of backgrounds must apply to and participate in HE</w:t>
      </w:r>
      <w:r>
        <w:t xml:space="preserve"> (David et al. 2009)</w:t>
      </w:r>
      <w:r>
        <w:rPr>
          <w:lang w:val="en-US"/>
        </w:rPr>
        <w:t>. Existing research shows how</w:t>
      </w:r>
      <w:r>
        <w:t xml:space="preserve"> in fact</w:t>
      </w:r>
      <w:r>
        <w:rPr>
          <w:lang w:val="en-US"/>
        </w:rPr>
        <w:t xml:space="preserve"> the likelihood of applying to and participating in HE varies </w:t>
      </w:r>
      <w:r>
        <w:t xml:space="preserve">substantially </w:t>
      </w:r>
      <w:r>
        <w:rPr>
          <w:lang w:val="en-US"/>
        </w:rPr>
        <w:t>by family background (e.g. Anders, 2</w:t>
      </w:r>
      <w:r>
        <w:rPr>
          <w:lang w:val="en-US"/>
        </w:rPr>
        <w:t>012;</w:t>
      </w:r>
      <w:r>
        <w:t xml:space="preserve"> Archer and Hutchings 2010; </w:t>
      </w:r>
      <w:proofErr w:type="spellStart"/>
      <w:r>
        <w:t>Boliver</w:t>
      </w:r>
      <w:proofErr w:type="spellEnd"/>
      <w:r>
        <w:t>, 2013;</w:t>
      </w:r>
      <w:r>
        <w:rPr>
          <w:lang w:val="en-US"/>
        </w:rPr>
        <w:t xml:space="preserve"> </w:t>
      </w:r>
      <w:proofErr w:type="spellStart"/>
      <w:r>
        <w:rPr>
          <w:lang w:val="en-US"/>
        </w:rPr>
        <w:t>Chowdry</w:t>
      </w:r>
      <w:proofErr w:type="spellEnd"/>
      <w:r>
        <w:rPr>
          <w:lang w:val="en-US"/>
        </w:rPr>
        <w:t xml:space="preserve"> et al., 2013; Gayle et al., 2002; UCAS, 2013). Previous research has </w:t>
      </w:r>
      <w:r>
        <w:t xml:space="preserve">also </w:t>
      </w:r>
      <w:r>
        <w:rPr>
          <w:lang w:val="en-US"/>
        </w:rPr>
        <w:t xml:space="preserve">suggested that </w:t>
      </w:r>
      <w:r>
        <w:t xml:space="preserve">most of the </w:t>
      </w:r>
      <w:r>
        <w:rPr>
          <w:lang w:val="en-US"/>
        </w:rPr>
        <w:t xml:space="preserve">socio-economic </w:t>
      </w:r>
      <w:r>
        <w:t>gap</w:t>
      </w:r>
      <w:r>
        <w:rPr>
          <w:lang w:val="en-US"/>
        </w:rPr>
        <w:t xml:space="preserve"> in HE participation in England can be explained by </w:t>
      </w:r>
      <w:r>
        <w:t xml:space="preserve">the fact that poorer students </w:t>
      </w:r>
      <w:r>
        <w:t xml:space="preserve">have lower levels of attainment at GCSE and Key Stage 5 </w:t>
      </w:r>
      <w:r>
        <w:rPr>
          <w:lang w:val="en-US"/>
        </w:rPr>
        <w:t>(</w:t>
      </w:r>
      <w:proofErr w:type="spellStart"/>
      <w:r>
        <w:rPr>
          <w:lang w:val="en-US"/>
        </w:rPr>
        <w:t>Chowdry</w:t>
      </w:r>
      <w:proofErr w:type="spellEnd"/>
      <w:r>
        <w:rPr>
          <w:lang w:val="en-US"/>
        </w:rPr>
        <w:t xml:space="preserve"> et al., 2013). </w:t>
      </w:r>
      <w:r>
        <w:t>This would seem to imply that</w:t>
      </w:r>
      <w:r>
        <w:rPr>
          <w:lang w:val="en-US"/>
        </w:rPr>
        <w:t xml:space="preserve"> interventions at the point of application or entry to university </w:t>
      </w:r>
      <w:r>
        <w:t xml:space="preserve">alone </w:t>
      </w:r>
      <w:r>
        <w:rPr>
          <w:lang w:val="en-US"/>
        </w:rPr>
        <w:t xml:space="preserve">are unlikely to be able to close these gaps. </w:t>
      </w:r>
      <w:r>
        <w:t>Intervention to improve academ</w:t>
      </w:r>
      <w:r>
        <w:t>ic achievement of poorer students, and hence their likelihood of applying and succeeding in entering HE, needs to come earlier in the system. This is not, of course, to say that universities should not play a major role in this endeavour but it is importan</w:t>
      </w:r>
      <w:r>
        <w:t>t that we articulate what that role might be (leaving aside the issue of whether we urgently need more transparent and wide spread use of contextualised admissions as a means to widen participation and improve fair access).</w:t>
      </w:r>
    </w:p>
    <w:p w:rsidR="00B555E2" w:rsidRDefault="00B555E2" w:rsidP="00E54870">
      <w:pPr>
        <w:pStyle w:val="Body"/>
        <w:jc w:val="both"/>
      </w:pPr>
    </w:p>
    <w:p w:rsidR="00B555E2" w:rsidRDefault="00E262A5" w:rsidP="00E54870">
      <w:pPr>
        <w:pStyle w:val="Body"/>
        <w:jc w:val="both"/>
      </w:pPr>
      <w:r>
        <w:t>However</w:t>
      </w:r>
      <w:r>
        <w:rPr>
          <w:lang w:val="en-US"/>
        </w:rPr>
        <w:t xml:space="preserve">, less is known about </w:t>
      </w:r>
      <w:r>
        <w:t>th</w:t>
      </w:r>
      <w:r>
        <w:t>e importance of what economists call "</w:t>
      </w:r>
      <w:r>
        <w:rPr>
          <w:lang w:val="sv-SE"/>
        </w:rPr>
        <w:t>non-cognitive skills</w:t>
      </w:r>
      <w:r>
        <w:t xml:space="preserve">", </w:t>
      </w:r>
      <w:proofErr w:type="gramStart"/>
      <w:r>
        <w:t>sometimes</w:t>
      </w:r>
      <w:proofErr w:type="gramEnd"/>
      <w:r>
        <w:t xml:space="preserve"> known as soft skills, </w:t>
      </w:r>
      <w:r>
        <w:rPr>
          <w:lang w:val="en-US"/>
        </w:rPr>
        <w:t xml:space="preserve">in shaping </w:t>
      </w:r>
      <w:r>
        <w:t xml:space="preserve">pupils' </w:t>
      </w:r>
      <w:r>
        <w:rPr>
          <w:lang w:val="en-US"/>
        </w:rPr>
        <w:t>decisions</w:t>
      </w:r>
      <w:r>
        <w:t xml:space="preserve"> about higher education</w:t>
      </w:r>
      <w:r>
        <w:rPr>
          <w:lang w:val="en-US"/>
        </w:rPr>
        <w:t xml:space="preserve">. </w:t>
      </w:r>
      <w:proofErr w:type="spellStart"/>
      <w:r>
        <w:rPr>
          <w:lang w:val="en-US"/>
        </w:rPr>
        <w:t>Wh</w:t>
      </w:r>
      <w:r>
        <w:t>ilst</w:t>
      </w:r>
      <w:proofErr w:type="spellEnd"/>
      <w:r>
        <w:t xml:space="preserve"> there is a large literature from economics, psychology and education which examines the relationship be</w:t>
      </w:r>
      <w:r>
        <w:t xml:space="preserve">tween pupils' attitudes and aspirations and their attainment, there is far less evidence that proves a </w:t>
      </w:r>
      <w:r>
        <w:rPr>
          <w:i/>
          <w:iCs/>
          <w:lang w:val="it-IT"/>
        </w:rPr>
        <w:t>causal</w:t>
      </w:r>
      <w:r>
        <w:t xml:space="preserve"> link between a pupil's attitudes, and whether they actually go to university (Anders and </w:t>
      </w:r>
      <w:proofErr w:type="spellStart"/>
      <w:r>
        <w:t>Micklewright</w:t>
      </w:r>
      <w:proofErr w:type="spellEnd"/>
      <w:r>
        <w:t xml:space="preserve"> 2013; </w:t>
      </w:r>
      <w:proofErr w:type="spellStart"/>
      <w:r>
        <w:t>Chowdry</w:t>
      </w:r>
      <w:proofErr w:type="spellEnd"/>
      <w:r>
        <w:t xml:space="preserve"> et al. 2013; </w:t>
      </w:r>
      <w:proofErr w:type="spellStart"/>
      <w:r>
        <w:t>Gorard</w:t>
      </w:r>
      <w:proofErr w:type="spellEnd"/>
      <w:r>
        <w:t xml:space="preserve"> et al. 201</w:t>
      </w:r>
      <w:r>
        <w:t xml:space="preserve">2). In other words, we still need to know whether interventions that do not aim to influence pupils' academic achievement but that can alter their aspirations or attitudes </w:t>
      </w:r>
      <w:r>
        <w:rPr>
          <w:i/>
          <w:iCs/>
        </w:rPr>
        <w:t>do actually</w:t>
      </w:r>
      <w:r>
        <w:t xml:space="preserve"> increase their HE participation. It is worth noting that this is the spa</w:t>
      </w:r>
      <w:r>
        <w:t xml:space="preserve">ce in which many higher education widening participation activities operate, i.e. aiming to influence students' aspirations, expectations, knowledge about, and views of, the value of higher education. There is an urgent need for robust </w:t>
      </w:r>
      <w:r>
        <w:rPr>
          <w:lang w:val="en-US"/>
        </w:rPr>
        <w:t xml:space="preserve">evidence on the </w:t>
      </w:r>
      <w:r>
        <w:t>effe</w:t>
      </w:r>
      <w:r>
        <w:t xml:space="preserve">ctiveness of these types of interventions in </w:t>
      </w:r>
      <w:proofErr w:type="gramStart"/>
      <w:r>
        <w:t>influencing  HE</w:t>
      </w:r>
      <w:proofErr w:type="gramEnd"/>
      <w:r>
        <w:t xml:space="preserve"> </w:t>
      </w:r>
      <w:r>
        <w:rPr>
          <w:lang w:val="en-US"/>
        </w:rPr>
        <w:t xml:space="preserve">application and participation decisions, with a view to </w:t>
      </w:r>
      <w:r>
        <w:t>providing</w:t>
      </w:r>
      <w:r>
        <w:rPr>
          <w:lang w:val="en-US"/>
        </w:rPr>
        <w:t xml:space="preserve"> policymakers and practitioners with insights into the types of policies that might be scalable, generalizable and successful in i</w:t>
      </w:r>
      <w:r>
        <w:rPr>
          <w:lang w:val="en-US"/>
        </w:rPr>
        <w:t>ncreasing participation amongst under-represented groups.</w:t>
      </w:r>
      <w:r>
        <w:t xml:space="preserve"> For these reasons, evaluation of efforts to widen participation and improve fair access is essential, particularly where those interventions seek not to improve pupils' prior attainment levels but r</w:t>
      </w:r>
      <w:r>
        <w:t xml:space="preserve">ather to improve their "soft skills" or to provide them with more information to make more informed choices. </w:t>
      </w:r>
    </w:p>
    <w:p w:rsidR="00B555E2" w:rsidRDefault="00B555E2" w:rsidP="00E54870">
      <w:pPr>
        <w:pStyle w:val="Body"/>
        <w:jc w:val="both"/>
      </w:pPr>
    </w:p>
    <w:p w:rsidR="00B555E2" w:rsidRDefault="00E262A5" w:rsidP="00E54870">
      <w:pPr>
        <w:pStyle w:val="Body"/>
        <w:jc w:val="both"/>
      </w:pPr>
      <w:r>
        <w:t>There is of course an existing evidence base on the effectiveness of some widening participation and fair access programmes and activities (</w:t>
      </w:r>
      <w:proofErr w:type="spellStart"/>
      <w:r>
        <w:t>Bekhr</w:t>
      </w:r>
      <w:r>
        <w:t>adnia</w:t>
      </w:r>
      <w:proofErr w:type="spellEnd"/>
      <w:r>
        <w:t xml:space="preserve"> 2003; Moore et al. 2013), including </w:t>
      </w:r>
      <w:proofErr w:type="spellStart"/>
      <w:r>
        <w:t>AimHigher</w:t>
      </w:r>
      <w:proofErr w:type="spellEnd"/>
      <w:r>
        <w:t xml:space="preserve"> (Church and Kerrigan 2010; Emmerson et al. 2005). Much of this research however, is hampered by the fact that the interventions and activities did not have evaluation built in from the very beginning. Thi</w:t>
      </w:r>
      <w:r>
        <w:t xml:space="preserve">s is essential to produce high quality causal evidence of impact. I would argue that we need to </w:t>
      </w:r>
      <w:r>
        <w:rPr>
          <w:lang w:val="en-US"/>
        </w:rPr>
        <w:t xml:space="preserve">expand the evidence base in this area by: 1) evaluating a selection of well-designed existing widening participation (WP) initiatives; 2) building on </w:t>
      </w:r>
      <w:r>
        <w:t xml:space="preserve">the UK's </w:t>
      </w:r>
      <w:proofErr w:type="gramStart"/>
      <w:r>
        <w:t>g</w:t>
      </w:r>
      <w:r>
        <w:t xml:space="preserve">rowing </w:t>
      </w:r>
      <w:r>
        <w:rPr>
          <w:lang w:val="en-US"/>
        </w:rPr>
        <w:t xml:space="preserve"> expertise</w:t>
      </w:r>
      <w:proofErr w:type="gramEnd"/>
      <w:r>
        <w:rPr>
          <w:lang w:val="en-US"/>
        </w:rPr>
        <w:t xml:space="preserve"> in the design, implementation and evaluation of </w:t>
      </w:r>
      <w:r>
        <w:t xml:space="preserve">school based </w:t>
      </w:r>
      <w:proofErr w:type="spellStart"/>
      <w:r>
        <w:rPr>
          <w:lang w:val="en-US"/>
        </w:rPr>
        <w:t>randomised</w:t>
      </w:r>
      <w:proofErr w:type="spellEnd"/>
      <w:r>
        <w:rPr>
          <w:lang w:val="en-US"/>
        </w:rPr>
        <w:t xml:space="preserve"> control trials (RCTs) to </w:t>
      </w:r>
      <w:r>
        <w:t xml:space="preserve">use RCTs to </w:t>
      </w:r>
      <w:r>
        <w:rPr>
          <w:lang w:val="en-US"/>
        </w:rPr>
        <w:t xml:space="preserve">investigate the impact of </w:t>
      </w:r>
      <w:r>
        <w:t>WP interventions delivered in schools. From an economic perspective, there is a particular need to</w:t>
      </w:r>
      <w:r>
        <w:rPr>
          <w:lang w:val="en-US"/>
        </w:rPr>
        <w:t xml:space="preserve"> exte</w:t>
      </w:r>
      <w:r>
        <w:rPr>
          <w:lang w:val="en-US"/>
        </w:rPr>
        <w:t xml:space="preserve">nd </w:t>
      </w:r>
      <w:r>
        <w:t xml:space="preserve">the </w:t>
      </w:r>
      <w:r>
        <w:rPr>
          <w:lang w:val="en-US"/>
        </w:rPr>
        <w:t xml:space="preserve">existing evidence from the UK </w:t>
      </w:r>
      <w:r>
        <w:t>on the effectiveness of better information provision to students</w:t>
      </w:r>
      <w:r>
        <w:rPr>
          <w:lang w:val="fr-FR"/>
        </w:rPr>
        <w:t xml:space="preserve"> (</w:t>
      </w:r>
      <w:proofErr w:type="spellStart"/>
      <w:r>
        <w:rPr>
          <w:lang w:val="fr-FR"/>
        </w:rPr>
        <w:t>e.g</w:t>
      </w:r>
      <w:proofErr w:type="spellEnd"/>
      <w:r>
        <w:rPr>
          <w:lang w:val="fr-FR"/>
        </w:rPr>
        <w:t xml:space="preserve">. Davies et al., 2013; </w:t>
      </w:r>
      <w:r>
        <w:t xml:space="preserve">Hoare and Mann 2011; </w:t>
      </w:r>
      <w:r>
        <w:rPr>
          <w:lang w:val="fr-FR"/>
        </w:rPr>
        <w:t>McGuigan et al., 2012</w:t>
      </w:r>
      <w:r>
        <w:t>; Slack et al. 2012).</w:t>
      </w:r>
    </w:p>
    <w:p w:rsidR="00B555E2" w:rsidRDefault="00B555E2" w:rsidP="00E54870">
      <w:pPr>
        <w:pStyle w:val="Body"/>
        <w:jc w:val="both"/>
      </w:pPr>
    </w:p>
    <w:p w:rsidR="00B555E2" w:rsidRDefault="00E262A5" w:rsidP="00E54870">
      <w:pPr>
        <w:pStyle w:val="Body"/>
        <w:jc w:val="both"/>
      </w:pPr>
      <w:r>
        <w:t xml:space="preserve">Anders, J. (2012) </w:t>
      </w:r>
      <w:r>
        <w:rPr>
          <w:rFonts w:ascii="Arial Unicode MS"/>
          <w:lang w:val="en-US"/>
        </w:rPr>
        <w:t>‘</w:t>
      </w:r>
      <w:r>
        <w:rPr>
          <w:lang w:val="en-US"/>
        </w:rPr>
        <w:t xml:space="preserve">The link between household income, </w:t>
      </w:r>
      <w:r>
        <w:rPr>
          <w:lang w:val="en-US"/>
        </w:rPr>
        <w:t>university applications and university attendance</w:t>
      </w:r>
      <w:r>
        <w:rPr>
          <w:rFonts w:ascii="Arial Unicode MS"/>
          <w:lang w:val="en-US"/>
        </w:rPr>
        <w:t xml:space="preserve">’ </w:t>
      </w:r>
      <w:r>
        <w:rPr>
          <w:i/>
          <w:iCs/>
          <w:lang w:val="de-DE"/>
        </w:rPr>
        <w:t>Fiscal Studies</w:t>
      </w:r>
      <w:r>
        <w:t xml:space="preserve">, 33(2):185-210. </w:t>
      </w:r>
    </w:p>
    <w:p w:rsidR="00B555E2" w:rsidRDefault="00E262A5" w:rsidP="00E54870">
      <w:pPr>
        <w:pStyle w:val="Body"/>
        <w:jc w:val="both"/>
      </w:pPr>
      <w:r>
        <w:rPr>
          <w:lang w:val="en-US"/>
        </w:rPr>
        <w:t xml:space="preserve">Anders, J. and </w:t>
      </w:r>
      <w:proofErr w:type="spellStart"/>
      <w:r>
        <w:rPr>
          <w:lang w:val="en-US"/>
        </w:rPr>
        <w:t>Micklewright</w:t>
      </w:r>
      <w:proofErr w:type="spellEnd"/>
      <w:r>
        <w:rPr>
          <w:lang w:val="en-US"/>
        </w:rPr>
        <w:t xml:space="preserve">, J. (2013) </w:t>
      </w:r>
      <w:r>
        <w:rPr>
          <w:rFonts w:ascii="Arial Unicode MS"/>
          <w:lang w:val="de-DE"/>
        </w:rPr>
        <w:t>‘</w:t>
      </w:r>
      <w:r>
        <w:t>Teenagers</w:t>
      </w:r>
      <w:r>
        <w:rPr>
          <w:rFonts w:ascii="Arial Unicode MS"/>
          <w:lang w:val="de-DE"/>
        </w:rPr>
        <w:t xml:space="preserve">’ </w:t>
      </w:r>
      <w:r>
        <w:rPr>
          <w:lang w:val="en-US"/>
        </w:rPr>
        <w:t xml:space="preserve">expectations of applying to university: how do </w:t>
      </w:r>
      <w:proofErr w:type="gramStart"/>
      <w:r>
        <w:rPr>
          <w:lang w:val="en-US"/>
        </w:rPr>
        <w:t>they</w:t>
      </w:r>
      <w:proofErr w:type="gramEnd"/>
      <w:r>
        <w:rPr>
          <w:lang w:val="en-US"/>
        </w:rPr>
        <w:t xml:space="preserve"> change?</w:t>
      </w:r>
      <w:r>
        <w:rPr>
          <w:rFonts w:ascii="Arial Unicode MS"/>
          <w:lang w:val="de-DE"/>
        </w:rPr>
        <w:t xml:space="preserve">’ </w:t>
      </w:r>
      <w:r>
        <w:rPr>
          <w:lang w:val="en-US"/>
        </w:rPr>
        <w:t>Department of Quantitative Social Science Working Paper 13-13</w:t>
      </w:r>
      <w:r>
        <w:rPr>
          <w:lang w:val="en-US"/>
        </w:rPr>
        <w:t xml:space="preserve">, Institute of Education, University of London. </w:t>
      </w:r>
    </w:p>
    <w:p w:rsidR="00B555E2" w:rsidRDefault="00E262A5" w:rsidP="00E54870">
      <w:pPr>
        <w:pStyle w:val="Body"/>
        <w:jc w:val="both"/>
      </w:pPr>
      <w:r>
        <w:rPr>
          <w:lang w:val="de-DE"/>
        </w:rPr>
        <w:lastRenderedPageBreak/>
        <w:t xml:space="preserve">Archer, L., &amp; Hutchings, M. (2000). </w:t>
      </w:r>
      <w:r>
        <w:rPr>
          <w:rFonts w:ascii="Arial Unicode MS"/>
          <w:lang w:val="en-US"/>
        </w:rPr>
        <w:t>“</w:t>
      </w:r>
      <w:r>
        <w:rPr>
          <w:lang w:val="en-US"/>
        </w:rPr>
        <w:t>Bettering Yourself</w:t>
      </w:r>
      <w:r>
        <w:rPr>
          <w:rFonts w:ascii="Arial Unicode MS"/>
          <w:lang w:val="en-US"/>
        </w:rPr>
        <w:t>”</w:t>
      </w:r>
      <w:r>
        <w:rPr>
          <w:lang w:val="en-US"/>
        </w:rPr>
        <w:t>? Discourses of risk, cost and benefit in ethnically diverse, young working-class non-participants</w:t>
      </w:r>
      <w:r>
        <w:rPr>
          <w:rFonts w:ascii="Arial Unicode MS"/>
          <w:lang w:val="en-US"/>
        </w:rPr>
        <w:t>’</w:t>
      </w:r>
      <w:r>
        <w:rPr>
          <w:lang w:val="en-US"/>
        </w:rPr>
        <w:t xml:space="preserve"> constructions of higher education. </w:t>
      </w:r>
      <w:r>
        <w:rPr>
          <w:i/>
          <w:iCs/>
          <w:lang w:val="en-US"/>
        </w:rPr>
        <w:t xml:space="preserve">British Journal </w:t>
      </w:r>
      <w:r>
        <w:rPr>
          <w:i/>
          <w:iCs/>
          <w:lang w:val="en-US"/>
        </w:rPr>
        <w:t>of Sociology of Education</w:t>
      </w:r>
      <w:r>
        <w:t xml:space="preserve">, </w:t>
      </w:r>
      <w:r>
        <w:rPr>
          <w:i/>
          <w:iCs/>
        </w:rPr>
        <w:t>21</w:t>
      </w:r>
      <w:r>
        <w:t>(4), 555</w:t>
      </w:r>
      <w:r>
        <w:rPr>
          <w:rFonts w:ascii="Arial Unicode MS"/>
          <w:lang w:val="en-US"/>
        </w:rPr>
        <w:t>–</w:t>
      </w:r>
      <w:r>
        <w:t>574.</w:t>
      </w:r>
    </w:p>
    <w:p w:rsidR="00B555E2" w:rsidRDefault="00E262A5" w:rsidP="00E54870">
      <w:pPr>
        <w:pStyle w:val="Body"/>
        <w:jc w:val="both"/>
        <w:rPr>
          <w:color w:val="222222"/>
          <w:u w:color="222222"/>
        </w:rPr>
      </w:pPr>
      <w:proofErr w:type="spellStart"/>
      <w:r>
        <w:rPr>
          <w:color w:val="222222"/>
          <w:u w:color="222222"/>
          <w:lang w:val="en-US"/>
        </w:rPr>
        <w:t>Boliver</w:t>
      </w:r>
      <w:proofErr w:type="spellEnd"/>
      <w:r>
        <w:rPr>
          <w:color w:val="222222"/>
          <w:u w:color="222222"/>
          <w:lang w:val="en-US"/>
        </w:rPr>
        <w:t>, V., 2013. How fair is access to more prestigious UK universities</w:t>
      </w:r>
      <w:proofErr w:type="gramStart"/>
      <w:r>
        <w:rPr>
          <w:color w:val="222222"/>
          <w:u w:color="222222"/>
          <w:lang w:val="en-US"/>
        </w:rPr>
        <w:t>?.</w:t>
      </w:r>
      <w:proofErr w:type="gramEnd"/>
      <w:r>
        <w:rPr>
          <w:color w:val="222222"/>
          <w:u w:color="222222"/>
          <w:lang w:val="en-US"/>
        </w:rPr>
        <w:t xml:space="preserve"> </w:t>
      </w:r>
      <w:r>
        <w:rPr>
          <w:i/>
          <w:iCs/>
          <w:color w:val="222222"/>
          <w:u w:color="222222"/>
          <w:lang w:val="en-US"/>
        </w:rPr>
        <w:t>The British journal of sociology</w:t>
      </w:r>
      <w:r>
        <w:rPr>
          <w:color w:val="222222"/>
          <w:u w:color="222222"/>
        </w:rPr>
        <w:t xml:space="preserve">, </w:t>
      </w:r>
      <w:r>
        <w:rPr>
          <w:i/>
          <w:iCs/>
          <w:color w:val="222222"/>
          <w:u w:color="222222"/>
        </w:rPr>
        <w:t>64</w:t>
      </w:r>
      <w:r>
        <w:rPr>
          <w:color w:val="222222"/>
          <w:u w:color="222222"/>
        </w:rPr>
        <w:t>(2), pp.344-364.</w:t>
      </w:r>
    </w:p>
    <w:p w:rsidR="00B555E2" w:rsidRDefault="00E262A5" w:rsidP="00E54870">
      <w:pPr>
        <w:pStyle w:val="Body"/>
        <w:jc w:val="both"/>
      </w:pPr>
      <w:proofErr w:type="spellStart"/>
      <w:r>
        <w:rPr>
          <w:lang w:val="en-US"/>
        </w:rPr>
        <w:t>Bekhradnia</w:t>
      </w:r>
      <w:proofErr w:type="spellEnd"/>
      <w:r>
        <w:rPr>
          <w:lang w:val="en-US"/>
        </w:rPr>
        <w:t xml:space="preserve">, B. (2003). Widening participation and fair access: an overview of the evidence. </w:t>
      </w:r>
      <w:r>
        <w:rPr>
          <w:i/>
          <w:iCs/>
          <w:lang w:val="en-US"/>
        </w:rPr>
        <w:t>London: Higher Education Policy Institute</w:t>
      </w:r>
      <w:r>
        <w:rPr>
          <w:lang w:val="en-US"/>
        </w:rPr>
        <w:t>. Retrieved from http://www.hepi.ac.uk/files/1%20Widening%20Participation%20and%20Fair%20Access%20May03.pdf</w:t>
      </w:r>
    </w:p>
    <w:p w:rsidR="00B555E2" w:rsidRDefault="00E262A5" w:rsidP="00E54870">
      <w:pPr>
        <w:pStyle w:val="Body"/>
        <w:jc w:val="both"/>
      </w:pPr>
      <w:r>
        <w:t>Crawford, C. (2</w:t>
      </w:r>
      <w:r>
        <w:t xml:space="preserve">012). </w:t>
      </w:r>
      <w:r>
        <w:rPr>
          <w:rFonts w:ascii="Arial Unicode MS"/>
          <w:lang w:val="en-US"/>
        </w:rPr>
        <w:t>‘</w:t>
      </w:r>
      <w:r>
        <w:rPr>
          <w:lang w:val="en-US"/>
        </w:rPr>
        <w:t>Socio-economic gaps in HE participation: How have they changed over time?</w:t>
      </w:r>
      <w:r>
        <w:rPr>
          <w:rFonts w:ascii="Arial Unicode MS"/>
          <w:lang w:val="en-US"/>
        </w:rPr>
        <w:t xml:space="preserve">’ </w:t>
      </w:r>
      <w:r>
        <w:rPr>
          <w:lang w:val="en-US"/>
        </w:rPr>
        <w:t>Institute for Fiscal Studies, Briefing Note BN133.</w:t>
      </w:r>
    </w:p>
    <w:p w:rsidR="00B555E2" w:rsidRDefault="00E262A5" w:rsidP="00E54870">
      <w:pPr>
        <w:pStyle w:val="Body"/>
        <w:jc w:val="both"/>
        <w:rPr>
          <w:color w:val="222222"/>
          <w:u w:color="222222"/>
        </w:rPr>
      </w:pPr>
      <w:proofErr w:type="spellStart"/>
      <w:r>
        <w:rPr>
          <w:lang w:val="en-US"/>
        </w:rPr>
        <w:t>Chowdry</w:t>
      </w:r>
      <w:proofErr w:type="spellEnd"/>
      <w:r>
        <w:rPr>
          <w:lang w:val="en-US"/>
        </w:rPr>
        <w:t xml:space="preserve">, H., C. Crawford and A. Goodman (2010), </w:t>
      </w:r>
      <w:r>
        <w:rPr>
          <w:rFonts w:ascii="Arial Unicode MS"/>
          <w:lang w:val="de-DE"/>
        </w:rPr>
        <w:t>‘</w:t>
      </w:r>
      <w:r>
        <w:rPr>
          <w:lang w:val="en-US"/>
        </w:rPr>
        <w:t xml:space="preserve">The role of attitudes and </w:t>
      </w:r>
      <w:proofErr w:type="spellStart"/>
      <w:r>
        <w:rPr>
          <w:lang w:val="en-US"/>
        </w:rPr>
        <w:t>behaviours</w:t>
      </w:r>
      <w:proofErr w:type="spellEnd"/>
      <w:r>
        <w:rPr>
          <w:lang w:val="en-US"/>
        </w:rPr>
        <w:t xml:space="preserve"> in explaining socio-economic differen</w:t>
      </w:r>
      <w:r>
        <w:rPr>
          <w:lang w:val="en-US"/>
        </w:rPr>
        <w:t>ces in attainment at age 16</w:t>
      </w:r>
      <w:r>
        <w:rPr>
          <w:rFonts w:ascii="Arial Unicode MS"/>
          <w:lang w:val="de-DE"/>
        </w:rPr>
        <w:t>’</w:t>
      </w:r>
      <w:r>
        <w:rPr>
          <w:lang w:val="en-US"/>
        </w:rPr>
        <w:t>, Institute for Fiscal Studies Working Paper W10/15.</w:t>
      </w:r>
    </w:p>
    <w:p w:rsidR="00B555E2" w:rsidRDefault="00E262A5" w:rsidP="00E54870">
      <w:pPr>
        <w:pStyle w:val="Body"/>
        <w:jc w:val="both"/>
      </w:pPr>
      <w:proofErr w:type="spellStart"/>
      <w:r>
        <w:t>Chowdry</w:t>
      </w:r>
      <w:proofErr w:type="spellEnd"/>
      <w:r>
        <w:t xml:space="preserve">, H., Crawford, C., </w:t>
      </w:r>
      <w:proofErr w:type="spellStart"/>
      <w:r>
        <w:t>Dearden</w:t>
      </w:r>
      <w:proofErr w:type="spellEnd"/>
      <w:r>
        <w:t xml:space="preserve">, L., Goodman, A., &amp; </w:t>
      </w:r>
      <w:proofErr w:type="spellStart"/>
      <w:r>
        <w:t>Vignoles</w:t>
      </w:r>
      <w:proofErr w:type="spellEnd"/>
      <w:r>
        <w:t xml:space="preserve">, A. (2013). </w:t>
      </w:r>
      <w:r>
        <w:rPr>
          <w:rFonts w:ascii="Arial Unicode MS"/>
          <w:lang w:val="en-US"/>
        </w:rPr>
        <w:t>‘</w:t>
      </w:r>
      <w:r>
        <w:rPr>
          <w:lang w:val="en-US"/>
        </w:rPr>
        <w:t>Widening participation in higher education: Analysis using linked administrative data</w:t>
      </w:r>
      <w:r>
        <w:rPr>
          <w:rFonts w:ascii="Arial Unicode MS"/>
          <w:lang w:val="en-US"/>
        </w:rPr>
        <w:t>’</w:t>
      </w:r>
      <w:r>
        <w:t xml:space="preserve">. </w:t>
      </w:r>
      <w:r>
        <w:rPr>
          <w:i/>
          <w:iCs/>
          <w:lang w:val="en-US"/>
        </w:rPr>
        <w:t>Journal of</w:t>
      </w:r>
      <w:r>
        <w:rPr>
          <w:i/>
          <w:iCs/>
          <w:lang w:val="en-US"/>
        </w:rPr>
        <w:t xml:space="preserve"> the Royal Statistical Society</w:t>
      </w:r>
      <w:r>
        <w:rPr>
          <w:lang w:val="en-US"/>
        </w:rPr>
        <w:t>, Series A, 176, 431</w:t>
      </w:r>
      <w:r>
        <w:rPr>
          <w:rFonts w:ascii="Arial Unicode MS"/>
          <w:lang w:val="en-US"/>
        </w:rPr>
        <w:t>–</w:t>
      </w:r>
      <w:r>
        <w:t>457.</w:t>
      </w:r>
    </w:p>
    <w:p w:rsidR="00B555E2" w:rsidRDefault="00E262A5" w:rsidP="00E54870">
      <w:pPr>
        <w:pStyle w:val="Body"/>
        <w:jc w:val="both"/>
      </w:pPr>
      <w:r>
        <w:rPr>
          <w:lang w:val="en-US"/>
        </w:rPr>
        <w:t xml:space="preserve">Church, E., &amp; Kerrigan, M. (2011). </w:t>
      </w:r>
      <w:r>
        <w:rPr>
          <w:rFonts w:ascii="Arial Unicode MS"/>
          <w:lang w:val="en-US"/>
        </w:rPr>
        <w:t>“</w:t>
      </w:r>
      <w:r>
        <w:rPr>
          <w:lang w:val="en-US"/>
        </w:rPr>
        <w:t>[</w:t>
      </w:r>
      <w:proofErr w:type="spellStart"/>
      <w:r>
        <w:rPr>
          <w:lang w:val="en-US"/>
        </w:rPr>
        <w:t>Aimhigher</w:t>
      </w:r>
      <w:proofErr w:type="spellEnd"/>
      <w:r>
        <w:rPr>
          <w:lang w:val="en-US"/>
        </w:rPr>
        <w:t xml:space="preserve">] makes you </w:t>
      </w:r>
      <w:proofErr w:type="spellStart"/>
      <w:r>
        <w:rPr>
          <w:lang w:val="en-US"/>
        </w:rPr>
        <w:t>realise</w:t>
      </w:r>
      <w:proofErr w:type="spellEnd"/>
      <w:r>
        <w:rPr>
          <w:lang w:val="en-US"/>
        </w:rPr>
        <w:t xml:space="preserve"> what you can actually accomplish.</w:t>
      </w:r>
      <w:r>
        <w:rPr>
          <w:rFonts w:ascii="Arial Unicode MS"/>
          <w:lang w:val="en-US"/>
        </w:rPr>
        <w:t>”</w:t>
      </w:r>
      <w:r>
        <w:rPr>
          <w:lang w:val="en-US"/>
        </w:rPr>
        <w:t xml:space="preserve"> A longitudinal study of </w:t>
      </w:r>
      <w:proofErr w:type="spellStart"/>
      <w:r>
        <w:rPr>
          <w:lang w:val="en-US"/>
        </w:rPr>
        <w:t>Aimhigher</w:t>
      </w:r>
      <w:proofErr w:type="spellEnd"/>
      <w:r>
        <w:rPr>
          <w:lang w:val="en-US"/>
        </w:rPr>
        <w:t xml:space="preserve"> Nottingham City and Nottinghamshire learners. Retrieved from </w:t>
      </w:r>
      <w:hyperlink r:id="rId6" w:history="1">
        <w:r>
          <w:rPr>
            <w:rStyle w:val="Hyperlink0"/>
            <w:lang w:val="en-US"/>
          </w:rPr>
          <w:t>http://www.hear.ac.uk/assets/documents/aim_higher/CEP_Report_Nottinghamshire_Final_PDF.pdf</w:t>
        </w:r>
      </w:hyperlink>
    </w:p>
    <w:p w:rsidR="00B555E2" w:rsidRDefault="00E262A5" w:rsidP="00E54870">
      <w:pPr>
        <w:pStyle w:val="Body"/>
        <w:jc w:val="both"/>
      </w:pPr>
      <w:r>
        <w:rPr>
          <w:lang w:val="en-US"/>
        </w:rPr>
        <w:t xml:space="preserve">Davies, P., </w:t>
      </w:r>
      <w:proofErr w:type="spellStart"/>
      <w:r>
        <w:rPr>
          <w:lang w:val="en-US"/>
        </w:rPr>
        <w:t>Mangan</w:t>
      </w:r>
      <w:proofErr w:type="spellEnd"/>
      <w:r>
        <w:rPr>
          <w:lang w:val="en-US"/>
        </w:rPr>
        <w:t xml:space="preserve">, J., Hughes, A., &amp; Slack, K. (2013). </w:t>
      </w:r>
      <w:proofErr w:type="spellStart"/>
      <w:r>
        <w:rPr>
          <w:lang w:val="en-US"/>
        </w:rPr>
        <w:t>Labour</w:t>
      </w:r>
      <w:proofErr w:type="spellEnd"/>
      <w:r>
        <w:rPr>
          <w:lang w:val="en-US"/>
        </w:rPr>
        <w:t xml:space="preserve"> market motivation and undergraduates</w:t>
      </w:r>
      <w:r>
        <w:rPr>
          <w:rFonts w:ascii="Arial Unicode MS"/>
          <w:lang w:val="en-US"/>
        </w:rPr>
        <w:t>’</w:t>
      </w:r>
      <w:r>
        <w:rPr>
          <w:lang w:val="en-US"/>
        </w:rPr>
        <w:t xml:space="preserve"> choice of degree subject. </w:t>
      </w:r>
      <w:r>
        <w:rPr>
          <w:i/>
          <w:iCs/>
          <w:lang w:val="en-US"/>
        </w:rPr>
        <w:t>British Educational Research Journal</w:t>
      </w:r>
      <w:r>
        <w:t xml:space="preserve">, </w:t>
      </w:r>
      <w:r>
        <w:rPr>
          <w:i/>
          <w:iCs/>
        </w:rPr>
        <w:t>39</w:t>
      </w:r>
      <w:r>
        <w:t>(2), 361</w:t>
      </w:r>
      <w:r>
        <w:rPr>
          <w:rFonts w:ascii="Arial Unicode MS"/>
          <w:lang w:val="en-US"/>
        </w:rPr>
        <w:t>–</w:t>
      </w:r>
      <w:r>
        <w:t>382.</w:t>
      </w:r>
    </w:p>
    <w:p w:rsidR="00B555E2" w:rsidRDefault="00E262A5" w:rsidP="00E54870">
      <w:pPr>
        <w:pStyle w:val="Body"/>
        <w:jc w:val="both"/>
      </w:pPr>
      <w:r>
        <w:rPr>
          <w:lang w:val="en-US"/>
        </w:rPr>
        <w:t xml:space="preserve">Emmerson, C., Frayne, C., McNally, S., &amp; Silva, O. (2005). Evaluation of </w:t>
      </w:r>
      <w:proofErr w:type="spellStart"/>
      <w:r>
        <w:rPr>
          <w:lang w:val="en-US"/>
        </w:rPr>
        <w:t>Aimhigher</w:t>
      </w:r>
      <w:proofErr w:type="spellEnd"/>
      <w:r>
        <w:rPr>
          <w:lang w:val="en-US"/>
        </w:rPr>
        <w:t xml:space="preserve">: Excellence Challenge: the early impact of </w:t>
      </w:r>
      <w:proofErr w:type="spellStart"/>
      <w:r>
        <w:rPr>
          <w:lang w:val="en-US"/>
        </w:rPr>
        <w:t>Aimhigher</w:t>
      </w:r>
      <w:proofErr w:type="spellEnd"/>
      <w:r>
        <w:rPr>
          <w:lang w:val="en-US"/>
        </w:rPr>
        <w:t xml:space="preserve">: </w:t>
      </w:r>
      <w:r>
        <w:rPr>
          <w:lang w:val="en-US"/>
        </w:rPr>
        <w:t xml:space="preserve">Excellence Challenge on pre-16 outcomes: an economic evaluation. Retrieved from </w:t>
      </w:r>
      <w:hyperlink r:id="rId7" w:history="1">
        <w:r>
          <w:rPr>
            <w:rStyle w:val="Hyperlink0"/>
            <w:lang w:val="en-US"/>
          </w:rPr>
          <w:t>http://dera.ioe.ac.uk/5692/1/RR652.pdf</w:t>
        </w:r>
      </w:hyperlink>
    </w:p>
    <w:p w:rsidR="00B555E2" w:rsidRDefault="00E262A5" w:rsidP="00E54870">
      <w:pPr>
        <w:pStyle w:val="Body"/>
        <w:jc w:val="both"/>
      </w:pPr>
      <w:r>
        <w:rPr>
          <w:lang w:val="en-US"/>
        </w:rPr>
        <w:t xml:space="preserve">David, M., </w:t>
      </w:r>
      <w:proofErr w:type="spellStart"/>
      <w:r>
        <w:rPr>
          <w:lang w:val="en-US"/>
        </w:rPr>
        <w:t>Bathmaker</w:t>
      </w:r>
      <w:proofErr w:type="spellEnd"/>
      <w:r>
        <w:rPr>
          <w:lang w:val="en-US"/>
        </w:rPr>
        <w:t xml:space="preserve">, A.M., Crozier, G., Davis, P., </w:t>
      </w:r>
      <w:proofErr w:type="spellStart"/>
      <w:r>
        <w:rPr>
          <w:lang w:val="en-US"/>
        </w:rPr>
        <w:t>Ertl</w:t>
      </w:r>
      <w:proofErr w:type="spellEnd"/>
      <w:r>
        <w:rPr>
          <w:lang w:val="en-US"/>
        </w:rPr>
        <w:t>, H., Fuller, A., Hayward,</w:t>
      </w:r>
      <w:r>
        <w:rPr>
          <w:lang w:val="en-US"/>
        </w:rPr>
        <w:t xml:space="preserve"> G., Heath, S., Hockings, C., Parry, G. and Reay, D. eds., 2009. Improving learning by widening participation in </w:t>
      </w:r>
      <w:proofErr w:type="gramStart"/>
      <w:r>
        <w:rPr>
          <w:lang w:val="en-US"/>
        </w:rPr>
        <w:t>higher</w:t>
      </w:r>
      <w:proofErr w:type="gramEnd"/>
      <w:r>
        <w:rPr>
          <w:lang w:val="en-US"/>
        </w:rPr>
        <w:t xml:space="preserve"> education. Routledge.</w:t>
      </w:r>
      <w:r>
        <w:rPr>
          <w:lang w:val="en-US"/>
        </w:rPr>
        <w:tab/>
      </w:r>
    </w:p>
    <w:p w:rsidR="00B555E2" w:rsidRDefault="00E262A5" w:rsidP="00E54870">
      <w:pPr>
        <w:pStyle w:val="Body"/>
        <w:jc w:val="both"/>
      </w:pPr>
      <w:r>
        <w:rPr>
          <w:lang w:val="en-US"/>
        </w:rPr>
        <w:t xml:space="preserve">Gayle, V., </w:t>
      </w:r>
      <w:proofErr w:type="spellStart"/>
      <w:r>
        <w:rPr>
          <w:lang w:val="en-US"/>
        </w:rPr>
        <w:t>Berridge</w:t>
      </w:r>
      <w:proofErr w:type="spellEnd"/>
      <w:r>
        <w:rPr>
          <w:lang w:val="en-US"/>
        </w:rPr>
        <w:t>, D. and Davies, R., 2002. Young people's entry into higher education: quantifying influential</w:t>
      </w:r>
      <w:r>
        <w:rPr>
          <w:lang w:val="en-US"/>
        </w:rPr>
        <w:t xml:space="preserve"> factors. Oxford review of education, 28(1), pp.5-20.</w:t>
      </w:r>
    </w:p>
    <w:p w:rsidR="00B555E2" w:rsidRDefault="00E262A5" w:rsidP="00E54870">
      <w:pPr>
        <w:pStyle w:val="Body"/>
        <w:jc w:val="both"/>
      </w:pPr>
      <w:proofErr w:type="spellStart"/>
      <w:r>
        <w:rPr>
          <w:lang w:val="en-US"/>
        </w:rPr>
        <w:t>Gorard</w:t>
      </w:r>
      <w:proofErr w:type="spellEnd"/>
      <w:r>
        <w:rPr>
          <w:lang w:val="en-US"/>
        </w:rPr>
        <w:t xml:space="preserve">, S., See, B. H., &amp; Davies, P. (2012). The impact of attitudes and aspirations on educational attainment and participation. </w:t>
      </w:r>
      <w:r>
        <w:rPr>
          <w:i/>
          <w:iCs/>
          <w:lang w:val="en-US"/>
        </w:rPr>
        <w:t xml:space="preserve">York: Joseph Rowntree Foundation. </w:t>
      </w:r>
      <w:r>
        <w:rPr>
          <w:lang w:val="en-US"/>
        </w:rPr>
        <w:t xml:space="preserve">Retrieved from </w:t>
      </w:r>
      <w:hyperlink r:id="rId8" w:history="1">
        <w:r>
          <w:rPr>
            <w:rStyle w:val="Hyperlink0"/>
            <w:lang w:val="en-US"/>
          </w:rPr>
          <w:t>http://learning.wales.gov.uk/docs/learningwales/publications/120817impactofattitudesen.pdf</w:t>
        </w:r>
      </w:hyperlink>
    </w:p>
    <w:p w:rsidR="00B555E2" w:rsidRDefault="00E262A5" w:rsidP="00E54870">
      <w:pPr>
        <w:pStyle w:val="Body"/>
        <w:jc w:val="both"/>
      </w:pPr>
      <w:r>
        <w:rPr>
          <w:lang w:val="en-US"/>
        </w:rPr>
        <w:t>Hoare, T., &amp; Mann, R. (2011). The Impact of the Sutton Trust</w:t>
      </w:r>
      <w:r>
        <w:rPr>
          <w:rFonts w:ascii="Arial Unicode MS"/>
          <w:lang w:val="en-US"/>
        </w:rPr>
        <w:t>’</w:t>
      </w:r>
      <w:r>
        <w:rPr>
          <w:lang w:val="en-US"/>
        </w:rPr>
        <w:t xml:space="preserve">s Summer Schools on </w:t>
      </w:r>
      <w:r>
        <w:rPr>
          <w:lang w:val="en-US"/>
        </w:rPr>
        <w:t>Subsequent Higher Education Participation: A Report to the Sutton Trust. Retrieved from http://www.suttontrust.com/public/documents/4full-summer-school-report-final-draft.pdf</w:t>
      </w:r>
    </w:p>
    <w:p w:rsidR="00B555E2" w:rsidRDefault="00E262A5" w:rsidP="00E54870">
      <w:pPr>
        <w:pStyle w:val="Body"/>
        <w:jc w:val="both"/>
      </w:pPr>
      <w:proofErr w:type="spellStart"/>
      <w:r>
        <w:rPr>
          <w:lang w:val="en-US"/>
        </w:rPr>
        <w:t>McGuigan</w:t>
      </w:r>
      <w:proofErr w:type="spellEnd"/>
      <w:r>
        <w:rPr>
          <w:lang w:val="en-US"/>
        </w:rPr>
        <w:t xml:space="preserve">, M., McNally, S. and </w:t>
      </w:r>
      <w:proofErr w:type="spellStart"/>
      <w:r>
        <w:rPr>
          <w:lang w:val="en-US"/>
        </w:rPr>
        <w:t>Wyness</w:t>
      </w:r>
      <w:proofErr w:type="spellEnd"/>
      <w:r>
        <w:rPr>
          <w:lang w:val="en-US"/>
        </w:rPr>
        <w:t>, G., 2012. Student Awareness of Costs and Be</w:t>
      </w:r>
      <w:r>
        <w:rPr>
          <w:lang w:val="en-US"/>
        </w:rPr>
        <w:t>nefits of Educational Decisions: Effects of an Information Campaign. CEE DP 139. Centre for the Economics of Education.</w:t>
      </w:r>
    </w:p>
    <w:p w:rsidR="00B555E2" w:rsidRDefault="00E262A5" w:rsidP="00E54870">
      <w:pPr>
        <w:pStyle w:val="Body"/>
        <w:jc w:val="both"/>
      </w:pPr>
      <w:r>
        <w:rPr>
          <w:lang w:val="en-US"/>
        </w:rPr>
        <w:t xml:space="preserve">Moore, J., Sanders, J., &amp; </w:t>
      </w:r>
      <w:proofErr w:type="spellStart"/>
      <w:r>
        <w:rPr>
          <w:lang w:val="en-US"/>
        </w:rPr>
        <w:t>Higham</w:t>
      </w:r>
      <w:proofErr w:type="spellEnd"/>
      <w:r>
        <w:rPr>
          <w:lang w:val="en-US"/>
        </w:rPr>
        <w:t>, L. (2013). Literature review of research into widening participation to higher education. Retrieved fr</w:t>
      </w:r>
      <w:r>
        <w:rPr>
          <w:lang w:val="en-US"/>
        </w:rPr>
        <w:t xml:space="preserve">om </w:t>
      </w:r>
      <w:hyperlink r:id="rId9" w:history="1">
        <w:r>
          <w:rPr>
            <w:rStyle w:val="Hyperlink0"/>
            <w:lang w:val="en-US"/>
          </w:rPr>
          <w:t>http://www.offa.org.uk/wp-content/uploads/2013/08/Literature-review-of-research-into-WP-to-HE.pdf</w:t>
        </w:r>
      </w:hyperlink>
    </w:p>
    <w:p w:rsidR="00B555E2" w:rsidRDefault="00E262A5" w:rsidP="00E54870">
      <w:pPr>
        <w:pStyle w:val="Body"/>
        <w:jc w:val="both"/>
      </w:pPr>
      <w:r>
        <w:rPr>
          <w:lang w:val="en-US"/>
        </w:rPr>
        <w:t xml:space="preserve">Slack, K., </w:t>
      </w:r>
      <w:proofErr w:type="spellStart"/>
      <w:r>
        <w:rPr>
          <w:lang w:val="en-US"/>
        </w:rPr>
        <w:t>Mangan</w:t>
      </w:r>
      <w:proofErr w:type="spellEnd"/>
      <w:r>
        <w:rPr>
          <w:lang w:val="en-US"/>
        </w:rPr>
        <w:t>, J., Hughes, A., &amp; Davi</w:t>
      </w:r>
      <w:r>
        <w:rPr>
          <w:lang w:val="en-US"/>
        </w:rPr>
        <w:t xml:space="preserve">es, P. (2012). </w:t>
      </w:r>
      <w:r>
        <w:rPr>
          <w:rFonts w:ascii="Arial Unicode MS"/>
          <w:lang w:val="en-US"/>
        </w:rPr>
        <w:t>“</w:t>
      </w:r>
      <w:r>
        <w:t>Hot</w:t>
      </w:r>
      <w:r>
        <w:rPr>
          <w:rFonts w:ascii="Arial Unicode MS"/>
          <w:lang w:val="en-US"/>
        </w:rPr>
        <w:t>”</w:t>
      </w:r>
      <w:proofErr w:type="gramStart"/>
      <w:r>
        <w:t>,</w:t>
      </w:r>
      <w:r>
        <w:rPr>
          <w:rFonts w:ascii="Arial Unicode MS"/>
          <w:lang w:val="en-US"/>
        </w:rPr>
        <w:t>“</w:t>
      </w:r>
      <w:proofErr w:type="gramEnd"/>
      <w:r>
        <w:t>cold</w:t>
      </w:r>
      <w:r>
        <w:rPr>
          <w:rFonts w:ascii="Arial Unicode MS"/>
          <w:lang w:val="en-US"/>
        </w:rPr>
        <w:t>”</w:t>
      </w:r>
      <w:r>
        <w:rPr>
          <w:lang w:val="en-US"/>
        </w:rPr>
        <w:t xml:space="preserve">and </w:t>
      </w:r>
      <w:r>
        <w:rPr>
          <w:rFonts w:ascii="Arial Unicode MS"/>
          <w:lang w:val="en-US"/>
        </w:rPr>
        <w:t>“</w:t>
      </w:r>
      <w:r>
        <w:t>warm</w:t>
      </w:r>
      <w:r>
        <w:rPr>
          <w:rFonts w:ascii="Arial Unicode MS"/>
          <w:lang w:val="en-US"/>
        </w:rPr>
        <w:t>”</w:t>
      </w:r>
      <w:r>
        <w:rPr>
          <w:lang w:val="en-US"/>
        </w:rPr>
        <w:t xml:space="preserve">information and higher education decision-making. </w:t>
      </w:r>
      <w:r>
        <w:rPr>
          <w:i/>
          <w:iCs/>
          <w:lang w:val="en-US"/>
        </w:rPr>
        <w:t>British Journal of Sociology of Education</w:t>
      </w:r>
      <w:r>
        <w:rPr>
          <w:lang w:val="en-US"/>
        </w:rPr>
        <w:t>, (ahead-of-print), 1</w:t>
      </w:r>
      <w:r>
        <w:rPr>
          <w:rFonts w:ascii="Arial Unicode MS"/>
          <w:lang w:val="en-US"/>
        </w:rPr>
        <w:t>–</w:t>
      </w:r>
      <w:r>
        <w:t>20.</w:t>
      </w:r>
    </w:p>
    <w:p w:rsidR="00B555E2" w:rsidRDefault="00E262A5" w:rsidP="00E54870">
      <w:pPr>
        <w:pStyle w:val="Body"/>
        <w:jc w:val="both"/>
      </w:pPr>
      <w:r>
        <w:t xml:space="preserve">UCAS (2013) </w:t>
      </w:r>
      <w:r>
        <w:rPr>
          <w:i/>
          <w:iCs/>
          <w:lang w:val="en-US"/>
        </w:rPr>
        <w:t>2013 Application Cycle: End of Cycle Report</w:t>
      </w:r>
      <w:r>
        <w:rPr>
          <w:lang w:val="en-US"/>
        </w:rPr>
        <w:t>, Cheltenham: UCAS, Table 5a, and Higher Educat</w:t>
      </w:r>
      <w:r>
        <w:rPr>
          <w:lang w:val="en-US"/>
        </w:rPr>
        <w:t>ion Statistics Agency website.</w:t>
      </w:r>
    </w:p>
    <w:p w:rsidR="00B555E2" w:rsidRDefault="00B555E2" w:rsidP="00E54870">
      <w:pPr>
        <w:pStyle w:val="Body"/>
        <w:jc w:val="both"/>
      </w:pPr>
    </w:p>
    <w:sectPr w:rsidR="00B555E2">
      <w:headerReference w:type="default" r:id="rId10"/>
      <w:footerReference w:type="default" r:id="rId11"/>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62A5" w:rsidRDefault="00E262A5">
      <w:r>
        <w:separator/>
      </w:r>
    </w:p>
  </w:endnote>
  <w:endnote w:type="continuationSeparator" w:id="0">
    <w:p w:rsidR="00E262A5" w:rsidRDefault="00E262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55E2" w:rsidRDefault="00B555E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62A5" w:rsidRDefault="00E262A5">
      <w:r>
        <w:separator/>
      </w:r>
    </w:p>
  </w:footnote>
  <w:footnote w:type="continuationSeparator" w:id="0">
    <w:p w:rsidR="00E262A5" w:rsidRDefault="00E262A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55E2" w:rsidRDefault="00B555E2"/>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26"/>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55E2"/>
    <w:rsid w:val="00B555E2"/>
    <w:rsid w:val="00E262A5"/>
    <w:rsid w:val="00E548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6F54C5-A057-464A-9BDD-1200AA7F2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w:hAnsi="Arial Unicode MS" w:cs="Arial Unicode MS"/>
      <w:color w:val="000000"/>
      <w:sz w:val="22"/>
      <w:szCs w:val="22"/>
    </w:rPr>
  </w:style>
  <w:style w:type="character" w:customStyle="1" w:styleId="Hyperlink0">
    <w:name w:val="Hyperlink.0"/>
    <w:basedOn w:val="Hyperlink"/>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learning.wales.gov.uk/docs/learningwales/publications/120817impactofattitudesen.pdf"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dera.ioe.ac.uk/5692/1/RR652.pdf"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hear.ac.uk/assets/documents/aim_higher/CEP_Report_Nottinghamshire_Final_PDF.pdf"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www.offa.org.uk/wp-content/uploads/2013/08/Literature-review-of-research-into-WP-to-HE.pdf"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1290</Words>
  <Characters>7353</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Siobhan Dytham</dc:creator>
  <cp:lastModifiedBy>Siobhan Dytham</cp:lastModifiedBy>
  <cp:revision>2</cp:revision>
  <dcterms:created xsi:type="dcterms:W3CDTF">2016-03-19T11:08:00Z</dcterms:created>
  <dcterms:modified xsi:type="dcterms:W3CDTF">2016-03-19T11:08:00Z</dcterms:modified>
</cp:coreProperties>
</file>