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65C24" w14:textId="7E14C50D" w:rsidR="002712C2" w:rsidRPr="002712C2" w:rsidRDefault="002712C2" w:rsidP="002712C2">
      <w:pPr>
        <w:rPr>
          <w:rFonts w:ascii="Calibri" w:hAnsi="Calibri" w:cs="Calibri"/>
          <w:b/>
          <w:bCs/>
          <w:sz w:val="36"/>
          <w:szCs w:val="36"/>
        </w:rPr>
      </w:pPr>
      <w:r w:rsidRPr="002712C2">
        <w:rPr>
          <w:rFonts w:ascii="Calibri" w:hAnsi="Calibri" w:cs="Calibri"/>
          <w:b/>
          <w:bCs/>
          <w:sz w:val="36"/>
          <w:szCs w:val="36"/>
          <w:lang w:eastAsia="en-GB"/>
        </w:rPr>
        <w:t>Andragogy – Adult Learning Theory (Knowles</w:t>
      </w:r>
      <w:r w:rsidR="00B7529B">
        <w:rPr>
          <w:rFonts w:ascii="Calibri" w:hAnsi="Calibri" w:cs="Calibri"/>
          <w:b/>
          <w:bCs/>
          <w:sz w:val="36"/>
          <w:szCs w:val="36"/>
          <w:lang w:eastAsia="en-GB"/>
        </w:rPr>
        <w:t>,</w:t>
      </w:r>
      <w:r w:rsidRPr="002712C2">
        <w:rPr>
          <w:rFonts w:ascii="Calibri" w:hAnsi="Calibri" w:cs="Calibri"/>
          <w:b/>
          <w:bCs/>
          <w:sz w:val="36"/>
          <w:szCs w:val="36"/>
        </w:rPr>
        <w:t xml:space="preserve"> 1984</w:t>
      </w:r>
      <w:r w:rsidR="00B7529B">
        <w:rPr>
          <w:rFonts w:ascii="Calibri" w:hAnsi="Calibri" w:cs="Calibri"/>
          <w:b/>
          <w:bCs/>
          <w:sz w:val="36"/>
          <w:szCs w:val="36"/>
        </w:rPr>
        <w:t>)</w:t>
      </w:r>
    </w:p>
    <w:p w14:paraId="444316E9" w14:textId="77777777" w:rsidR="002712C2" w:rsidRPr="002712C2" w:rsidRDefault="002712C2" w:rsidP="002712C2">
      <w:pPr>
        <w:rPr>
          <w:rFonts w:ascii="Calibri" w:hAnsi="Calibri" w:cs="Calibri"/>
        </w:rPr>
      </w:pPr>
    </w:p>
    <w:p w14:paraId="0F4BBC97" w14:textId="7D0C1699" w:rsidR="002712C2" w:rsidRPr="002712C2" w:rsidRDefault="002712C2" w:rsidP="002712C2">
      <w:pPr>
        <w:rPr>
          <w:rFonts w:ascii="Calibri" w:hAnsi="Calibri" w:cs="Calibri"/>
        </w:rPr>
      </w:pPr>
      <w:r w:rsidRPr="002712C2">
        <w:rPr>
          <w:rFonts w:ascii="Calibri" w:hAnsi="Calibri" w:cs="Calibri"/>
          <w:lang w:eastAsia="en-GB"/>
        </w:rPr>
        <w:t>Andragogy refers to a theory of adult learning that details some of the ways in which adults learn differently than children. For example, adults tend to be more self-directed, internally motivated, and ready to learn. Teachers can draw on concepts of andragogy to increase the effectiveness of their adult education classes.</w:t>
      </w:r>
    </w:p>
    <w:p w14:paraId="611F8D97" w14:textId="77777777" w:rsidR="002712C2" w:rsidRPr="002712C2" w:rsidRDefault="002712C2" w:rsidP="002712C2">
      <w:pPr>
        <w:rPr>
          <w:rFonts w:ascii="Calibri" w:hAnsi="Calibri" w:cs="Calibri"/>
          <w:lang w:eastAsia="en-GB"/>
        </w:rPr>
      </w:pPr>
    </w:p>
    <w:p w14:paraId="61D7D3E5" w14:textId="2DFC9897" w:rsidR="002712C2" w:rsidRDefault="002712C2" w:rsidP="002712C2">
      <w:pPr>
        <w:rPr>
          <w:rFonts w:ascii="Calibri" w:hAnsi="Calibri" w:cs="Calibri"/>
          <w:lang w:eastAsia="en-GB"/>
        </w:rPr>
      </w:pPr>
      <w:r w:rsidRPr="002712C2">
        <w:rPr>
          <w:rFonts w:ascii="Calibri" w:hAnsi="Calibri" w:cs="Calibri"/>
          <w:lang w:eastAsia="en-GB"/>
        </w:rPr>
        <w:t xml:space="preserve">Andragogy, also known as adult learning theory, was </w:t>
      </w:r>
      <w:r>
        <w:rPr>
          <w:rFonts w:ascii="Calibri" w:hAnsi="Calibri" w:cs="Calibri"/>
          <w:lang w:eastAsia="en-GB"/>
        </w:rPr>
        <w:t xml:space="preserve">first </w:t>
      </w:r>
      <w:r w:rsidRPr="002712C2">
        <w:rPr>
          <w:rFonts w:ascii="Calibri" w:hAnsi="Calibri" w:cs="Calibri"/>
          <w:lang w:eastAsia="en-GB"/>
        </w:rPr>
        <w:t>proposed by Malcom Shepard Knowles in 1968.</w:t>
      </w:r>
      <w:r w:rsidRPr="002712C2">
        <w:rPr>
          <w:rFonts w:ascii="Calibri" w:hAnsi="Calibri" w:cs="Calibri"/>
          <w:lang w:eastAsia="en-GB"/>
        </w:rPr>
        <w:t xml:space="preserve"> </w:t>
      </w:r>
      <w:r w:rsidRPr="002712C2">
        <w:rPr>
          <w:rFonts w:ascii="Calibri" w:hAnsi="Calibri" w:cs="Calibri"/>
          <w:lang w:eastAsia="en-GB"/>
        </w:rPr>
        <w:t>Previously, much research and attention had been given to the concept of pedagogy – teaching children. Knowles recognized that there are many differences in the ways that adults learn as opposed to children. His thoughts surrounding andragogy sought to capitalize on the unique learning styles and strengths of adult learners.</w:t>
      </w:r>
    </w:p>
    <w:p w14:paraId="391CDA92" w14:textId="77777777" w:rsidR="002712C2" w:rsidRPr="002712C2" w:rsidRDefault="002712C2" w:rsidP="002712C2">
      <w:pPr>
        <w:rPr>
          <w:rFonts w:ascii="Calibri" w:hAnsi="Calibri" w:cs="Calibri"/>
          <w:b/>
          <w:bCs/>
          <w:lang w:eastAsia="en-GB"/>
        </w:rPr>
      </w:pPr>
    </w:p>
    <w:p w14:paraId="2FE8E5F6" w14:textId="77777777" w:rsidR="002712C2" w:rsidRDefault="002712C2" w:rsidP="002712C2">
      <w:pPr>
        <w:rPr>
          <w:rFonts w:ascii="Calibri" w:hAnsi="Calibri" w:cs="Calibri"/>
          <w:b/>
          <w:bCs/>
          <w:lang w:eastAsia="en-GB"/>
        </w:rPr>
      </w:pPr>
      <w:r w:rsidRPr="002712C2">
        <w:rPr>
          <w:rFonts w:ascii="Calibri" w:hAnsi="Calibri" w:cs="Calibri"/>
          <w:b/>
          <w:bCs/>
          <w:lang w:eastAsia="en-GB"/>
        </w:rPr>
        <w:t>Knowles’ Five Assumptions of Adult Learners</w:t>
      </w:r>
    </w:p>
    <w:p w14:paraId="2AA745DA" w14:textId="77777777" w:rsidR="002712C2" w:rsidRPr="002712C2" w:rsidRDefault="002712C2" w:rsidP="002712C2">
      <w:pPr>
        <w:rPr>
          <w:rFonts w:ascii="Calibri" w:hAnsi="Calibri" w:cs="Calibri"/>
          <w:b/>
          <w:bCs/>
          <w:lang w:eastAsia="en-GB"/>
        </w:rPr>
      </w:pPr>
    </w:p>
    <w:p w14:paraId="14CAEC2E" w14:textId="77777777" w:rsidR="002712C2" w:rsidRDefault="002712C2" w:rsidP="002712C2">
      <w:pPr>
        <w:rPr>
          <w:rFonts w:ascii="Calibri" w:hAnsi="Calibri" w:cs="Calibri"/>
          <w:lang w:eastAsia="en-GB"/>
        </w:rPr>
      </w:pPr>
      <w:r w:rsidRPr="002712C2">
        <w:rPr>
          <w:rFonts w:ascii="Calibri" w:hAnsi="Calibri" w:cs="Calibri"/>
          <w:lang w:eastAsia="en-GB"/>
        </w:rPr>
        <w:t>Knowles theory of andragogy identified five assumptions that teachers should make about adult learners.</w:t>
      </w:r>
    </w:p>
    <w:p w14:paraId="302EC4E1" w14:textId="77777777" w:rsidR="002712C2" w:rsidRPr="002712C2" w:rsidRDefault="002712C2" w:rsidP="002712C2">
      <w:pPr>
        <w:rPr>
          <w:rFonts w:ascii="Calibri" w:hAnsi="Calibri" w:cs="Calibri"/>
          <w:lang w:eastAsia="en-GB"/>
        </w:rPr>
      </w:pPr>
    </w:p>
    <w:p w14:paraId="47D36412" w14:textId="77777777" w:rsidR="002712C2" w:rsidRPr="002712C2" w:rsidRDefault="002712C2" w:rsidP="002712C2">
      <w:pPr>
        <w:rPr>
          <w:rFonts w:ascii="Calibri" w:hAnsi="Calibri" w:cs="Calibri"/>
          <w:lang w:eastAsia="en-GB"/>
        </w:rPr>
      </w:pPr>
      <w:r w:rsidRPr="002712C2">
        <w:rPr>
          <w:rFonts w:ascii="Calibri" w:hAnsi="Calibri" w:cs="Calibri"/>
          <w:b/>
          <w:bCs/>
          <w:lang w:eastAsia="en-GB"/>
        </w:rPr>
        <w:t>Self-Concept –</w:t>
      </w:r>
      <w:r w:rsidRPr="002712C2">
        <w:rPr>
          <w:rFonts w:ascii="Calibri" w:hAnsi="Calibri" w:cs="Calibri"/>
          <w:lang w:eastAsia="en-GB"/>
        </w:rPr>
        <w:t> Because adults are at a mature developmental stage, they have a more secure self-concept than children. This allows them to take part in directing their own learning.</w:t>
      </w:r>
    </w:p>
    <w:p w14:paraId="13B2EBB2" w14:textId="77777777" w:rsidR="002712C2" w:rsidRPr="002712C2" w:rsidRDefault="002712C2" w:rsidP="002712C2">
      <w:pPr>
        <w:rPr>
          <w:rFonts w:ascii="Calibri" w:hAnsi="Calibri" w:cs="Calibri"/>
          <w:lang w:eastAsia="en-GB"/>
        </w:rPr>
      </w:pPr>
      <w:r w:rsidRPr="002712C2">
        <w:rPr>
          <w:rFonts w:ascii="Calibri" w:hAnsi="Calibri" w:cs="Calibri"/>
          <w:b/>
          <w:bCs/>
          <w:lang w:eastAsia="en-GB"/>
        </w:rPr>
        <w:t>Past Learning Experience –</w:t>
      </w:r>
      <w:r w:rsidRPr="002712C2">
        <w:rPr>
          <w:rFonts w:ascii="Calibri" w:hAnsi="Calibri" w:cs="Calibri"/>
          <w:lang w:eastAsia="en-GB"/>
        </w:rPr>
        <w:t> Adults have a vast array of experiences to draw on as they learn, as opposed to children who are in the process of gaining new experiences.</w:t>
      </w:r>
    </w:p>
    <w:p w14:paraId="5208C762" w14:textId="77777777" w:rsidR="002712C2" w:rsidRPr="002712C2" w:rsidRDefault="002712C2" w:rsidP="002712C2">
      <w:pPr>
        <w:rPr>
          <w:rFonts w:ascii="Calibri" w:hAnsi="Calibri" w:cs="Calibri"/>
          <w:lang w:eastAsia="en-GB"/>
        </w:rPr>
      </w:pPr>
      <w:r w:rsidRPr="002712C2">
        <w:rPr>
          <w:rFonts w:ascii="Calibri" w:hAnsi="Calibri" w:cs="Calibri"/>
          <w:b/>
          <w:bCs/>
          <w:lang w:eastAsia="en-GB"/>
        </w:rPr>
        <w:t>Readiness to Learn –</w:t>
      </w:r>
      <w:r w:rsidRPr="002712C2">
        <w:rPr>
          <w:rFonts w:ascii="Calibri" w:hAnsi="Calibri" w:cs="Calibri"/>
          <w:lang w:eastAsia="en-GB"/>
        </w:rPr>
        <w:t> Many adults have reached a point in which they see the value of education and are ready to be serious about and focused on learning.</w:t>
      </w:r>
    </w:p>
    <w:p w14:paraId="35D5CB86" w14:textId="77777777" w:rsidR="002712C2" w:rsidRPr="002712C2" w:rsidRDefault="002712C2" w:rsidP="002712C2">
      <w:pPr>
        <w:rPr>
          <w:rFonts w:ascii="Calibri" w:hAnsi="Calibri" w:cs="Calibri"/>
          <w:lang w:eastAsia="en-GB"/>
        </w:rPr>
      </w:pPr>
      <w:r w:rsidRPr="002712C2">
        <w:rPr>
          <w:rFonts w:ascii="Calibri" w:hAnsi="Calibri" w:cs="Calibri"/>
          <w:b/>
          <w:bCs/>
          <w:lang w:eastAsia="en-GB"/>
        </w:rPr>
        <w:t>Practical Reasons to Learn</w:t>
      </w:r>
      <w:r w:rsidRPr="002712C2">
        <w:rPr>
          <w:rFonts w:ascii="Calibri" w:hAnsi="Calibri" w:cs="Calibri"/>
          <w:lang w:eastAsia="en-GB"/>
        </w:rPr>
        <w:t xml:space="preserve"> – Adults are looking for practical, problem-</w:t>
      </w:r>
      <w:proofErr w:type="spellStart"/>
      <w:r w:rsidRPr="002712C2">
        <w:rPr>
          <w:rFonts w:ascii="Calibri" w:hAnsi="Calibri" w:cs="Calibri"/>
          <w:lang w:eastAsia="en-GB"/>
        </w:rPr>
        <w:t>centered</w:t>
      </w:r>
      <w:proofErr w:type="spellEnd"/>
      <w:r w:rsidRPr="002712C2">
        <w:rPr>
          <w:rFonts w:ascii="Calibri" w:hAnsi="Calibri" w:cs="Calibri"/>
          <w:lang w:eastAsia="en-GB"/>
        </w:rPr>
        <w:t xml:space="preserve"> approaches to learning. Many adults return to continuing education for specific practical reasons, such as entering a new field.</w:t>
      </w:r>
    </w:p>
    <w:p w14:paraId="65EDB41C" w14:textId="77777777" w:rsidR="002712C2" w:rsidRDefault="002712C2" w:rsidP="002712C2">
      <w:pPr>
        <w:rPr>
          <w:rFonts w:ascii="Calibri" w:hAnsi="Calibri" w:cs="Calibri"/>
          <w:lang w:eastAsia="en-GB"/>
        </w:rPr>
      </w:pPr>
      <w:r w:rsidRPr="002712C2">
        <w:rPr>
          <w:rFonts w:ascii="Calibri" w:hAnsi="Calibri" w:cs="Calibri"/>
          <w:b/>
          <w:bCs/>
          <w:lang w:eastAsia="en-GB"/>
        </w:rPr>
        <w:t>Driven by Internal Motivation – </w:t>
      </w:r>
      <w:r w:rsidRPr="002712C2">
        <w:rPr>
          <w:rFonts w:ascii="Calibri" w:hAnsi="Calibri" w:cs="Calibri"/>
          <w:lang w:eastAsia="en-GB"/>
        </w:rPr>
        <w:t>While many children are driven by external motivators – such as punishment if they get bad grades or rewards if they get good grades – adults are more internally motivated.</w:t>
      </w:r>
    </w:p>
    <w:p w14:paraId="775F45B7" w14:textId="77777777" w:rsidR="002712C2" w:rsidRPr="002712C2" w:rsidRDefault="002712C2" w:rsidP="002712C2">
      <w:pPr>
        <w:rPr>
          <w:rFonts w:ascii="Calibri" w:hAnsi="Calibri" w:cs="Calibri"/>
          <w:lang w:eastAsia="en-GB"/>
        </w:rPr>
      </w:pPr>
    </w:p>
    <w:p w14:paraId="6B238D9B" w14:textId="77777777" w:rsidR="002712C2" w:rsidRPr="002712C2" w:rsidRDefault="002712C2" w:rsidP="002712C2">
      <w:pPr>
        <w:rPr>
          <w:rFonts w:ascii="Calibri" w:hAnsi="Calibri" w:cs="Calibri"/>
          <w:b/>
          <w:bCs/>
          <w:lang w:eastAsia="en-GB"/>
        </w:rPr>
      </w:pPr>
      <w:r w:rsidRPr="002712C2">
        <w:rPr>
          <w:rFonts w:ascii="Calibri" w:hAnsi="Calibri" w:cs="Calibri"/>
          <w:b/>
          <w:bCs/>
          <w:lang w:eastAsia="en-GB"/>
        </w:rPr>
        <w:t>Four Principles of Andragogy</w:t>
      </w:r>
    </w:p>
    <w:p w14:paraId="4DFC61AD" w14:textId="77777777" w:rsidR="002712C2" w:rsidRDefault="002712C2" w:rsidP="002712C2">
      <w:pPr>
        <w:rPr>
          <w:rFonts w:ascii="Calibri" w:hAnsi="Calibri" w:cs="Calibri"/>
          <w:lang w:eastAsia="en-GB"/>
        </w:rPr>
      </w:pPr>
      <w:r w:rsidRPr="002712C2">
        <w:rPr>
          <w:rFonts w:ascii="Calibri" w:hAnsi="Calibri" w:cs="Calibri"/>
          <w:lang w:eastAsia="en-GB"/>
        </w:rPr>
        <w:t>Based on these assumptions about adult learners, Knowles discussed four principles that educators should consider when teaching adults.</w:t>
      </w:r>
    </w:p>
    <w:p w14:paraId="0506A408" w14:textId="77777777" w:rsidR="002712C2" w:rsidRPr="002712C2" w:rsidRDefault="002712C2" w:rsidP="002712C2">
      <w:pPr>
        <w:rPr>
          <w:rFonts w:ascii="Calibri" w:hAnsi="Calibri" w:cs="Calibri"/>
          <w:lang w:eastAsia="en-GB"/>
        </w:rPr>
      </w:pPr>
    </w:p>
    <w:p w14:paraId="663C191D" w14:textId="77777777" w:rsidR="002712C2" w:rsidRPr="002712C2" w:rsidRDefault="002712C2" w:rsidP="002712C2">
      <w:pPr>
        <w:pStyle w:val="ListParagraph"/>
        <w:numPr>
          <w:ilvl w:val="0"/>
          <w:numId w:val="4"/>
        </w:numPr>
        <w:rPr>
          <w:rFonts w:ascii="Calibri" w:hAnsi="Calibri" w:cs="Calibri"/>
          <w:lang w:eastAsia="en-GB"/>
        </w:rPr>
      </w:pPr>
      <w:r w:rsidRPr="002712C2">
        <w:rPr>
          <w:rFonts w:ascii="Calibri" w:hAnsi="Calibri" w:cs="Calibri"/>
          <w:lang w:eastAsia="en-GB"/>
        </w:rPr>
        <w:t>Since adults are self-directed, they should have a say in the content and process of their learning.</w:t>
      </w:r>
    </w:p>
    <w:p w14:paraId="2A9C63A0" w14:textId="77777777" w:rsidR="002712C2" w:rsidRPr="002712C2" w:rsidRDefault="002712C2" w:rsidP="002712C2">
      <w:pPr>
        <w:pStyle w:val="ListParagraph"/>
        <w:numPr>
          <w:ilvl w:val="0"/>
          <w:numId w:val="4"/>
        </w:numPr>
        <w:rPr>
          <w:rFonts w:ascii="Calibri" w:hAnsi="Calibri" w:cs="Calibri"/>
          <w:lang w:eastAsia="en-GB"/>
        </w:rPr>
      </w:pPr>
      <w:r w:rsidRPr="002712C2">
        <w:rPr>
          <w:rFonts w:ascii="Calibri" w:hAnsi="Calibri" w:cs="Calibri"/>
          <w:lang w:eastAsia="en-GB"/>
        </w:rPr>
        <w:t>Because adults have so much experience to draw from, their learning should focus on adding to what they have already learned in the past.</w:t>
      </w:r>
    </w:p>
    <w:p w14:paraId="4CA6AECA" w14:textId="77777777" w:rsidR="002712C2" w:rsidRPr="002712C2" w:rsidRDefault="002712C2" w:rsidP="002712C2">
      <w:pPr>
        <w:pStyle w:val="ListParagraph"/>
        <w:numPr>
          <w:ilvl w:val="0"/>
          <w:numId w:val="4"/>
        </w:numPr>
        <w:rPr>
          <w:rFonts w:ascii="Calibri" w:hAnsi="Calibri" w:cs="Calibri"/>
          <w:lang w:eastAsia="en-GB"/>
        </w:rPr>
      </w:pPr>
      <w:r w:rsidRPr="002712C2">
        <w:rPr>
          <w:rFonts w:ascii="Calibri" w:hAnsi="Calibri" w:cs="Calibri"/>
          <w:lang w:eastAsia="en-GB"/>
        </w:rPr>
        <w:t>Since adults are looking for practical learning, content should focus on issues related to their work or personal life.</w:t>
      </w:r>
    </w:p>
    <w:p w14:paraId="318C6808" w14:textId="77777777" w:rsidR="002712C2" w:rsidRPr="002712C2" w:rsidRDefault="002712C2" w:rsidP="002712C2">
      <w:pPr>
        <w:pStyle w:val="ListParagraph"/>
        <w:numPr>
          <w:ilvl w:val="0"/>
          <w:numId w:val="4"/>
        </w:numPr>
        <w:rPr>
          <w:rFonts w:ascii="Calibri" w:hAnsi="Calibri" w:cs="Calibri"/>
          <w:lang w:eastAsia="en-GB"/>
        </w:rPr>
      </w:pPr>
      <w:r w:rsidRPr="002712C2">
        <w:rPr>
          <w:rFonts w:ascii="Calibri" w:hAnsi="Calibri" w:cs="Calibri"/>
          <w:lang w:eastAsia="en-GB"/>
        </w:rPr>
        <w:t xml:space="preserve">Additionally, learning should be </w:t>
      </w:r>
      <w:proofErr w:type="spellStart"/>
      <w:r w:rsidRPr="002712C2">
        <w:rPr>
          <w:rFonts w:ascii="Calibri" w:hAnsi="Calibri" w:cs="Calibri"/>
          <w:lang w:eastAsia="en-GB"/>
        </w:rPr>
        <w:t>centered</w:t>
      </w:r>
      <w:proofErr w:type="spellEnd"/>
      <w:r w:rsidRPr="002712C2">
        <w:rPr>
          <w:rFonts w:ascii="Calibri" w:hAnsi="Calibri" w:cs="Calibri"/>
          <w:lang w:eastAsia="en-GB"/>
        </w:rPr>
        <w:t xml:space="preserve"> on solving problems instead of memorizing content.</w:t>
      </w:r>
    </w:p>
    <w:p w14:paraId="555ACD9A" w14:textId="77777777" w:rsidR="002712C2" w:rsidRPr="002712C2" w:rsidRDefault="002712C2" w:rsidP="002712C2">
      <w:pPr>
        <w:rPr>
          <w:rFonts w:ascii="Calibri" w:hAnsi="Calibri" w:cs="Calibri"/>
        </w:rPr>
      </w:pPr>
    </w:p>
    <w:p w14:paraId="596ED1DC" w14:textId="77777777" w:rsidR="002712C2" w:rsidRDefault="002712C2" w:rsidP="002712C2">
      <w:pPr>
        <w:rPr>
          <w:rFonts w:ascii="Calibri" w:hAnsi="Calibri" w:cs="Calibri"/>
        </w:rPr>
      </w:pPr>
    </w:p>
    <w:p w14:paraId="356989CA" w14:textId="77777777" w:rsidR="002712C2" w:rsidRPr="002712C2" w:rsidRDefault="002712C2" w:rsidP="002712C2">
      <w:pPr>
        <w:rPr>
          <w:rFonts w:ascii="Calibri" w:hAnsi="Calibri" w:cs="Calibri"/>
        </w:rPr>
      </w:pPr>
    </w:p>
    <w:p w14:paraId="3E3B3AFD" w14:textId="77777777" w:rsidR="002712C2" w:rsidRPr="002712C2" w:rsidRDefault="002712C2" w:rsidP="002712C2">
      <w:pPr>
        <w:rPr>
          <w:rFonts w:ascii="Calibri" w:hAnsi="Calibri" w:cs="Calibri"/>
          <w:lang w:eastAsia="en-GB"/>
        </w:rPr>
      </w:pPr>
    </w:p>
    <w:p w14:paraId="297F5E30" w14:textId="77777777" w:rsidR="002712C2" w:rsidRDefault="002712C2" w:rsidP="002712C2">
      <w:pPr>
        <w:rPr>
          <w:rFonts w:ascii="Calibri" w:hAnsi="Calibri" w:cs="Calibri"/>
          <w:lang w:eastAsia="en-GB"/>
        </w:rPr>
      </w:pPr>
      <w:r w:rsidRPr="002712C2">
        <w:rPr>
          <w:rFonts w:ascii="Calibri" w:hAnsi="Calibri" w:cs="Calibri"/>
          <w:lang w:eastAsia="en-GB"/>
        </w:rPr>
        <w:t>In later years, Knowles would recognize that some points in his theory did not apply to all adults. In addition, some of what he wrote about education could also apply to children. He began to see learning on a spectrum between teacher-directed and student-directed. In his later work, he emphasized how each situation should be assessed on an individual basis to determine how much self-direction would be helpful for students.</w:t>
      </w:r>
    </w:p>
    <w:p w14:paraId="3820B511" w14:textId="77777777" w:rsidR="002712C2" w:rsidRPr="002712C2" w:rsidRDefault="002712C2" w:rsidP="002712C2">
      <w:pPr>
        <w:rPr>
          <w:rFonts w:ascii="Calibri" w:hAnsi="Calibri" w:cs="Calibri"/>
          <w:b/>
          <w:bCs/>
          <w:lang w:eastAsia="en-GB"/>
        </w:rPr>
      </w:pPr>
    </w:p>
    <w:p w14:paraId="67BB1194" w14:textId="3ABE787A" w:rsidR="002712C2" w:rsidRDefault="002712C2" w:rsidP="002712C2">
      <w:pPr>
        <w:rPr>
          <w:rFonts w:ascii="Calibri" w:hAnsi="Calibri" w:cs="Calibri"/>
          <w:b/>
          <w:bCs/>
          <w:lang w:eastAsia="en-GB"/>
        </w:rPr>
      </w:pPr>
      <w:r w:rsidRPr="002712C2">
        <w:rPr>
          <w:rFonts w:ascii="Calibri" w:hAnsi="Calibri" w:cs="Calibri"/>
          <w:b/>
          <w:bCs/>
          <w:lang w:eastAsia="en-GB"/>
        </w:rPr>
        <w:t>References </w:t>
      </w:r>
    </w:p>
    <w:p w14:paraId="77D9DB7F" w14:textId="77777777" w:rsidR="002712C2" w:rsidRPr="002712C2" w:rsidRDefault="002712C2" w:rsidP="002712C2">
      <w:pPr>
        <w:rPr>
          <w:rFonts w:ascii="Calibri" w:hAnsi="Calibri" w:cs="Calibri"/>
          <w:b/>
          <w:bCs/>
          <w:lang w:eastAsia="en-GB"/>
        </w:rPr>
      </w:pPr>
    </w:p>
    <w:p w14:paraId="0E9E4DC9" w14:textId="5AA87501" w:rsidR="002712C2" w:rsidRPr="002712C2" w:rsidRDefault="002712C2" w:rsidP="002712C2">
      <w:pPr>
        <w:pStyle w:val="ListParagraph"/>
        <w:numPr>
          <w:ilvl w:val="0"/>
          <w:numId w:val="5"/>
        </w:numPr>
        <w:rPr>
          <w:rFonts w:ascii="Calibri" w:hAnsi="Calibri" w:cs="Calibri"/>
          <w:lang w:eastAsia="en-GB"/>
        </w:rPr>
      </w:pPr>
      <w:r w:rsidRPr="002712C2">
        <w:rPr>
          <w:rFonts w:ascii="Calibri" w:hAnsi="Calibri" w:cs="Calibri"/>
          <w:lang w:eastAsia="en-GB"/>
        </w:rPr>
        <w:t>Merriam, S. B. (2001). Andragogy and self-directed learning: Pillars of adult learning theory. Merriam, S. B. (Ed.), The new update on adult learning theory: New directions for adult and continuing education. (pp.1-13)</w:t>
      </w:r>
    </w:p>
    <w:p w14:paraId="6A1AC486" w14:textId="35FF27B7" w:rsidR="002712C2" w:rsidRPr="002712C2" w:rsidRDefault="002712C2" w:rsidP="002712C2">
      <w:pPr>
        <w:pStyle w:val="ListParagraph"/>
        <w:numPr>
          <w:ilvl w:val="0"/>
          <w:numId w:val="5"/>
        </w:numPr>
        <w:rPr>
          <w:rFonts w:ascii="Calibri" w:hAnsi="Calibri" w:cs="Calibri"/>
          <w:lang w:eastAsia="en-GB"/>
        </w:rPr>
      </w:pPr>
      <w:proofErr w:type="spellStart"/>
      <w:r w:rsidRPr="002712C2">
        <w:rPr>
          <w:rFonts w:ascii="Calibri" w:hAnsi="Calibri" w:cs="Calibri"/>
          <w:lang w:eastAsia="en-GB"/>
        </w:rPr>
        <w:t>Blondy</w:t>
      </w:r>
      <w:proofErr w:type="spellEnd"/>
      <w:r w:rsidRPr="002712C2">
        <w:rPr>
          <w:rFonts w:ascii="Calibri" w:hAnsi="Calibri" w:cs="Calibri"/>
          <w:lang w:eastAsia="en-GB"/>
        </w:rPr>
        <w:t>, L.C. (2007). Evaluation and application of andragogical assumptions to the adult online learning environment. Journal of Interactive Online Learning, 6(2), 116-130</w:t>
      </w:r>
    </w:p>
    <w:p w14:paraId="1FF244D7" w14:textId="52309D99" w:rsidR="002712C2" w:rsidRPr="002712C2" w:rsidRDefault="002712C2" w:rsidP="002712C2">
      <w:pPr>
        <w:pStyle w:val="ListParagraph"/>
        <w:numPr>
          <w:ilvl w:val="0"/>
          <w:numId w:val="5"/>
        </w:numPr>
        <w:rPr>
          <w:rFonts w:ascii="Calibri" w:hAnsi="Calibri" w:cs="Calibri"/>
          <w:lang w:eastAsia="en-GB"/>
        </w:rPr>
      </w:pPr>
      <w:proofErr w:type="spellStart"/>
      <w:r w:rsidRPr="002712C2">
        <w:rPr>
          <w:rFonts w:ascii="Calibri" w:hAnsi="Calibri" w:cs="Calibri"/>
          <w:lang w:eastAsia="en-GB"/>
        </w:rPr>
        <w:t>Palis</w:t>
      </w:r>
      <w:proofErr w:type="spellEnd"/>
      <w:r w:rsidRPr="002712C2">
        <w:rPr>
          <w:rFonts w:ascii="Calibri" w:hAnsi="Calibri" w:cs="Calibri"/>
          <w:lang w:eastAsia="en-GB"/>
        </w:rPr>
        <w:t xml:space="preserve">, A. G. &amp; </w:t>
      </w:r>
      <w:proofErr w:type="spellStart"/>
      <w:r w:rsidRPr="002712C2">
        <w:rPr>
          <w:rFonts w:ascii="Calibri" w:hAnsi="Calibri" w:cs="Calibri"/>
          <w:lang w:eastAsia="en-GB"/>
        </w:rPr>
        <w:t>Quiros</w:t>
      </w:r>
      <w:proofErr w:type="spellEnd"/>
      <w:r w:rsidRPr="002712C2">
        <w:rPr>
          <w:rFonts w:ascii="Calibri" w:hAnsi="Calibri" w:cs="Calibri"/>
          <w:lang w:eastAsia="en-GB"/>
        </w:rPr>
        <w:t xml:space="preserve">, P. A. (2014). Adult learning principles and presentation pearls. Middle East African Journal of </w:t>
      </w:r>
      <w:proofErr w:type="spellStart"/>
      <w:r w:rsidRPr="002712C2">
        <w:rPr>
          <w:rFonts w:ascii="Calibri" w:hAnsi="Calibri" w:cs="Calibri"/>
          <w:lang w:eastAsia="en-GB"/>
        </w:rPr>
        <w:t>Opthamology</w:t>
      </w:r>
      <w:proofErr w:type="spellEnd"/>
      <w:r w:rsidRPr="002712C2">
        <w:rPr>
          <w:rFonts w:ascii="Calibri" w:hAnsi="Calibri" w:cs="Calibri"/>
          <w:lang w:eastAsia="en-GB"/>
        </w:rPr>
        <w:t>, 21(2), 114-122.</w:t>
      </w:r>
    </w:p>
    <w:p w14:paraId="639C4E1B" w14:textId="77777777" w:rsidR="000F0912" w:rsidRPr="002712C2" w:rsidRDefault="000F0912" w:rsidP="002712C2">
      <w:pPr>
        <w:rPr>
          <w:rFonts w:ascii="Calibri" w:hAnsi="Calibri" w:cs="Calibri"/>
        </w:rPr>
      </w:pPr>
    </w:p>
    <w:p w14:paraId="20B16C4B" w14:textId="77777777" w:rsidR="002712C2" w:rsidRPr="002712C2" w:rsidRDefault="002712C2" w:rsidP="002712C2">
      <w:pPr>
        <w:rPr>
          <w:rFonts w:ascii="Calibri" w:hAnsi="Calibri" w:cs="Calibri"/>
        </w:rPr>
      </w:pPr>
    </w:p>
    <w:p w14:paraId="404A5B6D" w14:textId="77777777" w:rsidR="002712C2" w:rsidRPr="002712C2" w:rsidRDefault="002712C2" w:rsidP="002712C2">
      <w:pPr>
        <w:rPr>
          <w:rFonts w:ascii="Calibri" w:hAnsi="Calibri" w:cs="Calibri"/>
        </w:rPr>
      </w:pPr>
    </w:p>
    <w:p w14:paraId="0DA6E759" w14:textId="77777777" w:rsidR="002712C2" w:rsidRPr="002712C2" w:rsidRDefault="002712C2" w:rsidP="002712C2">
      <w:pPr>
        <w:rPr>
          <w:rFonts w:ascii="Calibri" w:hAnsi="Calibri" w:cs="Calibri"/>
        </w:rPr>
      </w:pPr>
    </w:p>
    <w:p w14:paraId="195708D7" w14:textId="77777777" w:rsidR="002712C2" w:rsidRPr="002712C2" w:rsidRDefault="002712C2" w:rsidP="002712C2">
      <w:pPr>
        <w:rPr>
          <w:rFonts w:ascii="Calibri" w:hAnsi="Calibri" w:cs="Calibri"/>
        </w:rPr>
      </w:pPr>
    </w:p>
    <w:p w14:paraId="46F7E5BF" w14:textId="77777777" w:rsidR="002712C2" w:rsidRPr="002712C2" w:rsidRDefault="002712C2" w:rsidP="002712C2">
      <w:pPr>
        <w:rPr>
          <w:rFonts w:ascii="Calibri" w:hAnsi="Calibri" w:cs="Calibri"/>
        </w:rPr>
      </w:pPr>
    </w:p>
    <w:p w14:paraId="363562BF" w14:textId="77777777" w:rsidR="002712C2" w:rsidRPr="002712C2" w:rsidRDefault="002712C2" w:rsidP="002712C2">
      <w:pPr>
        <w:rPr>
          <w:rFonts w:ascii="Calibri" w:hAnsi="Calibri" w:cs="Calibri"/>
        </w:rPr>
      </w:pPr>
    </w:p>
    <w:p w14:paraId="37DC2FB1" w14:textId="77777777" w:rsidR="002712C2" w:rsidRPr="002712C2" w:rsidRDefault="002712C2" w:rsidP="002712C2">
      <w:pPr>
        <w:rPr>
          <w:rFonts w:ascii="Calibri" w:hAnsi="Calibri" w:cs="Calibri"/>
        </w:rPr>
      </w:pPr>
    </w:p>
    <w:p w14:paraId="4BCC8268" w14:textId="77777777" w:rsidR="002712C2" w:rsidRPr="002712C2" w:rsidRDefault="002712C2" w:rsidP="002712C2">
      <w:pPr>
        <w:rPr>
          <w:rFonts w:ascii="Calibri" w:hAnsi="Calibri" w:cs="Calibri"/>
        </w:rPr>
      </w:pPr>
    </w:p>
    <w:p w14:paraId="29AA5401" w14:textId="77777777" w:rsidR="002712C2" w:rsidRPr="002712C2" w:rsidRDefault="002712C2" w:rsidP="002712C2">
      <w:pPr>
        <w:rPr>
          <w:rFonts w:ascii="Calibri" w:hAnsi="Calibri" w:cs="Calibri"/>
        </w:rPr>
      </w:pPr>
    </w:p>
    <w:p w14:paraId="7F3194B3" w14:textId="77777777" w:rsidR="002712C2" w:rsidRPr="002712C2" w:rsidRDefault="002712C2" w:rsidP="002712C2">
      <w:pPr>
        <w:rPr>
          <w:rFonts w:ascii="Calibri" w:hAnsi="Calibri" w:cs="Calibri"/>
        </w:rPr>
      </w:pPr>
    </w:p>
    <w:p w14:paraId="5586D33C" w14:textId="77777777" w:rsidR="002712C2" w:rsidRDefault="002712C2" w:rsidP="002712C2">
      <w:pPr>
        <w:rPr>
          <w:rFonts w:ascii="Calibri" w:hAnsi="Calibri" w:cs="Calibri"/>
        </w:rPr>
      </w:pPr>
    </w:p>
    <w:p w14:paraId="7A3D4EC5" w14:textId="77777777" w:rsidR="00B7529B" w:rsidRDefault="00B7529B" w:rsidP="002712C2">
      <w:pPr>
        <w:rPr>
          <w:rFonts w:ascii="Calibri" w:hAnsi="Calibri" w:cs="Calibri"/>
        </w:rPr>
      </w:pPr>
    </w:p>
    <w:p w14:paraId="38522378" w14:textId="77777777" w:rsidR="00B7529B" w:rsidRDefault="00B7529B" w:rsidP="002712C2">
      <w:pPr>
        <w:rPr>
          <w:rFonts w:ascii="Calibri" w:hAnsi="Calibri" w:cs="Calibri"/>
        </w:rPr>
      </w:pPr>
    </w:p>
    <w:p w14:paraId="0126BCCE" w14:textId="77777777" w:rsidR="00B7529B" w:rsidRDefault="00B7529B" w:rsidP="002712C2">
      <w:pPr>
        <w:rPr>
          <w:rFonts w:ascii="Calibri" w:hAnsi="Calibri" w:cs="Calibri"/>
        </w:rPr>
      </w:pPr>
    </w:p>
    <w:p w14:paraId="33A3ADB2" w14:textId="77777777" w:rsidR="00B7529B" w:rsidRDefault="00B7529B" w:rsidP="002712C2">
      <w:pPr>
        <w:rPr>
          <w:rFonts w:ascii="Calibri" w:hAnsi="Calibri" w:cs="Calibri"/>
        </w:rPr>
      </w:pPr>
    </w:p>
    <w:p w14:paraId="4BB8683E" w14:textId="77777777" w:rsidR="00B7529B" w:rsidRDefault="00B7529B" w:rsidP="002712C2">
      <w:pPr>
        <w:rPr>
          <w:rFonts w:ascii="Calibri" w:hAnsi="Calibri" w:cs="Calibri"/>
        </w:rPr>
      </w:pPr>
    </w:p>
    <w:p w14:paraId="6B910325" w14:textId="77777777" w:rsidR="00B7529B" w:rsidRDefault="00B7529B" w:rsidP="002712C2">
      <w:pPr>
        <w:rPr>
          <w:rFonts w:ascii="Calibri" w:hAnsi="Calibri" w:cs="Calibri"/>
        </w:rPr>
      </w:pPr>
    </w:p>
    <w:p w14:paraId="70F8784F" w14:textId="77777777" w:rsidR="00B7529B" w:rsidRDefault="00B7529B" w:rsidP="002712C2">
      <w:pPr>
        <w:rPr>
          <w:rFonts w:ascii="Calibri" w:hAnsi="Calibri" w:cs="Calibri"/>
        </w:rPr>
      </w:pPr>
    </w:p>
    <w:p w14:paraId="47439608" w14:textId="77777777" w:rsidR="002712C2" w:rsidRDefault="002712C2"/>
    <w:sectPr w:rsidR="002712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C7D04"/>
    <w:multiLevelType w:val="multilevel"/>
    <w:tmpl w:val="D08E7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4C11CC"/>
    <w:multiLevelType w:val="multilevel"/>
    <w:tmpl w:val="E65A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26519"/>
    <w:multiLevelType w:val="hybridMultilevel"/>
    <w:tmpl w:val="5CAC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137D53"/>
    <w:multiLevelType w:val="hybridMultilevel"/>
    <w:tmpl w:val="4F02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253472"/>
    <w:multiLevelType w:val="multilevel"/>
    <w:tmpl w:val="67C8F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6D15E8"/>
    <w:multiLevelType w:val="hybridMultilevel"/>
    <w:tmpl w:val="510E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350394">
    <w:abstractNumId w:val="1"/>
  </w:num>
  <w:num w:numId="2" w16cid:durableId="2003266949">
    <w:abstractNumId w:val="4"/>
  </w:num>
  <w:num w:numId="3" w16cid:durableId="1666207377">
    <w:abstractNumId w:val="0"/>
  </w:num>
  <w:num w:numId="4" w16cid:durableId="2028436139">
    <w:abstractNumId w:val="3"/>
  </w:num>
  <w:num w:numId="5" w16cid:durableId="409738295">
    <w:abstractNumId w:val="2"/>
  </w:num>
  <w:num w:numId="6" w16cid:durableId="2010981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C2"/>
    <w:rsid w:val="000F0912"/>
    <w:rsid w:val="001229C3"/>
    <w:rsid w:val="002712C2"/>
    <w:rsid w:val="003E05CA"/>
    <w:rsid w:val="004143CE"/>
    <w:rsid w:val="005860A3"/>
    <w:rsid w:val="00636572"/>
    <w:rsid w:val="006A3D3C"/>
    <w:rsid w:val="008C1C32"/>
    <w:rsid w:val="009156BF"/>
    <w:rsid w:val="00B70145"/>
    <w:rsid w:val="00B7529B"/>
    <w:rsid w:val="00F133D1"/>
    <w:rsid w:val="00F931D1"/>
    <w:rsid w:val="00FD2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1CF616"/>
  <w15:chartTrackingRefBased/>
  <w15:docId w15:val="{996DB0BD-A5F0-1E41-9899-F0D8B16A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2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2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2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2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2C2"/>
    <w:rPr>
      <w:rFonts w:eastAsiaTheme="majorEastAsia" w:cstheme="majorBidi"/>
      <w:color w:val="272727" w:themeColor="text1" w:themeTint="D8"/>
    </w:rPr>
  </w:style>
  <w:style w:type="paragraph" w:styleId="Title">
    <w:name w:val="Title"/>
    <w:basedOn w:val="Normal"/>
    <w:next w:val="Normal"/>
    <w:link w:val="TitleChar"/>
    <w:uiPriority w:val="10"/>
    <w:qFormat/>
    <w:rsid w:val="002712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2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2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12C2"/>
    <w:rPr>
      <w:i/>
      <w:iCs/>
      <w:color w:val="404040" w:themeColor="text1" w:themeTint="BF"/>
    </w:rPr>
  </w:style>
  <w:style w:type="paragraph" w:styleId="ListParagraph">
    <w:name w:val="List Paragraph"/>
    <w:basedOn w:val="Normal"/>
    <w:uiPriority w:val="34"/>
    <w:qFormat/>
    <w:rsid w:val="002712C2"/>
    <w:pPr>
      <w:ind w:left="720"/>
      <w:contextualSpacing/>
    </w:pPr>
  </w:style>
  <w:style w:type="character" w:styleId="IntenseEmphasis">
    <w:name w:val="Intense Emphasis"/>
    <w:basedOn w:val="DefaultParagraphFont"/>
    <w:uiPriority w:val="21"/>
    <w:qFormat/>
    <w:rsid w:val="002712C2"/>
    <w:rPr>
      <w:i/>
      <w:iCs/>
      <w:color w:val="0F4761" w:themeColor="accent1" w:themeShade="BF"/>
    </w:rPr>
  </w:style>
  <w:style w:type="paragraph" w:styleId="IntenseQuote">
    <w:name w:val="Intense Quote"/>
    <w:basedOn w:val="Normal"/>
    <w:next w:val="Normal"/>
    <w:link w:val="IntenseQuoteChar"/>
    <w:uiPriority w:val="30"/>
    <w:qFormat/>
    <w:rsid w:val="00271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2C2"/>
    <w:rPr>
      <w:i/>
      <w:iCs/>
      <w:color w:val="0F4761" w:themeColor="accent1" w:themeShade="BF"/>
    </w:rPr>
  </w:style>
  <w:style w:type="character" w:styleId="IntenseReference">
    <w:name w:val="Intense Reference"/>
    <w:basedOn w:val="DefaultParagraphFont"/>
    <w:uiPriority w:val="32"/>
    <w:qFormat/>
    <w:rsid w:val="002712C2"/>
    <w:rPr>
      <w:b/>
      <w:bCs/>
      <w:smallCaps/>
      <w:color w:val="0F4761" w:themeColor="accent1" w:themeShade="BF"/>
      <w:spacing w:val="5"/>
    </w:rPr>
  </w:style>
  <w:style w:type="paragraph" w:styleId="NormalWeb">
    <w:name w:val="Normal (Web)"/>
    <w:basedOn w:val="Normal"/>
    <w:uiPriority w:val="99"/>
    <w:semiHidden/>
    <w:unhideWhenUsed/>
    <w:rsid w:val="002712C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712C2"/>
    <w:rPr>
      <w:b/>
      <w:bCs/>
    </w:rPr>
  </w:style>
  <w:style w:type="character" w:styleId="Hyperlink">
    <w:name w:val="Hyperlink"/>
    <w:basedOn w:val="DefaultParagraphFont"/>
    <w:uiPriority w:val="99"/>
    <w:unhideWhenUsed/>
    <w:rsid w:val="002712C2"/>
    <w:rPr>
      <w:color w:val="0000FF"/>
      <w:u w:val="single"/>
    </w:rPr>
  </w:style>
  <w:style w:type="character" w:styleId="Emphasis">
    <w:name w:val="Emphasis"/>
    <w:basedOn w:val="DefaultParagraphFont"/>
    <w:uiPriority w:val="20"/>
    <w:qFormat/>
    <w:rsid w:val="002712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414">
      <w:bodyDiv w:val="1"/>
      <w:marLeft w:val="0"/>
      <w:marRight w:val="0"/>
      <w:marTop w:val="0"/>
      <w:marBottom w:val="0"/>
      <w:divBdr>
        <w:top w:val="none" w:sz="0" w:space="0" w:color="auto"/>
        <w:left w:val="none" w:sz="0" w:space="0" w:color="auto"/>
        <w:bottom w:val="none" w:sz="0" w:space="0" w:color="auto"/>
        <w:right w:val="none" w:sz="0" w:space="0" w:color="auto"/>
      </w:divBdr>
      <w:divsChild>
        <w:div w:id="1328437211">
          <w:marLeft w:val="0"/>
          <w:marRight w:val="0"/>
          <w:marTop w:val="0"/>
          <w:marBottom w:val="0"/>
          <w:divBdr>
            <w:top w:val="none" w:sz="0" w:space="0" w:color="auto"/>
            <w:left w:val="none" w:sz="0" w:space="0" w:color="auto"/>
            <w:bottom w:val="none" w:sz="0" w:space="0" w:color="auto"/>
            <w:right w:val="none" w:sz="0" w:space="0" w:color="auto"/>
          </w:divBdr>
        </w:div>
      </w:divsChild>
    </w:div>
    <w:div w:id="1159422999">
      <w:bodyDiv w:val="1"/>
      <w:marLeft w:val="0"/>
      <w:marRight w:val="0"/>
      <w:marTop w:val="0"/>
      <w:marBottom w:val="0"/>
      <w:divBdr>
        <w:top w:val="none" w:sz="0" w:space="0" w:color="auto"/>
        <w:left w:val="none" w:sz="0" w:space="0" w:color="auto"/>
        <w:bottom w:val="none" w:sz="0" w:space="0" w:color="auto"/>
        <w:right w:val="none" w:sz="0" w:space="0" w:color="auto"/>
      </w:divBdr>
    </w:div>
    <w:div w:id="167838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ottewill</dc:creator>
  <cp:keywords/>
  <dc:description/>
  <cp:lastModifiedBy>penny ottewill</cp:lastModifiedBy>
  <cp:revision>2</cp:revision>
  <dcterms:created xsi:type="dcterms:W3CDTF">2024-02-12T10:33:00Z</dcterms:created>
  <dcterms:modified xsi:type="dcterms:W3CDTF">2024-02-12T10:33:00Z</dcterms:modified>
</cp:coreProperties>
</file>