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84C0E1" w14:textId="77777777" w:rsidR="00E2176B" w:rsidRPr="00E2176B" w:rsidRDefault="003F68C0" w:rsidP="003F68C0">
      <w:pPr>
        <w:keepNext/>
        <w:keepLines/>
        <w:spacing w:before="240" w:after="0"/>
        <w:outlineLvl w:val="0"/>
        <w:rPr>
          <w:rFonts w:asciiTheme="majorHAnsi" w:eastAsiaTheme="majorEastAsia" w:hAnsiTheme="majorHAnsi" w:cstheme="majorBidi"/>
          <w:i/>
          <w:color w:val="2E74B5" w:themeColor="accent1" w:themeShade="BF"/>
          <w:sz w:val="32"/>
          <w:szCs w:val="32"/>
        </w:rPr>
      </w:pPr>
      <w:r>
        <w:rPr>
          <w:noProof/>
          <w:lang w:eastAsia="en-GB"/>
        </w:rPr>
        <mc:AlternateContent>
          <mc:Choice Requires="wps">
            <w:drawing>
              <wp:anchor distT="45720" distB="45720" distL="114300" distR="114300" simplePos="0" relativeHeight="251663360" behindDoc="0" locked="0" layoutInCell="1" allowOverlap="1" wp14:anchorId="12C3BE88" wp14:editId="7A711064">
                <wp:simplePos x="0" y="0"/>
                <wp:positionH relativeFrom="margin">
                  <wp:posOffset>-114300</wp:posOffset>
                </wp:positionH>
                <wp:positionV relativeFrom="paragraph">
                  <wp:posOffset>-678180</wp:posOffset>
                </wp:positionV>
                <wp:extent cx="1590675" cy="1132205"/>
                <wp:effectExtent l="38100" t="38100" r="123825" b="10604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1132205"/>
                        </a:xfrm>
                        <a:prstGeom prst="rect">
                          <a:avLst/>
                        </a:prstGeom>
                        <a:solidFill>
                          <a:sysClr val="window" lastClr="FFFFFF"/>
                        </a:solidFill>
                        <a:ln w="19050">
                          <a:solidFill>
                            <a:srgbClr val="7030A0"/>
                          </a:solidFill>
                          <a:miter lim="800000"/>
                          <a:headEnd/>
                          <a:tailEnd/>
                        </a:ln>
                        <a:effectLst>
                          <a:outerShdw blurRad="50800" dist="38100" dir="2700000" algn="tl" rotWithShape="0">
                            <a:prstClr val="black">
                              <a:alpha val="40000"/>
                            </a:prstClr>
                          </a:outerShdw>
                        </a:effectLst>
                      </wps:spPr>
                      <wps:txbx>
                        <w:txbxContent>
                          <w:p w14:paraId="7DB4CFB1"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Becoming</w:t>
                            </w:r>
                          </w:p>
                          <w:p w14:paraId="1C90A307"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t xml:space="preserve">the </w:t>
                            </w:r>
                            <w:r w:rsidRPr="008C340B">
                              <w:rPr>
                                <w:rFonts w:asciiTheme="majorHAnsi" w:hAnsiTheme="majorHAnsi" w:cstheme="majorHAnsi"/>
                                <w:b/>
                                <w:i/>
                                <w:sz w:val="20"/>
                                <w:szCs w:val="20"/>
                                <w14:shadow w14:blurRad="50800" w14:dist="38100" w14:dir="2700000" w14:sx="100000" w14:sy="100000" w14:kx="0" w14:ky="0" w14:algn="tl">
                                  <w14:srgbClr w14:val="000000">
                                    <w14:alpha w14:val="60000"/>
                                  </w14:srgbClr>
                                </w14:shadow>
                              </w:rPr>
                              <w:t>just</w:t>
                            </w:r>
                          </w:p>
                          <w:p w14:paraId="73CB0268"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t xml:space="preserve">the </w:t>
                            </w:r>
                            <w:r w:rsidRPr="008C340B">
                              <w:rPr>
                                <w:rFonts w:asciiTheme="majorHAnsi" w:hAnsiTheme="majorHAnsi" w:cstheme="majorHAnsi"/>
                                <w:b/>
                                <w:i/>
                                <w:sz w:val="20"/>
                                <w:szCs w:val="20"/>
                                <w14:shadow w14:blurRad="50800" w14:dist="38100" w14:dir="2700000" w14:sx="100000" w14:sy="100000" w14:kx="0" w14:ky="0" w14:algn="tl">
                                  <w14:srgbClr w14:val="000000">
                                    <w14:alpha w14:val="60000"/>
                                  </w14:srgbClr>
                                </w14:shadow>
                              </w:rPr>
                              <w:t>curious</w:t>
                            </w:r>
                          </w:p>
                          <w:p w14:paraId="4E2838D5"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t xml:space="preserve">the </w:t>
                            </w:r>
                            <w:r w:rsidRPr="008C340B">
                              <w:rPr>
                                <w:rFonts w:asciiTheme="majorHAnsi" w:hAnsiTheme="majorHAnsi" w:cstheme="majorHAnsi"/>
                                <w:b/>
                                <w:i/>
                                <w:sz w:val="20"/>
                                <w:szCs w:val="20"/>
                                <w14:shadow w14:blurRad="50800" w14:dist="38100" w14:dir="2700000" w14:sx="100000" w14:sy="100000" w14:kx="0" w14:ky="0" w14:algn="tl">
                                  <w14:srgbClr w14:val="000000">
                                    <w14:alpha w14:val="60000"/>
                                  </w14:srgbClr>
                                </w14:shadow>
                              </w:rPr>
                              <w:t>creative</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p>
                          <w:p w14:paraId="78191054"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t xml:space="preserve"> teacher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2C3BE88" id="_x0000_t202" coordsize="21600,21600" o:spt="202" path="m,l,21600r21600,l21600,xe">
                <v:stroke joinstyle="miter"/>
                <v:path gradientshapeok="t" o:connecttype="rect"/>
              </v:shapetype>
              <v:shape id="Text Box 2" o:spid="_x0000_s1026" type="#_x0000_t202" style="position:absolute;margin-left:-9pt;margin-top:-53.4pt;width:125.25pt;height:89.15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" fillcolor="window" strokecolor="#7030a0" strokeweight="1.5pt">
                <v:shadow on="t" color="black" opacity="26214f" origin="-.5,-.5" offset=".74836mm,.74836mm"/>
                <v:textbox>
                  <w:txbxContent>
                    <w:p w14:paraId="7DB4CFB1"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Becoming</w:t>
                      </w:r>
                    </w:p>
                    <w:p w14:paraId="1C90A307"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t xml:space="preserve">the </w:t>
                      </w:r>
                      <w:r w:rsidRPr="008C340B">
                        <w:rPr>
                          <w:rFonts w:asciiTheme="majorHAnsi" w:hAnsiTheme="majorHAnsi" w:cstheme="majorHAnsi"/>
                          <w:b/>
                          <w:i/>
                          <w:sz w:val="20"/>
                          <w:szCs w:val="20"/>
                          <w14:shadow w14:blurRad="50800" w14:dist="38100" w14:dir="2700000" w14:sx="100000" w14:sy="100000" w14:kx="0" w14:ky="0" w14:algn="tl">
                            <w14:srgbClr w14:val="000000">
                              <w14:alpha w14:val="60000"/>
                            </w14:srgbClr>
                          </w14:shadow>
                        </w:rPr>
                        <w:t>just</w:t>
                      </w:r>
                    </w:p>
                    <w:p w14:paraId="73CB0268"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t xml:space="preserve">the </w:t>
                      </w:r>
                      <w:r w:rsidRPr="008C340B">
                        <w:rPr>
                          <w:rFonts w:asciiTheme="majorHAnsi" w:hAnsiTheme="majorHAnsi" w:cstheme="majorHAnsi"/>
                          <w:b/>
                          <w:i/>
                          <w:sz w:val="20"/>
                          <w:szCs w:val="20"/>
                          <w14:shadow w14:blurRad="50800" w14:dist="38100" w14:dir="2700000" w14:sx="100000" w14:sy="100000" w14:kx="0" w14:ky="0" w14:algn="tl">
                            <w14:srgbClr w14:val="000000">
                              <w14:alpha w14:val="60000"/>
                            </w14:srgbClr>
                          </w14:shadow>
                        </w:rPr>
                        <w:t>curious</w:t>
                      </w:r>
                    </w:p>
                    <w:p w14:paraId="4E2838D5"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t xml:space="preserve">the </w:t>
                      </w:r>
                      <w:r w:rsidRPr="008C340B">
                        <w:rPr>
                          <w:rFonts w:asciiTheme="majorHAnsi" w:hAnsiTheme="majorHAnsi" w:cstheme="majorHAnsi"/>
                          <w:b/>
                          <w:i/>
                          <w:sz w:val="20"/>
                          <w:szCs w:val="20"/>
                          <w14:shadow w14:blurRad="50800" w14:dist="38100" w14:dir="2700000" w14:sx="100000" w14:sy="100000" w14:kx="0" w14:ky="0" w14:algn="tl">
                            <w14:srgbClr w14:val="000000">
                              <w14:alpha w14:val="60000"/>
                            </w14:srgbClr>
                          </w14:shadow>
                        </w:rPr>
                        <w:t>creative</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p>
                    <w:p w14:paraId="78191054" w14:textId="77777777" w:rsidR="003F68C0" w:rsidRPr="008C340B" w:rsidRDefault="003F68C0" w:rsidP="003F68C0">
                      <w:pPr>
                        <w:spacing w:after="0"/>
                        <w:jc w:val="both"/>
                        <w:rPr>
                          <w:rFonts w:asciiTheme="majorHAnsi" w:hAnsiTheme="majorHAnsi" w:cstheme="majorHAnsi"/>
                          <w:sz w:val="20"/>
                          <w:szCs w:val="20"/>
                          <w14:shadow w14:blurRad="50800" w14:dist="38100" w14:dir="2700000" w14:sx="100000" w14:sy="100000" w14:kx="0" w14:ky="0" w14:algn="tl">
                            <w14:srgbClr w14:val="000000">
                              <w14:alpha w14:val="60000"/>
                            </w14:srgbClr>
                          </w14:shadow>
                        </w:rPr>
                      </w:pP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 xml:space="preserve">       </w:t>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r>
                      <w:r w:rsidRPr="008C340B">
                        <w:rPr>
                          <w:rFonts w:asciiTheme="majorHAnsi" w:hAnsiTheme="majorHAnsi" w:cstheme="majorHAnsi"/>
                          <w:sz w:val="20"/>
                          <w:szCs w:val="20"/>
                          <w14:shadow w14:blurRad="50800" w14:dist="38100" w14:dir="2700000" w14:sx="100000" w14:sy="100000" w14:kx="0" w14:ky="0" w14:algn="tl">
                            <w14:srgbClr w14:val="000000">
                              <w14:alpha w14:val="60000"/>
                            </w14:srgbClr>
                          </w14:shadow>
                        </w:rPr>
                        <w:tab/>
                        <w:t xml:space="preserve"> teacher </w:t>
                      </w:r>
                    </w:p>
                  </w:txbxContent>
                </v:textbox>
                <w10:wrap anchorx="margin"/>
              </v:shape>
            </w:pict>
          </mc:Fallback>
        </mc:AlternateContent>
      </w:r>
      <w:r w:rsidR="00E2176B" w:rsidRPr="00E2176B">
        <w:rPr>
          <w:rFonts w:asciiTheme="majorHAnsi" w:eastAsiaTheme="majorEastAsia" w:hAnsiTheme="majorHAnsi" w:cstheme="majorBidi"/>
          <w:noProof/>
          <w:color w:val="2E74B5" w:themeColor="accent1" w:themeShade="BF"/>
          <w:sz w:val="32"/>
          <w:szCs w:val="32"/>
          <w:lang w:eastAsia="en-GB"/>
        </w:rPr>
        <w:drawing>
          <wp:anchor distT="0" distB="0" distL="114300" distR="114300" simplePos="0" relativeHeight="251661312" behindDoc="0" locked="0" layoutInCell="1" allowOverlap="1" wp14:anchorId="5E8EB3E1" wp14:editId="239799C7">
            <wp:simplePos x="0" y="0"/>
            <wp:positionH relativeFrom="margin">
              <wp:posOffset>5269230</wp:posOffset>
            </wp:positionH>
            <wp:positionV relativeFrom="paragraph">
              <wp:posOffset>-400050</wp:posOffset>
            </wp:positionV>
            <wp:extent cx="1106805" cy="903758"/>
            <wp:effectExtent l="0" t="0" r="0" b="0"/>
            <wp:wrapNone/>
            <wp:docPr id="1" name="Picture 1" descr="C:\Users\u1373652\AppData\Local\Microsoft\Windows\INetCache\Content.MSO\EBFA74B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1373652\AppData\Local\Microsoft\Windows\INetCache\Content.MSO\EBFA74B9.tmp"/>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06805" cy="90375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E83D7F" w14:textId="77777777" w:rsidR="00E2176B" w:rsidRDefault="00E2176B" w:rsidP="00E2176B">
      <w:pPr>
        <w:pStyle w:val="Heading1"/>
      </w:pPr>
      <w:r>
        <w:t xml:space="preserve">Mentoring in the Warwick partnership </w:t>
      </w:r>
    </w:p>
    <w:p w14:paraId="3F8C0F19" w14:textId="77777777" w:rsidR="002A56DF" w:rsidRDefault="002A56DF" w:rsidP="00596832">
      <w:pPr>
        <w:spacing w:after="240"/>
      </w:pPr>
    </w:p>
    <w:p w14:paraId="7B2C0360" w14:textId="77777777" w:rsidR="0087109F" w:rsidRPr="00E2176B" w:rsidRDefault="002A56DF" w:rsidP="00596832">
      <w:pPr>
        <w:pStyle w:val="NormalWeb"/>
        <w:spacing w:before="0" w:beforeAutospacing="0" w:after="240" w:afterAutospacing="0" w:line="360" w:lineRule="auto"/>
        <w:rPr>
          <w:rFonts w:asciiTheme="minorHAnsi" w:eastAsiaTheme="minorEastAsia" w:hAnsiTheme="minorHAnsi" w:cstheme="minorHAnsi"/>
          <w:color w:val="000000" w:themeColor="text1"/>
          <w:kern w:val="24"/>
        </w:rPr>
      </w:pPr>
      <w:r w:rsidRPr="00E2176B">
        <w:rPr>
          <w:rFonts w:asciiTheme="minorHAnsi" w:hAnsiTheme="minorHAnsi" w:cstheme="minorHAnsi"/>
        </w:rPr>
        <w:t>In order to continue to improve our mentoring approach for trainees entering the teaching profession, we must engage with the discourse on what is effective and ineffective about what we offer. The traditional model of mentoring</w:t>
      </w:r>
      <w:r w:rsidR="006151DA" w:rsidRPr="00E2176B">
        <w:rPr>
          <w:rFonts w:asciiTheme="minorHAnsi" w:hAnsiTheme="minorHAnsi" w:cstheme="minorHAnsi"/>
        </w:rPr>
        <w:t>, often referred to as surface coaching</w:t>
      </w:r>
      <w:r w:rsidR="006151DA" w:rsidRPr="00E2176B">
        <w:rPr>
          <w:rStyle w:val="FootnoteReference"/>
          <w:rFonts w:asciiTheme="minorHAnsi" w:hAnsiTheme="minorHAnsi" w:cstheme="minorHAnsi"/>
        </w:rPr>
        <w:footnoteReference w:id="1"/>
      </w:r>
      <w:r w:rsidR="006151DA" w:rsidRPr="00E2176B">
        <w:rPr>
          <w:rFonts w:asciiTheme="minorHAnsi" w:hAnsiTheme="minorHAnsi" w:cstheme="minorHAnsi"/>
        </w:rPr>
        <w:t xml:space="preserve"> </w:t>
      </w:r>
      <w:r w:rsidRPr="00E2176B">
        <w:rPr>
          <w:rFonts w:asciiTheme="minorHAnsi" w:hAnsiTheme="minorHAnsi" w:cstheme="minorHAnsi"/>
        </w:rPr>
        <w:t xml:space="preserve"> </w:t>
      </w:r>
      <w:r w:rsidR="006151DA" w:rsidRPr="00E2176B">
        <w:rPr>
          <w:rFonts w:asciiTheme="minorHAnsi" w:hAnsiTheme="minorHAnsi" w:cstheme="minorHAnsi"/>
        </w:rPr>
        <w:t>(</w:t>
      </w:r>
      <w:r w:rsidR="006151DA" w:rsidRPr="00E2176B">
        <w:rPr>
          <w:rFonts w:asciiTheme="minorHAnsi" w:eastAsiaTheme="minorEastAsia" w:hAnsiTheme="minorHAnsi" w:cstheme="minorHAnsi"/>
          <w:color w:val="000000" w:themeColor="text1"/>
          <w:kern w:val="24"/>
        </w:rPr>
        <w:t xml:space="preserve">providing trainees with resources, offering supportive comments, modelling lessons, conducting quick observations and sharing quick feedback) has come under increasing scrutiny </w:t>
      </w:r>
      <w:r w:rsidR="0024542A" w:rsidRPr="00E2176B">
        <w:rPr>
          <w:rFonts w:asciiTheme="minorHAnsi" w:eastAsiaTheme="minorEastAsia" w:hAnsiTheme="minorHAnsi" w:cstheme="minorHAnsi"/>
          <w:color w:val="000000" w:themeColor="text1"/>
          <w:kern w:val="24"/>
        </w:rPr>
        <w:t>in recent years</w:t>
      </w:r>
      <w:r w:rsidR="00E2176B">
        <w:rPr>
          <w:rFonts w:asciiTheme="minorHAnsi" w:eastAsiaTheme="minorEastAsia" w:hAnsiTheme="minorHAnsi" w:cstheme="minorHAnsi"/>
          <w:color w:val="000000" w:themeColor="text1"/>
          <w:kern w:val="24"/>
        </w:rPr>
        <w:t>,</w:t>
      </w:r>
      <w:r w:rsidR="0024542A" w:rsidRPr="00E2176B">
        <w:rPr>
          <w:rFonts w:asciiTheme="minorHAnsi" w:eastAsiaTheme="minorEastAsia" w:hAnsiTheme="minorHAnsi" w:cstheme="minorHAnsi"/>
          <w:color w:val="000000" w:themeColor="text1"/>
          <w:kern w:val="24"/>
        </w:rPr>
        <w:t xml:space="preserve"> as the role of the mentor becomes blurred as one of support provider, at the same time as assessing a trainee’s ability to enter the teaching profession, with</w:t>
      </w:r>
      <w:r w:rsidR="00E2176B">
        <w:rPr>
          <w:rFonts w:asciiTheme="minorHAnsi" w:eastAsiaTheme="minorEastAsia" w:hAnsiTheme="minorHAnsi" w:cstheme="minorHAnsi"/>
          <w:color w:val="000000" w:themeColor="text1"/>
          <w:kern w:val="24"/>
        </w:rPr>
        <w:t xml:space="preserve"> the term</w:t>
      </w:r>
      <w:r w:rsidR="0024542A" w:rsidRPr="00E2176B">
        <w:rPr>
          <w:rFonts w:asciiTheme="minorHAnsi" w:eastAsiaTheme="minorEastAsia" w:hAnsiTheme="minorHAnsi" w:cstheme="minorHAnsi"/>
          <w:color w:val="000000" w:themeColor="text1"/>
          <w:kern w:val="24"/>
        </w:rPr>
        <w:t xml:space="preserve"> ‘Judgementoring’</w:t>
      </w:r>
      <w:r w:rsidR="0024542A" w:rsidRPr="00E2176B">
        <w:rPr>
          <w:rStyle w:val="FootnoteReference"/>
          <w:rFonts w:asciiTheme="minorHAnsi" w:eastAsiaTheme="minorEastAsia" w:hAnsiTheme="minorHAnsi" w:cstheme="minorHAnsi"/>
          <w:color w:val="000000" w:themeColor="text1"/>
          <w:kern w:val="24"/>
        </w:rPr>
        <w:footnoteReference w:id="2"/>
      </w:r>
      <w:r w:rsidR="0024542A" w:rsidRPr="00E2176B">
        <w:rPr>
          <w:rFonts w:asciiTheme="minorHAnsi" w:eastAsiaTheme="minorEastAsia" w:hAnsiTheme="minorHAnsi" w:cstheme="minorHAnsi"/>
          <w:color w:val="000000" w:themeColor="text1"/>
          <w:kern w:val="24"/>
        </w:rPr>
        <w:t xml:space="preserve"> coined as the current position. </w:t>
      </w:r>
      <w:r w:rsidR="00424FAB" w:rsidRPr="00E2176B">
        <w:rPr>
          <w:rFonts w:asciiTheme="minorHAnsi" w:eastAsiaTheme="minorEastAsia" w:hAnsiTheme="minorHAnsi" w:cstheme="minorHAnsi"/>
          <w:color w:val="000000" w:themeColor="text1"/>
          <w:kern w:val="24"/>
        </w:rPr>
        <w:t xml:space="preserve">Schein </w:t>
      </w:r>
      <w:r w:rsidR="0024542A" w:rsidRPr="00E2176B">
        <w:rPr>
          <w:rFonts w:asciiTheme="minorHAnsi" w:eastAsiaTheme="minorEastAsia" w:hAnsiTheme="minorHAnsi" w:cstheme="minorHAnsi"/>
          <w:color w:val="000000" w:themeColor="text1"/>
          <w:kern w:val="24"/>
        </w:rPr>
        <w:t>(2009)</w:t>
      </w:r>
      <w:r w:rsidR="00424FAB" w:rsidRPr="00E2176B">
        <w:rPr>
          <w:rStyle w:val="FootnoteReference"/>
          <w:rFonts w:asciiTheme="minorHAnsi" w:eastAsiaTheme="minorEastAsia" w:hAnsiTheme="minorHAnsi" w:cstheme="minorHAnsi"/>
          <w:color w:val="000000" w:themeColor="text1"/>
          <w:kern w:val="24"/>
        </w:rPr>
        <w:footnoteReference w:id="3"/>
      </w:r>
      <w:r w:rsidR="0024542A" w:rsidRPr="00E2176B">
        <w:rPr>
          <w:rFonts w:asciiTheme="minorHAnsi" w:eastAsiaTheme="minorEastAsia" w:hAnsiTheme="minorHAnsi" w:cstheme="minorHAnsi"/>
          <w:color w:val="000000" w:themeColor="text1"/>
          <w:kern w:val="24"/>
        </w:rPr>
        <w:t xml:space="preserve"> ex</w:t>
      </w:r>
      <w:r w:rsidR="00E2176B">
        <w:rPr>
          <w:rFonts w:asciiTheme="minorHAnsi" w:eastAsiaTheme="minorEastAsia" w:hAnsiTheme="minorHAnsi" w:cstheme="minorHAnsi"/>
          <w:color w:val="000000" w:themeColor="text1"/>
          <w:kern w:val="24"/>
        </w:rPr>
        <w:t xml:space="preserve">plores the issue of this </w:t>
      </w:r>
      <w:r w:rsidR="0024542A" w:rsidRPr="00E2176B">
        <w:rPr>
          <w:rFonts w:asciiTheme="minorHAnsi" w:eastAsiaTheme="minorEastAsia" w:hAnsiTheme="minorHAnsi" w:cstheme="minorHAnsi"/>
          <w:color w:val="000000" w:themeColor="text1"/>
          <w:kern w:val="24"/>
        </w:rPr>
        <w:t>advice-giving stance - ‘helper as expert’</w:t>
      </w:r>
      <w:r w:rsidR="00E2176B">
        <w:rPr>
          <w:rFonts w:asciiTheme="minorHAnsi" w:eastAsiaTheme="minorEastAsia" w:hAnsiTheme="minorHAnsi" w:cstheme="minorHAnsi"/>
          <w:color w:val="000000" w:themeColor="text1"/>
          <w:kern w:val="24"/>
        </w:rPr>
        <w:t>-</w:t>
      </w:r>
      <w:r w:rsidR="0024542A" w:rsidRPr="00E2176B">
        <w:rPr>
          <w:rFonts w:asciiTheme="minorHAnsi" w:eastAsiaTheme="minorEastAsia" w:hAnsiTheme="minorHAnsi" w:cstheme="minorHAnsi"/>
          <w:color w:val="000000" w:themeColor="text1"/>
          <w:kern w:val="24"/>
        </w:rPr>
        <w:t xml:space="preserve"> and </w:t>
      </w:r>
      <w:r w:rsidR="00424FAB" w:rsidRPr="00E2176B">
        <w:rPr>
          <w:rFonts w:asciiTheme="minorHAnsi" w:eastAsiaTheme="minorEastAsia" w:hAnsiTheme="minorHAnsi" w:cstheme="minorHAnsi"/>
          <w:color w:val="000000" w:themeColor="text1"/>
          <w:kern w:val="24"/>
        </w:rPr>
        <w:t>points to</w:t>
      </w:r>
      <w:r w:rsidR="00E2176B">
        <w:rPr>
          <w:rFonts w:asciiTheme="minorHAnsi" w:eastAsiaTheme="minorEastAsia" w:hAnsiTheme="minorHAnsi" w:cstheme="minorHAnsi"/>
          <w:color w:val="000000" w:themeColor="text1"/>
          <w:kern w:val="24"/>
        </w:rPr>
        <w:t xml:space="preserve"> an unconscious but ‘</w:t>
      </w:r>
      <w:r w:rsidR="0024542A" w:rsidRPr="00E2176B">
        <w:rPr>
          <w:rFonts w:asciiTheme="minorHAnsi" w:eastAsiaTheme="minorEastAsia" w:hAnsiTheme="minorHAnsi" w:cstheme="minorHAnsi"/>
          <w:color w:val="000000" w:themeColor="text1"/>
          <w:kern w:val="24"/>
        </w:rPr>
        <w:t xml:space="preserve">strong seductive emotional force’ at work when the mentor adopts the position of </w:t>
      </w:r>
      <w:r w:rsidR="00E2176B">
        <w:rPr>
          <w:rFonts w:asciiTheme="minorHAnsi" w:eastAsiaTheme="minorEastAsia" w:hAnsiTheme="minorHAnsi" w:cstheme="minorHAnsi"/>
          <w:color w:val="000000" w:themeColor="text1"/>
          <w:kern w:val="24"/>
        </w:rPr>
        <w:t>helper. Jumping in to give</w:t>
      </w:r>
      <w:r w:rsidR="0024542A" w:rsidRPr="00E2176B">
        <w:rPr>
          <w:rFonts w:asciiTheme="minorHAnsi" w:eastAsiaTheme="minorEastAsia" w:hAnsiTheme="minorHAnsi" w:cstheme="minorHAnsi"/>
          <w:color w:val="000000" w:themeColor="text1"/>
          <w:kern w:val="24"/>
        </w:rPr>
        <w:t xml:space="preserve"> </w:t>
      </w:r>
      <w:r w:rsidR="00E2176B">
        <w:rPr>
          <w:rFonts w:asciiTheme="minorHAnsi" w:eastAsiaTheme="minorEastAsia" w:hAnsiTheme="minorHAnsi" w:cstheme="minorHAnsi"/>
          <w:color w:val="000000" w:themeColor="text1"/>
          <w:kern w:val="24"/>
        </w:rPr>
        <w:t>‘</w:t>
      </w:r>
      <w:r w:rsidR="0024542A" w:rsidRPr="00E2176B">
        <w:rPr>
          <w:rFonts w:asciiTheme="minorHAnsi" w:eastAsiaTheme="minorEastAsia" w:hAnsiTheme="minorHAnsi" w:cstheme="minorHAnsi"/>
          <w:color w:val="000000" w:themeColor="text1"/>
          <w:kern w:val="24"/>
        </w:rPr>
        <w:t>helpful</w:t>
      </w:r>
      <w:r w:rsidR="00E2176B">
        <w:rPr>
          <w:rFonts w:asciiTheme="minorHAnsi" w:eastAsiaTheme="minorEastAsia" w:hAnsiTheme="minorHAnsi" w:cstheme="minorHAnsi"/>
          <w:color w:val="000000" w:themeColor="text1"/>
          <w:kern w:val="24"/>
        </w:rPr>
        <w:t>’</w:t>
      </w:r>
      <w:r w:rsidR="0024542A" w:rsidRPr="00E2176B">
        <w:rPr>
          <w:rFonts w:asciiTheme="minorHAnsi" w:eastAsiaTheme="minorEastAsia" w:hAnsiTheme="minorHAnsi" w:cstheme="minorHAnsi"/>
          <w:color w:val="000000" w:themeColor="text1"/>
          <w:kern w:val="24"/>
        </w:rPr>
        <w:t xml:space="preserve"> advice too soon</w:t>
      </w:r>
      <w:r w:rsidR="00E2176B">
        <w:rPr>
          <w:rFonts w:asciiTheme="minorHAnsi" w:eastAsiaTheme="minorEastAsia" w:hAnsiTheme="minorHAnsi" w:cstheme="minorHAnsi"/>
          <w:color w:val="000000" w:themeColor="text1"/>
          <w:kern w:val="24"/>
        </w:rPr>
        <w:t>,</w:t>
      </w:r>
      <w:r w:rsidR="0024542A" w:rsidRPr="00E2176B">
        <w:rPr>
          <w:rFonts w:asciiTheme="minorHAnsi" w:eastAsiaTheme="minorEastAsia" w:hAnsiTheme="minorHAnsi" w:cstheme="minorHAnsi"/>
          <w:color w:val="000000" w:themeColor="text1"/>
          <w:kern w:val="24"/>
        </w:rPr>
        <w:t xml:space="preserve"> more often than not creates an unhelpful ‘status differential’ in the relationship. </w:t>
      </w:r>
      <w:r w:rsidR="00807F82" w:rsidRPr="00E2176B">
        <w:rPr>
          <w:rFonts w:asciiTheme="minorHAnsi" w:eastAsiaTheme="minorEastAsia" w:hAnsiTheme="minorHAnsi" w:cstheme="minorHAnsi"/>
          <w:color w:val="000000" w:themeColor="text1"/>
          <w:kern w:val="24"/>
        </w:rPr>
        <w:t xml:space="preserve">Deci </w:t>
      </w:r>
      <w:r w:rsidR="00124477" w:rsidRPr="00E2176B">
        <w:rPr>
          <w:rFonts w:asciiTheme="minorHAnsi" w:eastAsiaTheme="minorEastAsia" w:hAnsiTheme="minorHAnsi" w:cstheme="minorHAnsi"/>
          <w:color w:val="000000" w:themeColor="text1"/>
          <w:kern w:val="24"/>
        </w:rPr>
        <w:t>and Ryan</w:t>
      </w:r>
      <w:r w:rsidR="0085603E" w:rsidRPr="00E2176B">
        <w:rPr>
          <w:rFonts w:asciiTheme="minorHAnsi" w:eastAsiaTheme="minorEastAsia" w:hAnsiTheme="minorHAnsi" w:cstheme="minorHAnsi"/>
          <w:color w:val="000000" w:themeColor="text1"/>
          <w:kern w:val="24"/>
        </w:rPr>
        <w:t xml:space="preserve">, </w:t>
      </w:r>
      <w:r w:rsidR="00E2176B">
        <w:rPr>
          <w:rFonts w:asciiTheme="minorHAnsi" w:eastAsiaTheme="minorEastAsia" w:hAnsiTheme="minorHAnsi" w:cstheme="minorHAnsi"/>
          <w:color w:val="000000" w:themeColor="text1"/>
          <w:kern w:val="24"/>
        </w:rPr>
        <w:t xml:space="preserve">in their self-motivation theory </w:t>
      </w:r>
      <w:r w:rsidR="00807F82" w:rsidRPr="00E2176B">
        <w:rPr>
          <w:rFonts w:asciiTheme="minorHAnsi" w:eastAsiaTheme="minorEastAsia" w:hAnsiTheme="minorHAnsi" w:cstheme="minorHAnsi"/>
          <w:color w:val="000000" w:themeColor="text1"/>
          <w:kern w:val="24"/>
        </w:rPr>
        <w:t>(2000)</w:t>
      </w:r>
      <w:r w:rsidR="00E2176B">
        <w:rPr>
          <w:rFonts w:asciiTheme="minorHAnsi" w:eastAsiaTheme="minorEastAsia" w:hAnsiTheme="minorHAnsi" w:cstheme="minorHAnsi"/>
          <w:color w:val="000000" w:themeColor="text1"/>
          <w:kern w:val="24"/>
        </w:rPr>
        <w:t>,</w:t>
      </w:r>
      <w:r w:rsidR="00124477" w:rsidRPr="00E2176B">
        <w:rPr>
          <w:rStyle w:val="FootnoteReference"/>
          <w:rFonts w:asciiTheme="minorHAnsi" w:eastAsiaTheme="minorEastAsia" w:hAnsiTheme="minorHAnsi" w:cstheme="minorHAnsi"/>
          <w:color w:val="000000" w:themeColor="text1"/>
          <w:kern w:val="24"/>
        </w:rPr>
        <w:footnoteReference w:id="4"/>
      </w:r>
      <w:r w:rsidR="00807F82" w:rsidRPr="00E2176B">
        <w:rPr>
          <w:rFonts w:asciiTheme="minorHAnsi" w:eastAsiaTheme="minorEastAsia" w:hAnsiTheme="minorHAnsi" w:cstheme="minorHAnsi"/>
          <w:color w:val="000000" w:themeColor="text1"/>
          <w:kern w:val="24"/>
        </w:rPr>
        <w:t xml:space="preserve"> </w:t>
      </w:r>
      <w:r w:rsidR="00585289" w:rsidRPr="00E2176B">
        <w:rPr>
          <w:rFonts w:asciiTheme="minorHAnsi" w:eastAsiaTheme="minorEastAsia" w:hAnsiTheme="minorHAnsi" w:cstheme="minorHAnsi"/>
          <w:color w:val="000000" w:themeColor="text1"/>
          <w:kern w:val="24"/>
        </w:rPr>
        <w:t>conclude</w:t>
      </w:r>
      <w:r w:rsidR="00807F82" w:rsidRPr="00E2176B">
        <w:rPr>
          <w:rFonts w:asciiTheme="minorHAnsi" w:eastAsiaTheme="minorEastAsia" w:hAnsiTheme="minorHAnsi" w:cstheme="minorHAnsi"/>
          <w:color w:val="000000" w:themeColor="text1"/>
          <w:kern w:val="24"/>
        </w:rPr>
        <w:t xml:space="preserve"> that adults are not motivated by others’ direction, ideas or helpful suggestions</w:t>
      </w:r>
      <w:r w:rsidR="00585289" w:rsidRPr="00E2176B">
        <w:rPr>
          <w:rFonts w:asciiTheme="minorHAnsi" w:eastAsiaTheme="minorEastAsia" w:hAnsiTheme="minorHAnsi" w:cstheme="minorHAnsi"/>
          <w:color w:val="000000" w:themeColor="text1"/>
          <w:kern w:val="24"/>
        </w:rPr>
        <w:t xml:space="preserve">, and more often than not opt for another direction. </w:t>
      </w:r>
    </w:p>
    <w:p w14:paraId="628A7D26" w14:textId="77777777" w:rsidR="00A52B30" w:rsidRPr="00596832" w:rsidRDefault="0087109F" w:rsidP="00596832">
      <w:pPr>
        <w:pStyle w:val="NormalWeb"/>
        <w:spacing w:before="0" w:beforeAutospacing="0" w:after="240" w:afterAutospacing="0" w:line="360" w:lineRule="auto"/>
        <w:rPr>
          <w:rFonts w:asciiTheme="minorHAnsi" w:eastAsiaTheme="minorEastAsia" w:hAnsiTheme="minorHAnsi" w:cstheme="minorHAnsi"/>
          <w:color w:val="000000" w:themeColor="text1"/>
          <w:kern w:val="24"/>
        </w:rPr>
      </w:pPr>
      <w:r w:rsidRPr="00E2176B">
        <w:rPr>
          <w:rFonts w:asciiTheme="minorHAnsi" w:eastAsiaTheme="minorEastAsia" w:hAnsiTheme="minorHAnsi" w:cstheme="minorHAnsi"/>
          <w:color w:val="000000" w:themeColor="text1"/>
          <w:kern w:val="24"/>
        </w:rPr>
        <w:t xml:space="preserve">With an increasing spot light on coaching, and more </w:t>
      </w:r>
      <w:r w:rsidR="00A52B30" w:rsidRPr="00E2176B">
        <w:rPr>
          <w:rFonts w:asciiTheme="minorHAnsi" w:eastAsiaTheme="minorEastAsia" w:hAnsiTheme="minorHAnsi" w:cstheme="minorHAnsi"/>
          <w:color w:val="000000" w:themeColor="text1"/>
          <w:kern w:val="24"/>
        </w:rPr>
        <w:t>specifically</w:t>
      </w:r>
      <w:r w:rsidRPr="00E2176B">
        <w:rPr>
          <w:rFonts w:asciiTheme="minorHAnsi" w:eastAsiaTheme="minorEastAsia" w:hAnsiTheme="minorHAnsi" w:cstheme="minorHAnsi"/>
          <w:color w:val="000000" w:themeColor="text1"/>
          <w:kern w:val="24"/>
        </w:rPr>
        <w:t xml:space="preserve"> Instructional </w:t>
      </w:r>
      <w:r w:rsidR="00A52B30" w:rsidRPr="00E2176B">
        <w:rPr>
          <w:rFonts w:asciiTheme="minorHAnsi" w:eastAsiaTheme="minorEastAsia" w:hAnsiTheme="minorHAnsi" w:cstheme="minorHAnsi"/>
          <w:color w:val="000000" w:themeColor="text1"/>
          <w:kern w:val="24"/>
        </w:rPr>
        <w:t>Coaching, as an evidence-informed method to support trainee progress, Warwick is ahead of the game here as we explored last year the fundamentals of being an effective coach: listening, powerful questioning and goal-setting through a solutions-focussed process. Rachel Lofthouse endorsed the model in her keynote speech</w:t>
      </w:r>
      <w:r w:rsidR="0061003F" w:rsidRPr="00E2176B">
        <w:rPr>
          <w:rStyle w:val="FootnoteReference"/>
          <w:rFonts w:asciiTheme="minorHAnsi" w:eastAsiaTheme="minorEastAsia" w:hAnsiTheme="minorHAnsi" w:cstheme="minorHAnsi"/>
          <w:color w:val="000000" w:themeColor="text1"/>
          <w:kern w:val="24"/>
        </w:rPr>
        <w:footnoteReference w:id="5"/>
      </w:r>
      <w:r w:rsidR="00A52B30" w:rsidRPr="00E2176B">
        <w:rPr>
          <w:rFonts w:asciiTheme="minorHAnsi" w:eastAsiaTheme="minorEastAsia" w:hAnsiTheme="minorHAnsi" w:cstheme="minorHAnsi"/>
          <w:color w:val="000000" w:themeColor="text1"/>
          <w:kern w:val="24"/>
        </w:rPr>
        <w:t xml:space="preserve"> at the 2020 Partnership and </w:t>
      </w:r>
      <w:r w:rsidR="00E2176B">
        <w:rPr>
          <w:rFonts w:asciiTheme="minorHAnsi" w:eastAsiaTheme="minorEastAsia" w:hAnsiTheme="minorHAnsi" w:cstheme="minorHAnsi"/>
          <w:color w:val="000000" w:themeColor="text1"/>
          <w:kern w:val="24"/>
        </w:rPr>
        <w:t>M</w:t>
      </w:r>
      <w:r w:rsidR="00A52B30" w:rsidRPr="00E2176B">
        <w:rPr>
          <w:rFonts w:asciiTheme="minorHAnsi" w:eastAsiaTheme="minorEastAsia" w:hAnsiTheme="minorHAnsi" w:cstheme="minorHAnsi"/>
          <w:color w:val="000000" w:themeColor="text1"/>
          <w:kern w:val="24"/>
        </w:rPr>
        <w:t xml:space="preserve">entoring conference and this year we will continue to embed this trainee-led model to support our trainees into the profession. </w:t>
      </w:r>
    </w:p>
    <w:p w14:paraId="75EFFDA2" w14:textId="77777777" w:rsidR="001A6B64" w:rsidRPr="00DD5847" w:rsidRDefault="001A6B64" w:rsidP="00596832">
      <w:pPr>
        <w:spacing w:after="240" w:line="360" w:lineRule="auto"/>
        <w:rPr>
          <w:rFonts w:cstheme="minorHAnsi"/>
          <w:b/>
          <w:color w:val="000000" w:themeColor="text1"/>
        </w:rPr>
      </w:pPr>
      <w:r>
        <w:lastRenderedPageBreak/>
        <w:t>If a justification for a coaching approach is needed, Chris Munro</w:t>
      </w:r>
      <w:r>
        <w:rPr>
          <w:rStyle w:val="FootnoteReference"/>
        </w:rPr>
        <w:footnoteReference w:id="6"/>
      </w:r>
      <w:r>
        <w:t xml:space="preserve"> of Growth Coaching International in his most recent blog, gives a powerful insight into how a coaching approach for teacher professional development is the way forward </w:t>
      </w:r>
      <w:hyperlink r:id="rId8" w:history="1">
        <w:r>
          <w:rPr>
            <w:rStyle w:val="Hyperlink"/>
          </w:rPr>
          <w:t>https://www.growthcoaching.com.au/articles-new/context-context-context-implementing-coaching-in-schools?country=au</w:t>
        </w:r>
      </w:hyperlink>
      <w:r>
        <w:t>. Tom Sherrington and Oliver Caviglioli</w:t>
      </w:r>
      <w:r>
        <w:rPr>
          <w:rStyle w:val="FootnoteReference"/>
        </w:rPr>
        <w:footnoteReference w:id="7"/>
      </w:r>
      <w:r>
        <w:t xml:space="preserve"> are leading the way in providing resources that support an Instructional Coaching model through their WALKTHRUs training and resources, with page 155 highlighting where the coaching approach originated with the work of Jim Knight</w:t>
      </w:r>
      <w:r>
        <w:rPr>
          <w:rStyle w:val="FootnoteReference"/>
        </w:rPr>
        <w:footnoteReference w:id="8"/>
      </w:r>
      <w:r>
        <w:rPr>
          <w:rStyle w:val="FootnoteReference"/>
        </w:rPr>
        <w:footnoteReference w:id="9"/>
      </w:r>
      <w:r>
        <w:t>. The Instructional Coaching model allows us to serve the trainee with what each individual needs</w:t>
      </w:r>
      <w:r w:rsidR="00596832">
        <w:t>,</w:t>
      </w:r>
      <w:r>
        <w:t xml:space="preserve"> to be able to understand how to improve outcomes for learners, which is at the very centre of this model. Sue Richards in conversation </w:t>
      </w:r>
      <w:r w:rsidRPr="009B3B39">
        <w:t xml:space="preserve">with </w:t>
      </w:r>
      <w:r w:rsidRPr="009B3B39">
        <w:rPr>
          <w:rFonts w:cstheme="minorHAnsi"/>
          <w:color w:val="000000" w:themeColor="text1"/>
        </w:rPr>
        <w:t>GCI’s</w:t>
      </w:r>
      <w:r w:rsidRPr="00596832">
        <w:rPr>
          <w:rFonts w:cstheme="minorHAnsi"/>
          <w:b/>
          <w:color w:val="000000" w:themeColor="text1"/>
        </w:rPr>
        <w:t xml:space="preserve">, </w:t>
      </w:r>
      <w:r w:rsidRPr="00596832">
        <w:rPr>
          <w:rStyle w:val="Strong"/>
          <w:rFonts w:cstheme="minorHAnsi"/>
          <w:b w:val="0"/>
          <w:color w:val="000000" w:themeColor="text1"/>
          <w:shd w:val="clear" w:color="auto" w:fill="FFFFFF"/>
        </w:rPr>
        <w:t>Leigh Hatcher, discusses how she has seen this coaching approach grow the capacity of beginner teachers she has worked with. Sue clearly defines the difference between coaching and mentoring and highlights how a coaching approach is more effective at meeting the needs of an individual and their professional development. It includes some powerful questions that we could ask our own trainees, with the focus on what works in their classrooms as opposed to what might work better from our perspective.</w:t>
      </w:r>
      <w:r>
        <w:rPr>
          <w:rStyle w:val="Strong"/>
          <w:rFonts w:cstheme="minorHAnsi"/>
          <w:color w:val="000000" w:themeColor="text1"/>
          <w:shd w:val="clear" w:color="auto" w:fill="FFFFFF"/>
        </w:rPr>
        <w:t xml:space="preserve"> </w:t>
      </w:r>
      <w:hyperlink r:id="rId9" w:history="1">
        <w:r>
          <w:rPr>
            <w:rStyle w:val="Hyperlink"/>
          </w:rPr>
          <w:t>https://www.growthcoaching.com.au/podcasts/using-a-coaching-approach-to-grow-the-capacity-of-beginning-teachers</w:t>
        </w:r>
      </w:hyperlink>
    </w:p>
    <w:p w14:paraId="12E22019" w14:textId="77777777" w:rsidR="001A6B64" w:rsidRDefault="001A6B64" w:rsidP="00596832">
      <w:pPr>
        <w:spacing w:after="240" w:line="360" w:lineRule="auto"/>
      </w:pPr>
      <w:r>
        <w:t xml:space="preserve">The Instructional Coaching model is trainee-led and allows for their autonomy in the decision making process. A mentor’s role is to provide the knowledge of classroom practice. </w:t>
      </w:r>
    </w:p>
    <w:p w14:paraId="07F61675" w14:textId="77777777" w:rsidR="002A56DF" w:rsidRDefault="002A56DF"/>
    <w:p w14:paraId="06C842E6" w14:textId="77777777" w:rsidR="0061003F" w:rsidRDefault="0061003F"/>
    <w:p w14:paraId="4BBB3477" w14:textId="77777777" w:rsidR="0061003F" w:rsidRDefault="0061003F"/>
    <w:p w14:paraId="67D89AEF" w14:textId="77777777" w:rsidR="0061003F" w:rsidRDefault="0061003F"/>
    <w:p w14:paraId="7BBCBDA1" w14:textId="77777777" w:rsidR="0061003F" w:rsidRDefault="0061003F"/>
    <w:sectPr w:rsidR="0061003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BD1485" w14:textId="77777777" w:rsidR="003616D5" w:rsidRDefault="003616D5" w:rsidP="006151DA">
      <w:pPr>
        <w:spacing w:after="0" w:line="240" w:lineRule="auto"/>
      </w:pPr>
      <w:r>
        <w:separator/>
      </w:r>
    </w:p>
  </w:endnote>
  <w:endnote w:type="continuationSeparator" w:id="0">
    <w:p w14:paraId="3C702C64" w14:textId="77777777" w:rsidR="003616D5" w:rsidRDefault="003616D5" w:rsidP="006151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F3355F" w14:textId="77777777" w:rsidR="003616D5" w:rsidRDefault="003616D5" w:rsidP="006151DA">
      <w:pPr>
        <w:spacing w:after="0" w:line="240" w:lineRule="auto"/>
      </w:pPr>
      <w:r>
        <w:separator/>
      </w:r>
    </w:p>
  </w:footnote>
  <w:footnote w:type="continuationSeparator" w:id="0">
    <w:p w14:paraId="5E17D9BC" w14:textId="77777777" w:rsidR="003616D5" w:rsidRDefault="003616D5" w:rsidP="006151DA">
      <w:pPr>
        <w:spacing w:after="0" w:line="240" w:lineRule="auto"/>
      </w:pPr>
      <w:r>
        <w:continuationSeparator/>
      </w:r>
    </w:p>
  </w:footnote>
  <w:footnote w:id="1">
    <w:p w14:paraId="36073BD7" w14:textId="77777777" w:rsidR="006151DA" w:rsidRDefault="006151DA">
      <w:pPr>
        <w:pStyle w:val="FootnoteText"/>
      </w:pPr>
      <w:r>
        <w:rPr>
          <w:rStyle w:val="FootnoteReference"/>
        </w:rPr>
        <w:footnoteRef/>
      </w:r>
      <w:r>
        <w:t xml:space="preserve"> Killion, J., Harrison, C, Bryan, C., &amp; Clifton, H. (2012). </w:t>
      </w:r>
      <w:r w:rsidRPr="006151DA">
        <w:rPr>
          <w:i/>
        </w:rPr>
        <w:t>Coaching matters</w:t>
      </w:r>
      <w:r>
        <w:t xml:space="preserve">. Oxford OH: Learning Forward. </w:t>
      </w:r>
    </w:p>
  </w:footnote>
  <w:footnote w:id="2">
    <w:p w14:paraId="4E8F8930" w14:textId="77777777" w:rsidR="0024542A" w:rsidRPr="0024542A" w:rsidRDefault="0024542A">
      <w:pPr>
        <w:pStyle w:val="FootnoteText"/>
        <w:rPr>
          <w:rFonts w:cstheme="minorHAnsi"/>
        </w:rPr>
      </w:pPr>
      <w:r>
        <w:rPr>
          <w:rStyle w:val="FootnoteReference"/>
        </w:rPr>
        <w:footnoteRef/>
      </w:r>
      <w:r>
        <w:t xml:space="preserve"> </w:t>
      </w:r>
      <w:r w:rsidRPr="0024542A">
        <w:rPr>
          <w:rFonts w:cstheme="minorHAnsi"/>
          <w:color w:val="222222"/>
          <w:shd w:val="clear" w:color="auto" w:fill="FFFFFF"/>
        </w:rPr>
        <w:t xml:space="preserve">Hobson, A.J. and </w:t>
      </w:r>
      <w:proofErr w:type="spellStart"/>
      <w:r w:rsidRPr="0024542A">
        <w:rPr>
          <w:rFonts w:cstheme="minorHAnsi"/>
          <w:color w:val="222222"/>
          <w:shd w:val="clear" w:color="auto" w:fill="FFFFFF"/>
        </w:rPr>
        <w:t>Malderez</w:t>
      </w:r>
      <w:proofErr w:type="spellEnd"/>
      <w:r w:rsidRPr="0024542A">
        <w:rPr>
          <w:rFonts w:cstheme="minorHAnsi"/>
          <w:color w:val="222222"/>
          <w:shd w:val="clear" w:color="auto" w:fill="FFFFFF"/>
        </w:rPr>
        <w:t>, A., 2013. Judgementoring and other threats to realizing the potential of school‐based mentoring in teacher education. </w:t>
      </w:r>
      <w:r w:rsidRPr="0024542A">
        <w:rPr>
          <w:rFonts w:cstheme="minorHAnsi"/>
          <w:i/>
          <w:iCs/>
          <w:color w:val="222222"/>
          <w:shd w:val="clear" w:color="auto" w:fill="FFFFFF"/>
        </w:rPr>
        <w:t>International journal of mentoring and coaching in education</w:t>
      </w:r>
      <w:r w:rsidRPr="0024542A">
        <w:rPr>
          <w:rFonts w:cstheme="minorHAnsi"/>
          <w:color w:val="222222"/>
          <w:shd w:val="clear" w:color="auto" w:fill="FFFFFF"/>
        </w:rPr>
        <w:t>.</w:t>
      </w:r>
    </w:p>
  </w:footnote>
  <w:footnote w:id="3">
    <w:p w14:paraId="738EC75B" w14:textId="77777777" w:rsidR="00424FAB" w:rsidRPr="00424FAB" w:rsidRDefault="00424FAB">
      <w:pPr>
        <w:pStyle w:val="FootnoteText"/>
        <w:rPr>
          <w:rFonts w:cstheme="minorHAnsi"/>
        </w:rPr>
      </w:pPr>
      <w:r>
        <w:rPr>
          <w:rStyle w:val="FootnoteReference"/>
        </w:rPr>
        <w:footnoteRef/>
      </w:r>
      <w:r>
        <w:t xml:space="preserve"> </w:t>
      </w:r>
      <w:r w:rsidRPr="00424FAB">
        <w:rPr>
          <w:rFonts w:cstheme="minorHAnsi"/>
          <w:color w:val="333333"/>
          <w:spacing w:val="2"/>
          <w:shd w:val="clear" w:color="auto" w:fill="FFFFFF"/>
        </w:rPr>
        <w:t>Schein, E. H. (2009). </w:t>
      </w:r>
      <w:r w:rsidRPr="00424FAB">
        <w:rPr>
          <w:rStyle w:val="Emphasis"/>
          <w:rFonts w:cstheme="minorHAnsi"/>
          <w:color w:val="333333"/>
          <w:spacing w:val="2"/>
          <w:shd w:val="clear" w:color="auto" w:fill="FFFFFF"/>
        </w:rPr>
        <w:t>Helping: How to offer, give, and receive help</w:t>
      </w:r>
      <w:r w:rsidRPr="00424FAB">
        <w:rPr>
          <w:rFonts w:cstheme="minorHAnsi"/>
          <w:color w:val="333333"/>
          <w:spacing w:val="2"/>
          <w:shd w:val="clear" w:color="auto" w:fill="FFFFFF"/>
        </w:rPr>
        <w:t>. Oakland, CA: Berrett-Koehler.</w:t>
      </w:r>
    </w:p>
  </w:footnote>
  <w:footnote w:id="4">
    <w:p w14:paraId="4782F4DB" w14:textId="77777777" w:rsidR="00124477" w:rsidRPr="0061003F" w:rsidRDefault="00124477" w:rsidP="0061003F">
      <w:pPr>
        <w:spacing w:after="0"/>
        <w:rPr>
          <w:rFonts w:ascii="Arial" w:hAnsi="Arial" w:cs="Arial"/>
          <w:color w:val="000000"/>
          <w:shd w:val="clear" w:color="auto" w:fill="FFFFFF"/>
        </w:rPr>
      </w:pPr>
      <w:r>
        <w:rPr>
          <w:rStyle w:val="FootnoteReference"/>
        </w:rPr>
        <w:footnoteRef/>
      </w:r>
      <w:r>
        <w:t xml:space="preserve"> </w:t>
      </w:r>
      <w:r w:rsidRPr="00124477">
        <w:rPr>
          <w:rFonts w:cstheme="minorHAnsi"/>
          <w:color w:val="000000"/>
          <w:sz w:val="20"/>
          <w:szCs w:val="20"/>
          <w:shd w:val="clear" w:color="auto" w:fill="FFFFFF"/>
        </w:rPr>
        <w:t>Deci, E. L., &amp; Ryan, R. M. (2000). Self-determination theory and the facilitation of intrinsic motivation, social development, and well-being. </w:t>
      </w:r>
      <w:r w:rsidRPr="00124477">
        <w:rPr>
          <w:rFonts w:cstheme="minorHAnsi"/>
          <w:i/>
          <w:iCs/>
          <w:color w:val="000000"/>
          <w:sz w:val="20"/>
          <w:szCs w:val="20"/>
          <w:bdr w:val="none" w:sz="0" w:space="0" w:color="auto" w:frame="1"/>
          <w:shd w:val="clear" w:color="auto" w:fill="FFFFFF"/>
        </w:rPr>
        <w:t>American Psychologist, 55</w:t>
      </w:r>
      <w:r w:rsidRPr="00124477">
        <w:rPr>
          <w:rFonts w:cstheme="minorHAnsi"/>
          <w:color w:val="000000"/>
          <w:sz w:val="20"/>
          <w:szCs w:val="20"/>
          <w:shd w:val="clear" w:color="auto" w:fill="FFFFFF"/>
        </w:rPr>
        <w:t>(1), 68–78.</w:t>
      </w:r>
    </w:p>
  </w:footnote>
  <w:footnote w:id="5">
    <w:p w14:paraId="05F846B6" w14:textId="77777777" w:rsidR="0061003F" w:rsidRDefault="0061003F">
      <w:pPr>
        <w:pStyle w:val="FootnoteText"/>
      </w:pPr>
      <w:r>
        <w:rPr>
          <w:rStyle w:val="FootnoteReference"/>
        </w:rPr>
        <w:footnoteRef/>
      </w:r>
      <w:r>
        <w:t xml:space="preserve"> </w:t>
      </w:r>
      <w:hyperlink r:id="rId1" w:history="1">
        <w:r>
          <w:rPr>
            <w:rStyle w:val="Hyperlink"/>
          </w:rPr>
          <w:t>https://eu.bbcollab.com/collab/ui/session/playback</w:t>
        </w:r>
      </w:hyperlink>
    </w:p>
  </w:footnote>
  <w:footnote w:id="6">
    <w:p w14:paraId="20BD5CBB" w14:textId="77777777" w:rsidR="001A6B64" w:rsidRDefault="001A6B64" w:rsidP="001A6B64">
      <w:pPr>
        <w:pStyle w:val="FootnoteText"/>
      </w:pPr>
      <w:r>
        <w:rPr>
          <w:rStyle w:val="FootnoteReference"/>
        </w:rPr>
        <w:footnoteRef/>
      </w:r>
      <w:r>
        <w:t xml:space="preserve"> </w:t>
      </w:r>
      <w:hyperlink r:id="rId2" w:history="1">
        <w:r>
          <w:rPr>
            <w:rStyle w:val="Hyperlink"/>
          </w:rPr>
          <w:t>https://www.growthcoaching.com.au/</w:t>
        </w:r>
      </w:hyperlink>
    </w:p>
  </w:footnote>
  <w:footnote w:id="7">
    <w:p w14:paraId="1B9B36A5" w14:textId="77777777" w:rsidR="001A6B64" w:rsidRPr="00C826A5" w:rsidRDefault="001A6B64" w:rsidP="001A6B64">
      <w:pPr>
        <w:pStyle w:val="Heading1"/>
        <w:spacing w:before="0"/>
        <w:rPr>
          <w:color w:val="000000" w:themeColor="text1"/>
        </w:rPr>
      </w:pPr>
      <w:r>
        <w:rPr>
          <w:rStyle w:val="FootnoteReference"/>
          <w:rFonts w:asciiTheme="minorHAnsi" w:eastAsiaTheme="minorHAnsi" w:hAnsiTheme="minorHAnsi" w:cstheme="minorBidi"/>
          <w:color w:val="auto"/>
          <w:sz w:val="20"/>
          <w:szCs w:val="20"/>
        </w:rPr>
        <w:footnoteRef/>
      </w:r>
      <w:r>
        <w:rPr>
          <w:rFonts w:asciiTheme="minorHAnsi" w:eastAsia="Times New Roman" w:hAnsiTheme="minorHAnsi" w:cstheme="minorHAnsi"/>
          <w:color w:val="555555"/>
          <w:kern w:val="36"/>
          <w:sz w:val="20"/>
          <w:szCs w:val="20"/>
          <w:lang w:eastAsia="en-GB"/>
        </w:rPr>
        <w:t xml:space="preserve"> </w:t>
      </w:r>
      <w:r w:rsidRPr="00C826A5">
        <w:rPr>
          <w:rFonts w:asciiTheme="minorHAnsi" w:eastAsia="Times New Roman" w:hAnsiTheme="minorHAnsi" w:cstheme="minorHAnsi"/>
          <w:color w:val="000000" w:themeColor="text1"/>
          <w:kern w:val="36"/>
          <w:sz w:val="20"/>
          <w:szCs w:val="20"/>
          <w:lang w:eastAsia="en-GB"/>
        </w:rPr>
        <w:t xml:space="preserve">Teaching </w:t>
      </w:r>
      <w:proofErr w:type="spellStart"/>
      <w:r w:rsidRPr="00C826A5">
        <w:rPr>
          <w:rFonts w:asciiTheme="minorHAnsi" w:eastAsia="Times New Roman" w:hAnsiTheme="minorHAnsi" w:cstheme="minorHAnsi"/>
          <w:color w:val="000000" w:themeColor="text1"/>
          <w:kern w:val="36"/>
          <w:sz w:val="20"/>
          <w:szCs w:val="20"/>
          <w:lang w:eastAsia="en-GB"/>
        </w:rPr>
        <w:t>Walkthrus</w:t>
      </w:r>
      <w:proofErr w:type="spellEnd"/>
      <w:r w:rsidRPr="00C826A5">
        <w:rPr>
          <w:rFonts w:asciiTheme="minorHAnsi" w:eastAsia="Times New Roman" w:hAnsiTheme="minorHAnsi" w:cstheme="minorHAnsi"/>
          <w:color w:val="000000" w:themeColor="text1"/>
          <w:kern w:val="36"/>
          <w:sz w:val="20"/>
          <w:szCs w:val="20"/>
          <w:lang w:eastAsia="en-GB"/>
        </w:rPr>
        <w:t>. Tom Sherrington and Oliver Caviglioli</w:t>
      </w:r>
    </w:p>
  </w:footnote>
  <w:footnote w:id="8">
    <w:p w14:paraId="2C8C2113" w14:textId="77777777" w:rsidR="001A6B64" w:rsidRPr="00C826A5" w:rsidRDefault="001A6B64" w:rsidP="001A6B64">
      <w:pPr>
        <w:pStyle w:val="FootnoteText"/>
        <w:rPr>
          <w:rFonts w:cstheme="minorHAnsi"/>
          <w:color w:val="000000" w:themeColor="text1"/>
        </w:rPr>
      </w:pPr>
      <w:r w:rsidRPr="00C826A5">
        <w:rPr>
          <w:rStyle w:val="FootnoteReference"/>
          <w:color w:val="000000" w:themeColor="text1"/>
        </w:rPr>
        <w:footnoteRef/>
      </w:r>
      <w:r w:rsidRPr="00C826A5">
        <w:rPr>
          <w:color w:val="000000" w:themeColor="text1"/>
        </w:rPr>
        <w:t xml:space="preserve"> </w:t>
      </w:r>
      <w:r w:rsidRPr="00C826A5">
        <w:rPr>
          <w:rFonts w:cstheme="minorHAnsi"/>
          <w:color w:val="000000" w:themeColor="text1"/>
          <w:shd w:val="clear" w:color="auto" w:fill="FFFFFF"/>
        </w:rPr>
        <w:t>Knight, J., 2017. </w:t>
      </w:r>
      <w:r w:rsidRPr="00C826A5">
        <w:rPr>
          <w:rFonts w:cstheme="minorHAnsi"/>
          <w:i/>
          <w:iCs/>
          <w:color w:val="000000" w:themeColor="text1"/>
          <w:shd w:val="clear" w:color="auto" w:fill="FFFFFF"/>
        </w:rPr>
        <w:t>The impact cycle: What instructional coaches should do to foster powerful improvements in teaching</w:t>
      </w:r>
      <w:r w:rsidRPr="00C826A5">
        <w:rPr>
          <w:rFonts w:cstheme="minorHAnsi"/>
          <w:color w:val="000000" w:themeColor="text1"/>
          <w:shd w:val="clear" w:color="auto" w:fill="FFFFFF"/>
        </w:rPr>
        <w:t>. Corwin Press.</w:t>
      </w:r>
    </w:p>
  </w:footnote>
  <w:footnote w:id="9">
    <w:p w14:paraId="16DD942C" w14:textId="77777777" w:rsidR="001A6B64" w:rsidRPr="00DD5847" w:rsidRDefault="001A6B64" w:rsidP="001A6B64">
      <w:pPr>
        <w:rPr>
          <w:sz w:val="20"/>
          <w:szCs w:val="20"/>
        </w:rPr>
      </w:pPr>
      <w:r>
        <w:rPr>
          <w:rStyle w:val="FootnoteReference"/>
        </w:rPr>
        <w:footnoteRef/>
      </w:r>
      <w:r>
        <w:t xml:space="preserve"> </w:t>
      </w:r>
      <w:hyperlink r:id="rId3" w:history="1">
        <w:r w:rsidRPr="00DD5847">
          <w:rPr>
            <w:rStyle w:val="Hyperlink"/>
            <w:sz w:val="20"/>
            <w:szCs w:val="20"/>
          </w:rPr>
          <w:t>https://resources.corwin.com/impactcycle/student-resources/instructional-coaches%E2%80%99-toolkit</w:t>
        </w:r>
      </w:hyperlink>
    </w:p>
    <w:p w14:paraId="4D8A0D49" w14:textId="77777777" w:rsidR="001A6B64" w:rsidRDefault="001A6B64" w:rsidP="001A6B64">
      <w:pPr>
        <w:pStyle w:val="FootnoteText"/>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D9B"/>
    <w:rsid w:val="000B2614"/>
    <w:rsid w:val="00124477"/>
    <w:rsid w:val="00182A7D"/>
    <w:rsid w:val="001A6B64"/>
    <w:rsid w:val="0024542A"/>
    <w:rsid w:val="002A56DF"/>
    <w:rsid w:val="003616D5"/>
    <w:rsid w:val="003F68C0"/>
    <w:rsid w:val="00424FAB"/>
    <w:rsid w:val="0055537B"/>
    <w:rsid w:val="00585225"/>
    <w:rsid w:val="00585289"/>
    <w:rsid w:val="00596832"/>
    <w:rsid w:val="0061003F"/>
    <w:rsid w:val="006151DA"/>
    <w:rsid w:val="006A1DA0"/>
    <w:rsid w:val="00807F82"/>
    <w:rsid w:val="0085603E"/>
    <w:rsid w:val="0087109F"/>
    <w:rsid w:val="0094603E"/>
    <w:rsid w:val="00995D9B"/>
    <w:rsid w:val="00A52B30"/>
    <w:rsid w:val="00BC67F1"/>
    <w:rsid w:val="00DA6E8A"/>
    <w:rsid w:val="00E2176B"/>
    <w:rsid w:val="00E9666A"/>
    <w:rsid w:val="00F837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15B1AD"/>
  <w15:chartTrackingRefBased/>
  <w15:docId w15:val="{EFB03689-44EA-4E4A-84B1-F94649BDA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1003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95D9B"/>
    <w:rPr>
      <w:color w:val="0000FF"/>
      <w:u w:val="single"/>
    </w:rPr>
  </w:style>
  <w:style w:type="paragraph" w:styleId="NormalWeb">
    <w:name w:val="Normal (Web)"/>
    <w:basedOn w:val="Normal"/>
    <w:uiPriority w:val="99"/>
    <w:semiHidden/>
    <w:unhideWhenUsed/>
    <w:rsid w:val="006151D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noteText">
    <w:name w:val="footnote text"/>
    <w:basedOn w:val="Normal"/>
    <w:link w:val="FootnoteTextChar"/>
    <w:uiPriority w:val="99"/>
    <w:semiHidden/>
    <w:unhideWhenUsed/>
    <w:rsid w:val="006151D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151DA"/>
    <w:rPr>
      <w:sz w:val="20"/>
      <w:szCs w:val="20"/>
    </w:rPr>
  </w:style>
  <w:style w:type="character" w:styleId="FootnoteReference">
    <w:name w:val="footnote reference"/>
    <w:basedOn w:val="DefaultParagraphFont"/>
    <w:uiPriority w:val="99"/>
    <w:semiHidden/>
    <w:unhideWhenUsed/>
    <w:rsid w:val="006151DA"/>
    <w:rPr>
      <w:vertAlign w:val="superscript"/>
    </w:rPr>
  </w:style>
  <w:style w:type="character" w:styleId="Emphasis">
    <w:name w:val="Emphasis"/>
    <w:basedOn w:val="DefaultParagraphFont"/>
    <w:uiPriority w:val="20"/>
    <w:qFormat/>
    <w:rsid w:val="00424FAB"/>
    <w:rPr>
      <w:i/>
      <w:iCs/>
    </w:rPr>
  </w:style>
  <w:style w:type="character" w:customStyle="1" w:styleId="Heading1Char">
    <w:name w:val="Heading 1 Char"/>
    <w:basedOn w:val="DefaultParagraphFont"/>
    <w:link w:val="Heading1"/>
    <w:uiPriority w:val="9"/>
    <w:rsid w:val="0061003F"/>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E217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176B"/>
  </w:style>
  <w:style w:type="paragraph" w:styleId="Footer">
    <w:name w:val="footer"/>
    <w:basedOn w:val="Normal"/>
    <w:link w:val="FooterChar"/>
    <w:uiPriority w:val="99"/>
    <w:unhideWhenUsed/>
    <w:rsid w:val="00E217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176B"/>
  </w:style>
  <w:style w:type="character" w:styleId="FollowedHyperlink">
    <w:name w:val="FollowedHyperlink"/>
    <w:basedOn w:val="DefaultParagraphFont"/>
    <w:uiPriority w:val="99"/>
    <w:semiHidden/>
    <w:unhideWhenUsed/>
    <w:rsid w:val="0055537B"/>
    <w:rPr>
      <w:color w:val="954F72" w:themeColor="followedHyperlink"/>
      <w:u w:val="single"/>
    </w:rPr>
  </w:style>
  <w:style w:type="character" w:styleId="Strong">
    <w:name w:val="Strong"/>
    <w:basedOn w:val="DefaultParagraphFont"/>
    <w:uiPriority w:val="22"/>
    <w:qFormat/>
    <w:rsid w:val="001A6B6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42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rowthcoaching.com.au/articles-new/context-context-context-implementing-coaching-in-schools?country=au"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growthcoaching.com.au/podcasts/using-a-coaching-approach-to-grow-the-capacity-of-beginning-teachers"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resources.corwin.com/impactcycle/student-resources/instructional-coaches%E2%80%99-toolkit" TargetMode="External"/><Relationship Id="rId2" Type="http://schemas.openxmlformats.org/officeDocument/2006/relationships/hyperlink" Target="https://www.growthcoaching.com.au/" TargetMode="External"/><Relationship Id="rId1" Type="http://schemas.openxmlformats.org/officeDocument/2006/relationships/hyperlink" Target="https://eu.bbcollab.com/collab/ui/session/playba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7547C6-0F70-40E9-82D3-28DF09D40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558</Words>
  <Characters>3185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Hamer, Kate</dc:creator>
  <cp:keywords/>
  <dc:description/>
  <cp:lastModifiedBy>Walker, Alexandra</cp:lastModifiedBy>
  <cp:revision>2</cp:revision>
  <dcterms:created xsi:type="dcterms:W3CDTF">2020-12-14T10:02:00Z</dcterms:created>
  <dcterms:modified xsi:type="dcterms:W3CDTF">2020-12-14T10:02:00Z</dcterms:modified>
</cp:coreProperties>
</file>