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Y="-539"/>
        <w:tblW w:w="4965" w:type="pct"/>
        <w:tblLook w:val="04A0" w:firstRow="1" w:lastRow="0" w:firstColumn="1" w:lastColumn="0" w:noHBand="0" w:noVBand="1"/>
      </w:tblPr>
      <w:tblGrid>
        <w:gridCol w:w="1777"/>
        <w:gridCol w:w="133"/>
        <w:gridCol w:w="1391"/>
        <w:gridCol w:w="1715"/>
        <w:gridCol w:w="8834"/>
      </w:tblGrid>
      <w:tr w:rsidR="001E541E" w14:paraId="4ABA4A69" w14:textId="77777777" w:rsidTr="006953DB">
        <w:tc>
          <w:tcPr>
            <w:tcW w:w="5000" w:type="pct"/>
            <w:gridSpan w:val="5"/>
          </w:tcPr>
          <w:p w14:paraId="67D0A797" w14:textId="77777777" w:rsidR="001E541E" w:rsidRPr="00A432BB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Minutes Template</w:t>
            </w:r>
          </w:p>
        </w:tc>
      </w:tr>
      <w:tr w:rsidR="001E541E" w14:paraId="1C653E0F" w14:textId="77777777" w:rsidTr="006953DB">
        <w:tc>
          <w:tcPr>
            <w:tcW w:w="5000" w:type="pct"/>
            <w:gridSpan w:val="5"/>
          </w:tcPr>
          <w:p w14:paraId="67C56FF7" w14:textId="68B24710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Meeting Name: </w:t>
            </w: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Secondary-Phase</w:t>
            </w:r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 WaSP Group</w:t>
            </w:r>
          </w:p>
        </w:tc>
      </w:tr>
      <w:tr w:rsidR="001E541E" w14:paraId="62217916" w14:textId="77777777" w:rsidTr="006953DB">
        <w:tc>
          <w:tcPr>
            <w:tcW w:w="1192" w:type="pct"/>
            <w:gridSpan w:val="3"/>
          </w:tcPr>
          <w:p w14:paraId="730A8B6E" w14:textId="77777777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Time</w:t>
            </w:r>
          </w:p>
        </w:tc>
        <w:tc>
          <w:tcPr>
            <w:tcW w:w="619" w:type="pct"/>
          </w:tcPr>
          <w:p w14:paraId="7693EDD3" w14:textId="30EA4F25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15</w:t>
            </w:r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.</w:t>
            </w: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05</w:t>
            </w:r>
          </w:p>
        </w:tc>
        <w:tc>
          <w:tcPr>
            <w:tcW w:w="3189" w:type="pct"/>
            <w:vMerge w:val="restart"/>
          </w:tcPr>
          <w:p w14:paraId="2417A307" w14:textId="77777777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Minute Taker:</w:t>
            </w: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Mark Christensen</w:t>
            </w:r>
          </w:p>
          <w:p w14:paraId="39D60242" w14:textId="615BB62D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Chair: Andy Hind</w:t>
            </w:r>
          </w:p>
        </w:tc>
      </w:tr>
      <w:tr w:rsidR="001E541E" w14:paraId="202A849A" w14:textId="77777777" w:rsidTr="006953DB">
        <w:tc>
          <w:tcPr>
            <w:tcW w:w="1192" w:type="pct"/>
            <w:gridSpan w:val="3"/>
          </w:tcPr>
          <w:p w14:paraId="392F3C66" w14:textId="77777777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Date</w:t>
            </w:r>
          </w:p>
        </w:tc>
        <w:tc>
          <w:tcPr>
            <w:tcW w:w="619" w:type="pct"/>
          </w:tcPr>
          <w:p w14:paraId="642CF51C" w14:textId="3BF529ED" w:rsidR="001E541E" w:rsidRPr="006D497F" w:rsidRDefault="0008448F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02</w:t>
            </w:r>
            <w:r w:rsidR="001E541E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.</w:t>
            </w: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12</w:t>
            </w:r>
            <w:r w:rsidR="001E541E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.2021</w:t>
            </w:r>
          </w:p>
        </w:tc>
        <w:tc>
          <w:tcPr>
            <w:tcW w:w="3189" w:type="pct"/>
            <w:vMerge/>
          </w:tcPr>
          <w:p w14:paraId="2BC42E21" w14:textId="77777777" w:rsidR="001E541E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1E541E" w14:paraId="1832FC3F" w14:textId="77777777" w:rsidTr="006953DB">
        <w:trPr>
          <w:trHeight w:val="596"/>
        </w:trPr>
        <w:tc>
          <w:tcPr>
            <w:tcW w:w="690" w:type="pct"/>
            <w:gridSpan w:val="2"/>
          </w:tcPr>
          <w:p w14:paraId="1A2DCEE8" w14:textId="7F3D719B" w:rsidR="001E541E" w:rsidRPr="00C94CEA" w:rsidRDefault="001E541E" w:rsidP="006953D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1a. </w:t>
            </w:r>
            <w:r w:rsidR="00162AD2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No of </w:t>
            </w: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Attendees: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br/>
            </w:r>
          </w:p>
        </w:tc>
        <w:tc>
          <w:tcPr>
            <w:tcW w:w="4310" w:type="pct"/>
            <w:gridSpan w:val="3"/>
          </w:tcPr>
          <w:p w14:paraId="6A674E47" w14:textId="3DD593B0" w:rsidR="001E541E" w:rsidRPr="009442E6" w:rsidRDefault="00406F22" w:rsidP="006953D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lang w:eastAsia="en-GB"/>
              </w:rPr>
            </w:pPr>
            <w:r>
              <w:rPr>
                <w:rFonts w:eastAsia="Times New Roman" w:cstheme="minorHAnsi"/>
                <w:color w:val="111111"/>
                <w:lang w:eastAsia="en-GB"/>
              </w:rPr>
              <w:t>24</w:t>
            </w:r>
            <w:r w:rsidR="001E541E">
              <w:rPr>
                <w:rFonts w:eastAsia="Times New Roman" w:cstheme="minorHAnsi"/>
                <w:color w:val="111111"/>
                <w:lang w:eastAsia="en-GB"/>
              </w:rPr>
              <w:t xml:space="preserve"> Attendees</w:t>
            </w:r>
            <w:r w:rsidR="00162AD2">
              <w:rPr>
                <w:rFonts w:eastAsia="Times New Roman" w:cstheme="minorHAnsi"/>
                <w:color w:val="111111"/>
                <w:lang w:eastAsia="en-GB"/>
              </w:rPr>
              <w:t>.</w:t>
            </w:r>
          </w:p>
        </w:tc>
      </w:tr>
      <w:tr w:rsidR="001E541E" w14:paraId="0699BBBE" w14:textId="77777777" w:rsidTr="006953DB">
        <w:tc>
          <w:tcPr>
            <w:tcW w:w="642" w:type="pct"/>
          </w:tcPr>
          <w:p w14:paraId="7703B96D" w14:textId="77777777" w:rsidR="001E541E" w:rsidRPr="00452C1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1b. </w:t>
            </w:r>
            <w:r w:rsidRPr="00452C1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Apologies: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4358" w:type="pct"/>
            <w:gridSpan w:val="4"/>
          </w:tcPr>
          <w:p w14:paraId="64ED81CF" w14:textId="54BCDF59" w:rsidR="001E541E" w:rsidRPr="00004AEA" w:rsidRDefault="00F17EF6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N/A</w:t>
            </w:r>
          </w:p>
        </w:tc>
      </w:tr>
      <w:tr w:rsidR="001E541E" w14:paraId="70218127" w14:textId="77777777" w:rsidTr="006953DB">
        <w:trPr>
          <w:trHeight w:val="1808"/>
        </w:trPr>
        <w:tc>
          <w:tcPr>
            <w:tcW w:w="1192" w:type="pct"/>
            <w:gridSpan w:val="3"/>
          </w:tcPr>
          <w:p w14:paraId="52C41DD2" w14:textId="77777777" w:rsidR="001E541E" w:rsidRPr="00452C1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452C1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Agenda Items:</w:t>
            </w:r>
          </w:p>
        </w:tc>
        <w:tc>
          <w:tcPr>
            <w:tcW w:w="3808" w:type="pct"/>
            <w:gridSpan w:val="2"/>
          </w:tcPr>
          <w:p w14:paraId="751CE246" w14:textId="23ED9F0A" w:rsidR="001E541E" w:rsidRPr="001E541E" w:rsidRDefault="0008448F" w:rsidP="0008448F">
            <w:pPr>
              <w:pStyle w:val="ListParagraph"/>
              <w:numPr>
                <w:ilvl w:val="0"/>
                <w:numId w:val="2"/>
              </w:numPr>
            </w:pPr>
            <w:r w:rsidRPr="0008448F">
              <w:rPr>
                <w:rFonts w:asciiTheme="majorHAnsi" w:hAnsiTheme="majorHAnsi" w:cstheme="majorHAnsi"/>
                <w:color w:val="000000"/>
              </w:rPr>
              <w:t>ITT curriculum collaborative provision and integration of university and school-based components. Discussion with partners on challenges and models of good practice.</w:t>
            </w:r>
          </w:p>
        </w:tc>
      </w:tr>
    </w:tbl>
    <w:p w14:paraId="22A1DFFC" w14:textId="63A4A447" w:rsidR="005C4B9F" w:rsidRDefault="005C4B9F" w:rsidP="00AC27F3"/>
    <w:tbl>
      <w:tblPr>
        <w:tblStyle w:val="TableGrid"/>
        <w:tblpPr w:leftFromText="180" w:rightFromText="180" w:vertAnchor="text" w:horzAnchor="page" w:tblpX="1590" w:tblpY="-340"/>
        <w:tblW w:w="4927" w:type="pct"/>
        <w:tblLayout w:type="fixed"/>
        <w:tblLook w:val="04A0" w:firstRow="1" w:lastRow="0" w:firstColumn="1" w:lastColumn="0" w:noHBand="0" w:noVBand="1"/>
      </w:tblPr>
      <w:tblGrid>
        <w:gridCol w:w="3114"/>
        <w:gridCol w:w="7653"/>
        <w:gridCol w:w="2977"/>
      </w:tblGrid>
      <w:tr w:rsidR="00F17EF6" w:rsidRPr="0081456B" w14:paraId="204613B5" w14:textId="77777777" w:rsidTr="00BB25D8">
        <w:tc>
          <w:tcPr>
            <w:tcW w:w="1133" w:type="pct"/>
          </w:tcPr>
          <w:p w14:paraId="77A1ABDF" w14:textId="0E631D98" w:rsidR="00F17EF6" w:rsidRPr="0008448F" w:rsidRDefault="0008448F" w:rsidP="0008448F">
            <w:pPr>
              <w:pStyle w:val="ListParagraph"/>
              <w:numPr>
                <w:ilvl w:val="0"/>
                <w:numId w:val="3"/>
              </w:numPr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/>
              </w:rPr>
              <w:lastRenderedPageBreak/>
              <w:t>ITT curriculum collaborative provision and integration of university and school-based components. Discussion with partners on challenges and models of good practice.</w:t>
            </w:r>
          </w:p>
        </w:tc>
        <w:tc>
          <w:tcPr>
            <w:tcW w:w="2784" w:type="pct"/>
          </w:tcPr>
          <w:p w14:paraId="030EA75B" w14:textId="720664BD" w:rsidR="00F40471" w:rsidRDefault="00406F22" w:rsidP="00BB25D8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Jonty Leese </w:t>
            </w:r>
            <w:r w:rsidR="00F40471">
              <w:rPr>
                <w:rFonts w:eastAsia="Times New Roman"/>
                <w:sz w:val="24"/>
                <w:szCs w:val="24"/>
              </w:rPr>
              <w:t xml:space="preserve">introduce Bob Finch, the assistant Maths hub Lead for Origin, which </w:t>
            </w:r>
            <w:r w:rsidR="00F40471">
              <w:rPr>
                <w:rFonts w:eastAsia="Times New Roman"/>
                <w:sz w:val="24"/>
                <w:szCs w:val="24"/>
              </w:rPr>
              <w:t xml:space="preserve">works to improve outcomes and Maths </w:t>
            </w:r>
            <w:r w:rsidR="00F40471">
              <w:rPr>
                <w:rFonts w:eastAsia="Times New Roman"/>
                <w:sz w:val="24"/>
                <w:szCs w:val="24"/>
              </w:rPr>
              <w:t xml:space="preserve">pedagogy  – NCETM.org.uk </w:t>
            </w:r>
            <w:hyperlink r:id="rId5" w:tgtFrame="_blank" w:history="1">
              <w:r w:rsidR="00F40471">
                <w:rPr>
                  <w:rStyle w:val="Hyperlink"/>
                  <w:rFonts w:ascii="Arial" w:hAnsi="Arial" w:cs="Arial"/>
                  <w:color w:val="2075A3"/>
                  <w:sz w:val="21"/>
                  <w:szCs w:val="21"/>
                  <w:shd w:val="clear" w:color="auto" w:fill="EBFBFF"/>
                </w:rPr>
                <w:t>originmathshub.tgacademy.org.uk</w:t>
              </w:r>
            </w:hyperlink>
            <w:r w:rsidR="003B001B">
              <w:t xml:space="preserve"> -  </w:t>
            </w:r>
            <w:hyperlink r:id="rId6" w:tgtFrame="_blank" w:history="1">
              <w:r w:rsidR="003B001B">
                <w:rPr>
                  <w:rStyle w:val="Hyperlink"/>
                  <w:rFonts w:ascii="Arial" w:hAnsi="Arial" w:cs="Arial"/>
                  <w:color w:val="2075A3"/>
                  <w:sz w:val="21"/>
                  <w:szCs w:val="21"/>
                  <w:shd w:val="clear" w:color="auto" w:fill="FFFFFF"/>
                </w:rPr>
                <w:t>robert.finch@ke6n.ac.uk</w:t>
              </w:r>
            </w:hyperlink>
          </w:p>
          <w:p w14:paraId="0970913A" w14:textId="519EEA4C" w:rsidR="00F40471" w:rsidRPr="00353C7A" w:rsidRDefault="00F40471" w:rsidP="00130B71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Bob asked if anyone would like to </w:t>
            </w:r>
            <w:r w:rsidR="003B001B">
              <w:rPr>
                <w:rFonts w:eastAsia="Times New Roman"/>
                <w:sz w:val="24"/>
                <w:szCs w:val="24"/>
              </w:rPr>
              <w:t>engage</w:t>
            </w:r>
            <w:r>
              <w:rPr>
                <w:rFonts w:eastAsia="Times New Roman"/>
                <w:sz w:val="24"/>
                <w:szCs w:val="24"/>
              </w:rPr>
              <w:t xml:space="preserve"> in th</w:t>
            </w:r>
            <w:r w:rsidR="003B001B">
              <w:rPr>
                <w:rFonts w:eastAsia="Times New Roman"/>
                <w:sz w:val="24"/>
                <w:szCs w:val="24"/>
              </w:rPr>
              <w:t>e</w:t>
            </w:r>
            <w:r>
              <w:rPr>
                <w:rFonts w:eastAsia="Times New Roman"/>
                <w:sz w:val="24"/>
                <w:szCs w:val="24"/>
              </w:rPr>
              <w:t>s</w:t>
            </w:r>
            <w:r w:rsidR="003B001B">
              <w:rPr>
                <w:rFonts w:eastAsia="Times New Roman"/>
                <w:sz w:val="24"/>
                <w:szCs w:val="24"/>
              </w:rPr>
              <w:t>e</w:t>
            </w:r>
            <w:r>
              <w:rPr>
                <w:rFonts w:eastAsia="Times New Roman"/>
                <w:sz w:val="24"/>
                <w:szCs w:val="24"/>
              </w:rPr>
              <w:t xml:space="preserve"> process</w:t>
            </w:r>
            <w:r w:rsidR="003B001B">
              <w:rPr>
                <w:rFonts w:eastAsia="Times New Roman"/>
                <w:sz w:val="24"/>
                <w:szCs w:val="24"/>
              </w:rPr>
              <w:t>es</w:t>
            </w:r>
            <w:r>
              <w:rPr>
                <w:rFonts w:eastAsia="Times New Roman"/>
                <w:sz w:val="24"/>
                <w:szCs w:val="24"/>
              </w:rPr>
              <w:t xml:space="preserve">, which </w:t>
            </w:r>
            <w:r w:rsidR="003B001B">
              <w:rPr>
                <w:rFonts w:eastAsia="Times New Roman"/>
                <w:sz w:val="24"/>
                <w:szCs w:val="24"/>
              </w:rPr>
              <w:t>are</w:t>
            </w:r>
            <w:r>
              <w:rPr>
                <w:rFonts w:eastAsia="Times New Roman"/>
                <w:sz w:val="24"/>
                <w:szCs w:val="24"/>
              </w:rPr>
              <w:t xml:space="preserve"> free, then please access the links above</w:t>
            </w:r>
            <w:r w:rsidR="003B001B">
              <w:rPr>
                <w:rFonts w:eastAsia="Times New Roman"/>
                <w:sz w:val="24"/>
                <w:szCs w:val="24"/>
              </w:rPr>
              <w:t xml:space="preserve"> or email Bob directly.</w:t>
            </w:r>
          </w:p>
        </w:tc>
        <w:tc>
          <w:tcPr>
            <w:tcW w:w="1083" w:type="pct"/>
          </w:tcPr>
          <w:p w14:paraId="506D8DB5" w14:textId="77777777" w:rsidR="00F17EF6" w:rsidRDefault="00F17EF6" w:rsidP="00BB25D8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  <w:p w14:paraId="1203EB2B" w14:textId="14E6FD84" w:rsidR="00406F22" w:rsidRDefault="00406F22" w:rsidP="005E1560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15:09</w:t>
            </w:r>
          </w:p>
          <w:p w14:paraId="5B90CA34" w14:textId="6F018F3B" w:rsidR="005E1560" w:rsidRDefault="005E1560" w:rsidP="005E1560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Start Time: </w:t>
            </w:r>
            <w:r w:rsidR="00F04A02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00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mins </w:t>
            </w:r>
            <w:r w:rsidR="00F04A02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00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sec</w:t>
            </w:r>
          </w:p>
          <w:p w14:paraId="15E228DB" w14:textId="6CDFAA2F" w:rsidR="00F17EF6" w:rsidRPr="0081456B" w:rsidRDefault="00F17EF6" w:rsidP="00BB25D8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3B001B" w:rsidRPr="0081456B" w14:paraId="191E2535" w14:textId="77777777" w:rsidTr="00BB25D8">
        <w:tc>
          <w:tcPr>
            <w:tcW w:w="1133" w:type="pct"/>
          </w:tcPr>
          <w:p w14:paraId="195275FA" w14:textId="77777777" w:rsidR="003B001B" w:rsidRDefault="003B001B" w:rsidP="0008448F">
            <w:pPr>
              <w:pStyle w:val="ListParagraph"/>
              <w:numPr>
                <w:ilvl w:val="0"/>
                <w:numId w:val="3"/>
              </w:numPr>
              <w:rPr>
                <w:rFonts w:asciiTheme="majorHAnsi" w:hAnsiTheme="majorHAnsi" w:cstheme="majorHAnsi"/>
                <w:color w:val="000000"/>
              </w:rPr>
            </w:pPr>
          </w:p>
        </w:tc>
        <w:tc>
          <w:tcPr>
            <w:tcW w:w="2784" w:type="pct"/>
          </w:tcPr>
          <w:p w14:paraId="2CAF1C4D" w14:textId="77777777" w:rsidR="00825982" w:rsidRDefault="00130B71" w:rsidP="00130B71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Catriona Reardon from the Lion Alliance discussed</w:t>
            </w:r>
            <w:r>
              <w:rPr>
                <w:rFonts w:eastAsia="Times New Roman"/>
                <w:sz w:val="24"/>
                <w:szCs w:val="24"/>
              </w:rPr>
              <w:t>,</w:t>
            </w:r>
            <w:r>
              <w:rPr>
                <w:rFonts w:eastAsia="Times New Roman"/>
                <w:sz w:val="24"/>
                <w:szCs w:val="24"/>
              </w:rPr>
              <w:t xml:space="preserve"> </w:t>
            </w:r>
            <w:r>
              <w:rPr>
                <w:rFonts w:eastAsia="Times New Roman"/>
                <w:sz w:val="24"/>
                <w:szCs w:val="24"/>
              </w:rPr>
              <w:t xml:space="preserve">with slides, </w:t>
            </w:r>
            <w:r>
              <w:rPr>
                <w:rFonts w:eastAsia="Times New Roman"/>
                <w:sz w:val="24"/>
                <w:szCs w:val="24"/>
              </w:rPr>
              <w:t>her experience of embedding and deliver</w:t>
            </w:r>
            <w:r>
              <w:rPr>
                <w:rFonts w:eastAsia="Times New Roman"/>
                <w:sz w:val="24"/>
                <w:szCs w:val="24"/>
              </w:rPr>
              <w:t xml:space="preserve">ing </w:t>
            </w:r>
            <w:r>
              <w:rPr>
                <w:rFonts w:eastAsia="Times New Roman"/>
                <w:sz w:val="24"/>
                <w:szCs w:val="24"/>
              </w:rPr>
              <w:t>the CCF</w:t>
            </w:r>
            <w:r w:rsidR="003E676F">
              <w:rPr>
                <w:rFonts w:eastAsia="Times New Roman"/>
                <w:sz w:val="24"/>
                <w:szCs w:val="24"/>
              </w:rPr>
              <w:t xml:space="preserve"> - t</w:t>
            </w:r>
            <w:r w:rsidR="003E676F">
              <w:rPr>
                <w:rFonts w:ascii="Arial" w:hAnsi="Arial" w:cs="Arial"/>
                <w:color w:val="262626"/>
                <w:sz w:val="21"/>
                <w:szCs w:val="21"/>
                <w:shd w:val="clear" w:color="auto" w:fill="FFFFFF"/>
              </w:rPr>
              <w:t>he link between the CCF</w:t>
            </w:r>
            <w:r w:rsidR="00825982">
              <w:rPr>
                <w:rFonts w:ascii="Arial" w:hAnsi="Arial" w:cs="Arial"/>
                <w:color w:val="262626"/>
                <w:sz w:val="21"/>
                <w:szCs w:val="21"/>
                <w:shd w:val="clear" w:color="auto" w:fill="FFFFFF"/>
              </w:rPr>
              <w:t>,</w:t>
            </w:r>
            <w:r w:rsidR="003E676F">
              <w:rPr>
                <w:rFonts w:ascii="Arial" w:hAnsi="Arial" w:cs="Arial"/>
                <w:color w:val="262626"/>
                <w:sz w:val="21"/>
                <w:szCs w:val="21"/>
                <w:shd w:val="clear" w:color="auto" w:fill="FFFFFF"/>
              </w:rPr>
              <w:t xml:space="preserve"> the coaching model</w:t>
            </w:r>
            <w:r w:rsidR="00825982">
              <w:rPr>
                <w:rFonts w:ascii="Arial" w:hAnsi="Arial" w:cs="Arial"/>
                <w:color w:val="262626"/>
                <w:sz w:val="21"/>
                <w:szCs w:val="21"/>
                <w:shd w:val="clear" w:color="auto" w:fill="FFFFFF"/>
              </w:rPr>
              <w:t xml:space="preserve"> and </w:t>
            </w:r>
            <w:r w:rsidR="003E676F">
              <w:rPr>
                <w:rFonts w:ascii="Arial" w:hAnsi="Arial" w:cs="Arial"/>
                <w:color w:val="262626"/>
                <w:sz w:val="21"/>
                <w:szCs w:val="21"/>
                <w:shd w:val="clear" w:color="auto" w:fill="FFFFFF"/>
              </w:rPr>
              <w:t>walkthr</w:t>
            </w:r>
            <w:r w:rsidR="003E676F">
              <w:rPr>
                <w:rFonts w:ascii="Arial" w:hAnsi="Arial" w:cs="Arial"/>
                <w:color w:val="262626"/>
                <w:sz w:val="21"/>
                <w:szCs w:val="21"/>
                <w:shd w:val="clear" w:color="auto" w:fill="FFFFFF"/>
              </w:rPr>
              <w:t>oughs</w:t>
            </w:r>
            <w:r>
              <w:rPr>
                <w:rFonts w:eastAsia="Times New Roman"/>
                <w:sz w:val="24"/>
                <w:szCs w:val="24"/>
              </w:rPr>
              <w:t>.</w:t>
            </w:r>
          </w:p>
          <w:p w14:paraId="6FC02C83" w14:textId="54DD6F97" w:rsidR="00130B71" w:rsidRDefault="00130B71" w:rsidP="00130B71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Key points include the linking of resources for mentors from Warwick materials</w:t>
            </w:r>
            <w:r w:rsidR="00093289">
              <w:rPr>
                <w:rFonts w:eastAsia="Times New Roman"/>
                <w:sz w:val="24"/>
                <w:szCs w:val="24"/>
              </w:rPr>
              <w:t xml:space="preserve"> (timetable, key dates etc)</w:t>
            </w:r>
            <w:r>
              <w:rPr>
                <w:rFonts w:eastAsia="Times New Roman"/>
                <w:sz w:val="24"/>
                <w:szCs w:val="24"/>
              </w:rPr>
              <w:t>, and integrating strong practices from other provider requirements</w:t>
            </w:r>
            <w:r w:rsidR="00093289">
              <w:rPr>
                <w:rFonts w:eastAsia="Times New Roman"/>
                <w:sz w:val="24"/>
                <w:szCs w:val="24"/>
              </w:rPr>
              <w:t xml:space="preserve"> for Warwick trainees – such as the inclusion of SEND experience within the trainee timetable.</w:t>
            </w:r>
          </w:p>
          <w:p w14:paraId="46AED206" w14:textId="48671469" w:rsidR="003E676F" w:rsidRDefault="003E676F" w:rsidP="00130B71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Resources from this review can be shared with partners.</w:t>
            </w:r>
          </w:p>
          <w:p w14:paraId="0B84AFA5" w14:textId="77777777" w:rsidR="003B001B" w:rsidRDefault="003B001B" w:rsidP="00BB25D8">
            <w:pPr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1083" w:type="pct"/>
          </w:tcPr>
          <w:p w14:paraId="3D114B89" w14:textId="747CF2BE" w:rsidR="00130B71" w:rsidRDefault="00130B71" w:rsidP="00130B71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15:16</w:t>
            </w:r>
          </w:p>
          <w:p w14:paraId="61CF919C" w14:textId="367A3A3B" w:rsidR="00F04A02" w:rsidRDefault="00F04A02" w:rsidP="00F04A0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Start Time: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17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mins 00sec</w:t>
            </w:r>
          </w:p>
          <w:p w14:paraId="78795570" w14:textId="77777777" w:rsidR="00F04A02" w:rsidRDefault="00F04A02" w:rsidP="00130B71">
            <w:pPr>
              <w:rPr>
                <w:rFonts w:eastAsia="Times New Roman"/>
                <w:sz w:val="24"/>
                <w:szCs w:val="24"/>
              </w:rPr>
            </w:pPr>
          </w:p>
          <w:p w14:paraId="7C530CC7" w14:textId="77777777" w:rsidR="003B001B" w:rsidRDefault="003B001B" w:rsidP="00BB25D8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130B71" w:rsidRPr="0081456B" w14:paraId="2DC0265A" w14:textId="77777777" w:rsidTr="00BB25D8">
        <w:tc>
          <w:tcPr>
            <w:tcW w:w="1133" w:type="pct"/>
          </w:tcPr>
          <w:p w14:paraId="6D516DFC" w14:textId="77777777" w:rsidR="00130B71" w:rsidRDefault="00130B71" w:rsidP="0008448F">
            <w:pPr>
              <w:pStyle w:val="ListParagraph"/>
              <w:numPr>
                <w:ilvl w:val="0"/>
                <w:numId w:val="3"/>
              </w:numPr>
              <w:rPr>
                <w:rFonts w:asciiTheme="majorHAnsi" w:hAnsiTheme="majorHAnsi" w:cstheme="majorHAnsi"/>
                <w:color w:val="000000"/>
              </w:rPr>
            </w:pPr>
          </w:p>
        </w:tc>
        <w:tc>
          <w:tcPr>
            <w:tcW w:w="2784" w:type="pct"/>
          </w:tcPr>
          <w:p w14:paraId="67F55C13" w14:textId="4E0EE7D8" w:rsidR="00130B71" w:rsidRDefault="003E676F" w:rsidP="00130B71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Jonty Leese spoke about alliance days – in particular a 2-page infographic outlining the planning an outstanding Alliance day. This infographic is linked here: </w:t>
            </w:r>
            <w:hyperlink r:id="rId7" w:tgtFrame="_blank" w:history="1">
              <w:r>
                <w:rPr>
                  <w:rStyle w:val="Hyperlink"/>
                  <w:rFonts w:ascii="Arial" w:hAnsi="Arial" w:cs="Arial"/>
                  <w:color w:val="1A5E82"/>
                  <w:sz w:val="21"/>
                  <w:szCs w:val="21"/>
                  <w:shd w:val="clear" w:color="auto" w:fill="EBFBFF"/>
                </w:rPr>
                <w:t>https://tinyurl.com/bddwnffh</w:t>
              </w:r>
            </w:hyperlink>
          </w:p>
        </w:tc>
        <w:tc>
          <w:tcPr>
            <w:tcW w:w="1083" w:type="pct"/>
          </w:tcPr>
          <w:p w14:paraId="605362AC" w14:textId="77777777" w:rsidR="00BE5C01" w:rsidRDefault="003E676F" w:rsidP="00BE5C01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15:43</w:t>
            </w:r>
          </w:p>
          <w:p w14:paraId="05C8F49D" w14:textId="59850D12" w:rsidR="00726222" w:rsidRPr="00BE5C01" w:rsidRDefault="00726222" w:rsidP="00BE5C01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Start Time: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44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mins 00sec</w:t>
            </w:r>
          </w:p>
          <w:p w14:paraId="4ADA24BC" w14:textId="1084D564" w:rsidR="00726222" w:rsidRDefault="00726222" w:rsidP="00130B71">
            <w:pPr>
              <w:rPr>
                <w:rFonts w:eastAsia="Times New Roman"/>
                <w:sz w:val="24"/>
                <w:szCs w:val="24"/>
              </w:rPr>
            </w:pPr>
          </w:p>
        </w:tc>
      </w:tr>
      <w:tr w:rsidR="003E676F" w:rsidRPr="0081456B" w14:paraId="57809EBE" w14:textId="77777777" w:rsidTr="00BB25D8">
        <w:tc>
          <w:tcPr>
            <w:tcW w:w="1133" w:type="pct"/>
          </w:tcPr>
          <w:p w14:paraId="2A296785" w14:textId="4DC5130D" w:rsidR="003E676F" w:rsidRDefault="002E76BB" w:rsidP="0008448F">
            <w:pPr>
              <w:pStyle w:val="ListParagraph"/>
              <w:numPr>
                <w:ilvl w:val="0"/>
                <w:numId w:val="3"/>
              </w:numPr>
              <w:rPr>
                <w:rFonts w:asciiTheme="majorHAnsi" w:hAnsiTheme="majorHAnsi" w:cstheme="majorHAnsi"/>
                <w:color w:val="000000"/>
              </w:rPr>
            </w:pPr>
            <w:r>
              <w:rPr>
                <w:rFonts w:asciiTheme="majorHAnsi" w:hAnsiTheme="majorHAnsi" w:cstheme="majorHAnsi"/>
                <w:color w:val="000000"/>
              </w:rPr>
              <w:t>AOB</w:t>
            </w:r>
          </w:p>
        </w:tc>
        <w:tc>
          <w:tcPr>
            <w:tcW w:w="2784" w:type="pct"/>
          </w:tcPr>
          <w:p w14:paraId="21BFE4B5" w14:textId="2CE12A34" w:rsidR="00726222" w:rsidRDefault="002E76BB" w:rsidP="00130B71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Invitation for open forum – Michael Hancock from Coundon Court asked if CTE could provide placement information sooner, in order to facilitate </w:t>
            </w:r>
            <w:r>
              <w:rPr>
                <w:rFonts w:eastAsia="Times New Roman"/>
                <w:sz w:val="24"/>
                <w:szCs w:val="24"/>
              </w:rPr>
              <w:lastRenderedPageBreak/>
              <w:t>mentor training sooner – this will be reviewed between Secondary staff and Partnership to see if this is possible.</w:t>
            </w:r>
          </w:p>
          <w:p w14:paraId="2AF3FC0D" w14:textId="2C7EAE24" w:rsidR="00726222" w:rsidRDefault="00726222" w:rsidP="00130B71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Becky Wheeler discussed the provision for mentor training with Andy Hind, with reference to the ECF and CCF.</w:t>
            </w:r>
          </w:p>
          <w:p w14:paraId="117525D2" w14:textId="106A1B1D" w:rsidR="002E76BB" w:rsidRDefault="002E76BB" w:rsidP="00130B71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Meeting concluded at 1</w:t>
            </w:r>
            <w:r w:rsidR="00726222">
              <w:rPr>
                <w:rFonts w:eastAsia="Times New Roman"/>
                <w:sz w:val="24"/>
                <w:szCs w:val="24"/>
              </w:rPr>
              <w:t>6:0</w:t>
            </w:r>
            <w:r w:rsidR="00825982">
              <w:rPr>
                <w:rFonts w:eastAsia="Times New Roman"/>
                <w:sz w:val="24"/>
                <w:szCs w:val="24"/>
              </w:rPr>
              <w:t>2</w:t>
            </w:r>
          </w:p>
        </w:tc>
        <w:tc>
          <w:tcPr>
            <w:tcW w:w="1083" w:type="pct"/>
          </w:tcPr>
          <w:p w14:paraId="38E96110" w14:textId="77777777" w:rsidR="00726222" w:rsidRDefault="002E76BB" w:rsidP="0072622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lastRenderedPageBreak/>
              <w:t>15:46</w:t>
            </w:r>
          </w:p>
          <w:p w14:paraId="015A453C" w14:textId="0B5761B3" w:rsidR="00726222" w:rsidRDefault="00726222" w:rsidP="0072622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Start Time: 4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7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mins 00sec</w:t>
            </w:r>
          </w:p>
          <w:p w14:paraId="5638AE39" w14:textId="7F1EBB60" w:rsidR="003E676F" w:rsidRDefault="003E676F" w:rsidP="00130B71">
            <w:pPr>
              <w:rPr>
                <w:rFonts w:eastAsia="Times New Roman"/>
                <w:sz w:val="24"/>
                <w:szCs w:val="24"/>
              </w:rPr>
            </w:pPr>
          </w:p>
        </w:tc>
      </w:tr>
      <w:tr w:rsidR="00F17EF6" w:rsidRPr="00D73316" w14:paraId="21A63E36" w14:textId="77777777" w:rsidTr="00BB25D8">
        <w:tc>
          <w:tcPr>
            <w:tcW w:w="5000" w:type="pct"/>
            <w:gridSpan w:val="3"/>
            <w:shd w:val="clear" w:color="auto" w:fill="A6A6A6" w:themeFill="background1" w:themeFillShade="A6"/>
          </w:tcPr>
          <w:p w14:paraId="3B6EB86F" w14:textId="77777777" w:rsidR="00F17EF6" w:rsidRPr="00D73316" w:rsidRDefault="00F17EF6" w:rsidP="00BB25D8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</w:tr>
    </w:tbl>
    <w:p w14:paraId="3E3F14A1" w14:textId="77777777" w:rsidR="00F17EF6" w:rsidRDefault="00F17EF6" w:rsidP="00AC27F3"/>
    <w:sectPr w:rsidR="00F17EF6" w:rsidSect="00767ECA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6378CD"/>
    <w:multiLevelType w:val="hybridMultilevel"/>
    <w:tmpl w:val="39C48D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D173AB"/>
    <w:multiLevelType w:val="hybridMultilevel"/>
    <w:tmpl w:val="8AB2407A"/>
    <w:lvl w:ilvl="0" w:tplc="9EFA74CE">
      <w:start w:val="1"/>
      <w:numFmt w:val="decimal"/>
      <w:lvlText w:val="%1."/>
      <w:lvlJc w:val="left"/>
      <w:pPr>
        <w:ind w:left="410" w:hanging="360"/>
      </w:pPr>
      <w:rPr>
        <w:rFonts w:asciiTheme="majorHAnsi" w:eastAsiaTheme="minorHAnsi" w:hAnsiTheme="majorHAnsi" w:cstheme="majorHAnsi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130" w:hanging="360"/>
      </w:pPr>
    </w:lvl>
    <w:lvl w:ilvl="2" w:tplc="0809001B" w:tentative="1">
      <w:start w:val="1"/>
      <w:numFmt w:val="lowerRoman"/>
      <w:lvlText w:val="%3."/>
      <w:lvlJc w:val="right"/>
      <w:pPr>
        <w:ind w:left="1850" w:hanging="180"/>
      </w:pPr>
    </w:lvl>
    <w:lvl w:ilvl="3" w:tplc="0809000F" w:tentative="1">
      <w:start w:val="1"/>
      <w:numFmt w:val="decimal"/>
      <w:lvlText w:val="%4."/>
      <w:lvlJc w:val="left"/>
      <w:pPr>
        <w:ind w:left="2570" w:hanging="360"/>
      </w:pPr>
    </w:lvl>
    <w:lvl w:ilvl="4" w:tplc="08090019" w:tentative="1">
      <w:start w:val="1"/>
      <w:numFmt w:val="lowerLetter"/>
      <w:lvlText w:val="%5."/>
      <w:lvlJc w:val="left"/>
      <w:pPr>
        <w:ind w:left="3290" w:hanging="360"/>
      </w:pPr>
    </w:lvl>
    <w:lvl w:ilvl="5" w:tplc="0809001B" w:tentative="1">
      <w:start w:val="1"/>
      <w:numFmt w:val="lowerRoman"/>
      <w:lvlText w:val="%6."/>
      <w:lvlJc w:val="right"/>
      <w:pPr>
        <w:ind w:left="4010" w:hanging="180"/>
      </w:pPr>
    </w:lvl>
    <w:lvl w:ilvl="6" w:tplc="0809000F" w:tentative="1">
      <w:start w:val="1"/>
      <w:numFmt w:val="decimal"/>
      <w:lvlText w:val="%7."/>
      <w:lvlJc w:val="left"/>
      <w:pPr>
        <w:ind w:left="4730" w:hanging="360"/>
      </w:pPr>
    </w:lvl>
    <w:lvl w:ilvl="7" w:tplc="08090019" w:tentative="1">
      <w:start w:val="1"/>
      <w:numFmt w:val="lowerLetter"/>
      <w:lvlText w:val="%8."/>
      <w:lvlJc w:val="left"/>
      <w:pPr>
        <w:ind w:left="5450" w:hanging="360"/>
      </w:pPr>
    </w:lvl>
    <w:lvl w:ilvl="8" w:tplc="0809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2" w15:restartNumberingAfterBreak="0">
    <w:nsid w:val="6DFA52F0"/>
    <w:multiLevelType w:val="hybridMultilevel"/>
    <w:tmpl w:val="E5547082"/>
    <w:lvl w:ilvl="0" w:tplc="17706D0C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zQ1NzQyMzU2MzA2t7BU0lEKTi0uzszPAykwqwUA7D4IwSwAAAA="/>
  </w:docVars>
  <w:rsids>
    <w:rsidRoot w:val="001E541E"/>
    <w:rsid w:val="0008448F"/>
    <w:rsid w:val="00093289"/>
    <w:rsid w:val="00130B71"/>
    <w:rsid w:val="00162AD2"/>
    <w:rsid w:val="001E541E"/>
    <w:rsid w:val="00245062"/>
    <w:rsid w:val="002E76BB"/>
    <w:rsid w:val="003B001B"/>
    <w:rsid w:val="003E676F"/>
    <w:rsid w:val="00406F22"/>
    <w:rsid w:val="00481B5E"/>
    <w:rsid w:val="00595FE5"/>
    <w:rsid w:val="005C4B9F"/>
    <w:rsid w:val="005E1560"/>
    <w:rsid w:val="00644CA8"/>
    <w:rsid w:val="006D7414"/>
    <w:rsid w:val="00726222"/>
    <w:rsid w:val="00825982"/>
    <w:rsid w:val="00A52C83"/>
    <w:rsid w:val="00AC27F3"/>
    <w:rsid w:val="00B5022B"/>
    <w:rsid w:val="00BE5C01"/>
    <w:rsid w:val="00F04A02"/>
    <w:rsid w:val="00F17EF6"/>
    <w:rsid w:val="00F27043"/>
    <w:rsid w:val="00F40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F5B0C4"/>
  <w15:chartTrackingRefBased/>
  <w15:docId w15:val="{ACD4BB8A-9127-4F20-B79D-38349FBE3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541E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Dot pt,No Spacing1,List Paragraph Char Char Char,Indicator Text,Numbered Para 1,Bullet 1,List Paragraph1,F5 List Paragraph,Bullet Points,MAIN CONTENT,List Paragraph12,Bullet Style,Colorful List - Accent 11,Normal numbered,List Paragraph2"/>
    <w:basedOn w:val="Normal"/>
    <w:link w:val="ListParagraphChar"/>
    <w:uiPriority w:val="34"/>
    <w:qFormat/>
    <w:rsid w:val="001E541E"/>
    <w:pPr>
      <w:ind w:left="720"/>
      <w:contextualSpacing/>
    </w:pPr>
  </w:style>
  <w:style w:type="table" w:styleId="TableGrid">
    <w:name w:val="Table Grid"/>
    <w:basedOn w:val="TableNormal"/>
    <w:uiPriority w:val="59"/>
    <w:rsid w:val="001E54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Dot pt Char,No Spacing1 Char,List Paragraph Char Char Char Char,Indicator Text Char,Numbered Para 1 Char,Bullet 1 Char,List Paragraph1 Char,F5 List Paragraph Char,Bullet Points Char,MAIN CONTENT Char,List Paragraph12 Char"/>
    <w:basedOn w:val="DefaultParagraphFont"/>
    <w:link w:val="ListParagraph"/>
    <w:uiPriority w:val="34"/>
    <w:locked/>
    <w:rsid w:val="001E541E"/>
  </w:style>
  <w:style w:type="paragraph" w:styleId="NormalWeb">
    <w:name w:val="Normal (Web)"/>
    <w:basedOn w:val="Normal"/>
    <w:uiPriority w:val="99"/>
    <w:unhideWhenUsed/>
    <w:rsid w:val="001E541E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1E541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E541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E541E"/>
    <w:rPr>
      <w:color w:val="954F72" w:themeColor="followedHyperlink"/>
      <w:u w:val="single"/>
    </w:rPr>
  </w:style>
  <w:style w:type="paragraph" w:customStyle="1" w:styleId="xmsonormal">
    <w:name w:val="x_msonormal"/>
    <w:basedOn w:val="Normal"/>
    <w:rsid w:val="000844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777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inyurl.com/bddwnff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obert.finch@ke6n.ac.uk" TargetMode="External"/><Relationship Id="rId5" Type="http://schemas.openxmlformats.org/officeDocument/2006/relationships/hyperlink" Target="https://originmathshub.tgacademy.org.uk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342</Words>
  <Characters>1954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Christensen, Mark</dc:creator>
  <cp:keywords/>
  <dc:description/>
  <cp:lastModifiedBy>Christensen, Mark</cp:lastModifiedBy>
  <cp:revision>9</cp:revision>
  <dcterms:created xsi:type="dcterms:W3CDTF">2021-12-02T09:59:00Z</dcterms:created>
  <dcterms:modified xsi:type="dcterms:W3CDTF">2021-12-02T16:05:00Z</dcterms:modified>
</cp:coreProperties>
</file>