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477D4A" w14:textId="11161718" w:rsidR="006B7D0C" w:rsidRPr="00072CDA" w:rsidRDefault="00072CDA">
      <w:pPr>
        <w:rPr>
          <w:rFonts w:cstheme="minorHAnsi"/>
          <w:b/>
          <w:bCs/>
          <w:sz w:val="22"/>
        </w:rPr>
      </w:pPr>
      <w:r w:rsidRPr="00072CDA">
        <w:rPr>
          <w:rFonts w:cstheme="minorHAnsi"/>
          <w:b/>
          <w:bCs/>
          <w:sz w:val="22"/>
        </w:rPr>
        <w:t>Effective Grammar Teaching in the English Classroom to Support Progress</w:t>
      </w:r>
    </w:p>
    <w:p w14:paraId="7BE161A9" w14:textId="77777777" w:rsidR="00072CDA" w:rsidRPr="00072CDA" w:rsidRDefault="00072CDA" w:rsidP="00072CDA">
      <w:pPr>
        <w:rPr>
          <w:rFonts w:cstheme="minorHAnsi"/>
          <w:sz w:val="22"/>
        </w:rPr>
      </w:pPr>
      <w:r w:rsidRPr="00072CDA">
        <w:rPr>
          <w:rFonts w:cstheme="minorHAnsi"/>
          <w:sz w:val="22"/>
          <w:lang w:val="en-US"/>
        </w:rPr>
        <w:t>Klara Spencer (PGCE English) 1612885</w:t>
      </w:r>
    </w:p>
    <w:p w14:paraId="106C8968" w14:textId="77777777" w:rsidR="00072CDA" w:rsidRPr="00072CDA" w:rsidRDefault="00072CDA" w:rsidP="00072CDA">
      <w:pPr>
        <w:rPr>
          <w:rFonts w:cstheme="minorHAnsi"/>
          <w:sz w:val="22"/>
        </w:rPr>
      </w:pPr>
      <w:r w:rsidRPr="00072CDA">
        <w:rPr>
          <w:rFonts w:cstheme="minorHAnsi"/>
          <w:sz w:val="22"/>
          <w:lang w:val="en-US"/>
        </w:rPr>
        <w:t xml:space="preserve">The University of Warwick, Centre for Teacher Education </w:t>
      </w:r>
    </w:p>
    <w:p w14:paraId="6496D3C5" w14:textId="77777777" w:rsidR="00072CDA" w:rsidRPr="00072CDA" w:rsidRDefault="00072CDA" w:rsidP="00072CDA">
      <w:pPr>
        <w:rPr>
          <w:rFonts w:cstheme="minorHAnsi"/>
          <w:sz w:val="22"/>
        </w:rPr>
      </w:pPr>
      <w:r w:rsidRPr="00072CDA">
        <w:rPr>
          <w:rFonts w:cstheme="minorHAnsi"/>
          <w:b/>
          <w:bCs/>
          <w:sz w:val="22"/>
          <w:u w:val="single"/>
          <w:lang w:val="en-US"/>
        </w:rPr>
        <w:t>Introduction and Rationale</w:t>
      </w:r>
    </w:p>
    <w:p w14:paraId="094729DA" w14:textId="4F65EE0C" w:rsidR="00072CDA" w:rsidRPr="00072CDA" w:rsidRDefault="00072CDA" w:rsidP="00072CDA">
      <w:pPr>
        <w:numPr>
          <w:ilvl w:val="0"/>
          <w:numId w:val="1"/>
        </w:numPr>
        <w:rPr>
          <w:rFonts w:cstheme="minorHAnsi"/>
          <w:sz w:val="22"/>
        </w:rPr>
      </w:pPr>
      <w:r w:rsidRPr="00072CDA">
        <w:rPr>
          <w:rFonts w:cstheme="minorHAnsi"/>
          <w:sz w:val="22"/>
          <w:lang w:val="en-US"/>
        </w:rPr>
        <w:t>In the UK National Curriculum for English (2014), there is an emphasis on students’ acquiring a “</w:t>
      </w:r>
      <w:r w:rsidRPr="00072CDA">
        <w:rPr>
          <w:rFonts w:cstheme="minorHAnsi"/>
          <w:sz w:val="22"/>
        </w:rPr>
        <w:t xml:space="preserve">wide vocabulary, an understanding of grammar and knowledge of linguistic conventions for reading, writing and spoken language” (DFE, 2914). Furthermore, grammar is noted as an important factor in spoken language, reading and writing as specified on the National Curriculum for both KS3 and KS4 (DFE, 2014). </w:t>
      </w:r>
    </w:p>
    <w:p w14:paraId="0A1D3849" w14:textId="77777777" w:rsidR="00072CDA" w:rsidRPr="00072CDA" w:rsidRDefault="00072CDA" w:rsidP="00072CDA">
      <w:pPr>
        <w:numPr>
          <w:ilvl w:val="0"/>
          <w:numId w:val="1"/>
        </w:numPr>
        <w:rPr>
          <w:rFonts w:cstheme="minorHAnsi"/>
          <w:sz w:val="22"/>
        </w:rPr>
      </w:pPr>
      <w:r w:rsidRPr="00072CDA">
        <w:rPr>
          <w:rFonts w:cstheme="minorHAnsi"/>
          <w:sz w:val="22"/>
        </w:rPr>
        <w:t xml:space="preserve">Academics writing on English teaching also suggest that grammar is linked to </w:t>
      </w:r>
      <w:r w:rsidRPr="00072CDA">
        <w:rPr>
          <w:rFonts w:cstheme="minorHAnsi"/>
          <w:sz w:val="22"/>
          <w:lang w:val="en-US"/>
        </w:rPr>
        <w:t>an “ever-growing need to develop the verbal, oral and written skills of students” (</w:t>
      </w:r>
      <w:proofErr w:type="spellStart"/>
      <w:r w:rsidRPr="00072CDA">
        <w:rPr>
          <w:rFonts w:cstheme="minorHAnsi"/>
          <w:sz w:val="22"/>
          <w:lang w:val="en-US"/>
        </w:rPr>
        <w:t>Fontich</w:t>
      </w:r>
      <w:proofErr w:type="spellEnd"/>
      <w:r w:rsidRPr="00072CDA">
        <w:rPr>
          <w:rFonts w:cstheme="minorHAnsi"/>
          <w:sz w:val="22"/>
          <w:lang w:val="en-US"/>
        </w:rPr>
        <w:t xml:space="preserve"> &amp; Camps, 2013, pp.1) and has been cited as an important part of English teaching – both as a core subject and a </w:t>
      </w:r>
      <w:proofErr w:type="gramStart"/>
      <w:r w:rsidRPr="00072CDA">
        <w:rPr>
          <w:rFonts w:cstheme="minorHAnsi"/>
          <w:sz w:val="22"/>
          <w:lang w:val="en-US"/>
        </w:rPr>
        <w:t>second-language</w:t>
      </w:r>
      <w:proofErr w:type="gramEnd"/>
      <w:r w:rsidRPr="00072CDA">
        <w:rPr>
          <w:rFonts w:cstheme="minorHAnsi"/>
          <w:sz w:val="22"/>
          <w:lang w:val="en-US"/>
        </w:rPr>
        <w:t xml:space="preserve">. </w:t>
      </w:r>
    </w:p>
    <w:p w14:paraId="1E0502D1" w14:textId="77777777" w:rsidR="00072CDA" w:rsidRPr="00072CDA" w:rsidRDefault="00072CDA" w:rsidP="00072CDA">
      <w:pPr>
        <w:rPr>
          <w:rFonts w:cstheme="minorHAnsi"/>
          <w:sz w:val="22"/>
        </w:rPr>
      </w:pPr>
      <w:r w:rsidRPr="00072CDA">
        <w:rPr>
          <w:rFonts w:cstheme="minorHAnsi"/>
          <w:i/>
          <w:iCs/>
          <w:sz w:val="22"/>
        </w:rPr>
        <w:t>Grammar is what turns words into language. (Berry, 2018, pp.4)</w:t>
      </w:r>
    </w:p>
    <w:p w14:paraId="4149CB8A" w14:textId="77777777" w:rsidR="00072CDA" w:rsidRPr="00072CDA" w:rsidRDefault="00072CDA" w:rsidP="00072CDA">
      <w:pPr>
        <w:numPr>
          <w:ilvl w:val="0"/>
          <w:numId w:val="2"/>
        </w:numPr>
        <w:rPr>
          <w:rFonts w:cstheme="minorHAnsi"/>
          <w:sz w:val="22"/>
        </w:rPr>
      </w:pPr>
      <w:r w:rsidRPr="00072CDA">
        <w:rPr>
          <w:rFonts w:cstheme="minorHAnsi"/>
          <w:sz w:val="22"/>
        </w:rPr>
        <w:t xml:space="preserve">Whilst grammar is an important part of English teaching, it has been noted that it is not something that teachers and students enjoy doing </w:t>
      </w:r>
      <w:r w:rsidRPr="00072CDA">
        <w:rPr>
          <w:rFonts w:cstheme="minorHAnsi"/>
          <w:sz w:val="22"/>
          <w:lang w:val="en-US"/>
        </w:rPr>
        <w:t>(Jean &amp; Simard, 2011, pp. 467)</w:t>
      </w:r>
      <w:proofErr w:type="gramStart"/>
      <w:r w:rsidRPr="00072CDA">
        <w:rPr>
          <w:rFonts w:cstheme="minorHAnsi"/>
          <w:sz w:val="22"/>
          <w:lang w:val="en-US"/>
        </w:rPr>
        <w:t xml:space="preserve">. </w:t>
      </w:r>
      <w:r w:rsidRPr="00072CDA">
        <w:rPr>
          <w:rFonts w:cstheme="minorHAnsi"/>
          <w:sz w:val="22"/>
        </w:rPr>
        <w:t>.</w:t>
      </w:r>
      <w:proofErr w:type="gramEnd"/>
      <w:r w:rsidRPr="00072CDA">
        <w:rPr>
          <w:rFonts w:cstheme="minorHAnsi"/>
          <w:sz w:val="22"/>
        </w:rPr>
        <w:t xml:space="preserve"> The teaching of grammar comes with the stigma of being boring and confusing with students often reluctant </w:t>
      </w:r>
      <w:r w:rsidRPr="00072CDA">
        <w:rPr>
          <w:rFonts w:cstheme="minorHAnsi"/>
          <w:sz w:val="22"/>
          <w:lang w:val="en-US"/>
        </w:rPr>
        <w:t xml:space="preserve">to engage with lessons that cover the extensive prescriptivist rules of grammar </w:t>
      </w:r>
      <w:r w:rsidRPr="00072CDA">
        <w:rPr>
          <w:rFonts w:cstheme="minorHAnsi"/>
          <w:sz w:val="22"/>
        </w:rPr>
        <w:t xml:space="preserve">such as spelling, vocabulary, syntax, and semantics. </w:t>
      </w:r>
    </w:p>
    <w:p w14:paraId="47124F24" w14:textId="77777777" w:rsidR="00072CDA" w:rsidRPr="00072CDA" w:rsidRDefault="00072CDA" w:rsidP="00072CDA">
      <w:pPr>
        <w:numPr>
          <w:ilvl w:val="0"/>
          <w:numId w:val="2"/>
        </w:numPr>
        <w:rPr>
          <w:rFonts w:cstheme="minorHAnsi"/>
          <w:sz w:val="22"/>
        </w:rPr>
      </w:pPr>
      <w:r w:rsidRPr="00072CDA">
        <w:rPr>
          <w:rFonts w:cstheme="minorHAnsi"/>
          <w:sz w:val="22"/>
        </w:rPr>
        <w:t>This research seeks to put forward a simple alternative way of teaching grammar and addressing grammatical misconceptions in the secondary English classroom. This is through the form of adaptable and simple starter activities to promote progress in line with TS2 (DFE, 2013).</w:t>
      </w:r>
    </w:p>
    <w:p w14:paraId="6BBC1D55" w14:textId="77777777" w:rsidR="00072CDA" w:rsidRPr="00072CDA" w:rsidRDefault="00072CDA" w:rsidP="00072CDA">
      <w:pPr>
        <w:rPr>
          <w:rFonts w:cstheme="minorHAnsi"/>
          <w:sz w:val="22"/>
        </w:rPr>
      </w:pPr>
      <w:r w:rsidRPr="00072CDA">
        <w:rPr>
          <w:rFonts w:cstheme="minorHAnsi"/>
          <w:b/>
          <w:bCs/>
          <w:sz w:val="22"/>
          <w:u w:val="single"/>
          <w:lang w:val="en-US"/>
        </w:rPr>
        <w:t>Classroom Application</w:t>
      </w:r>
    </w:p>
    <w:p w14:paraId="2ABE3706" w14:textId="77777777" w:rsidR="00072CDA" w:rsidRPr="00072CDA" w:rsidRDefault="00072CDA" w:rsidP="00072CDA">
      <w:pPr>
        <w:numPr>
          <w:ilvl w:val="0"/>
          <w:numId w:val="3"/>
        </w:numPr>
        <w:rPr>
          <w:rFonts w:cstheme="minorHAnsi"/>
          <w:sz w:val="22"/>
        </w:rPr>
      </w:pPr>
      <w:r w:rsidRPr="00072CDA">
        <w:rPr>
          <w:rFonts w:cstheme="minorHAnsi"/>
          <w:sz w:val="22"/>
          <w:lang w:val="en-US"/>
        </w:rPr>
        <w:t>Each of my lessons includes a short grammar starter (example in fig. 1). Each week will explore a different grammar focus. A topic which could be one lesson is chunked into four manageable starters.</w:t>
      </w:r>
    </w:p>
    <w:p w14:paraId="5E519F72" w14:textId="77777777" w:rsidR="00072CDA" w:rsidRPr="00072CDA" w:rsidRDefault="00072CDA" w:rsidP="00072CDA">
      <w:pPr>
        <w:numPr>
          <w:ilvl w:val="0"/>
          <w:numId w:val="3"/>
        </w:numPr>
        <w:rPr>
          <w:rFonts w:cstheme="minorHAnsi"/>
          <w:sz w:val="22"/>
        </w:rPr>
      </w:pPr>
      <w:r w:rsidRPr="00072CDA">
        <w:rPr>
          <w:rFonts w:cstheme="minorHAnsi"/>
          <w:sz w:val="22"/>
          <w:lang w:val="en-US"/>
        </w:rPr>
        <w:t xml:space="preserve">Year 7 and apostrophes. Each starter had a different format </w:t>
      </w:r>
      <w:proofErr w:type="gramStart"/>
      <w:r w:rsidRPr="00072CDA">
        <w:rPr>
          <w:rFonts w:cstheme="minorHAnsi"/>
          <w:sz w:val="22"/>
          <w:lang w:val="en-US"/>
        </w:rPr>
        <w:t>e.g.</w:t>
      </w:r>
      <w:proofErr w:type="gramEnd"/>
      <w:r w:rsidRPr="00072CDA">
        <w:rPr>
          <w:rFonts w:cstheme="minorHAnsi"/>
          <w:sz w:val="22"/>
          <w:lang w:val="en-US"/>
        </w:rPr>
        <w:t xml:space="preserve"> true/false, correct the sentences, fill in the gaps. The starter was completed in the first five minutes of the lesson. Answers were shared as a class and misconceptions were addressed by </w:t>
      </w:r>
      <w:proofErr w:type="gramStart"/>
      <w:r w:rsidRPr="00072CDA">
        <w:rPr>
          <w:rFonts w:cstheme="minorHAnsi"/>
          <w:sz w:val="22"/>
          <w:lang w:val="en-US"/>
        </w:rPr>
        <w:t>myself</w:t>
      </w:r>
      <w:proofErr w:type="gramEnd"/>
      <w:r w:rsidRPr="00072CDA">
        <w:rPr>
          <w:rFonts w:cstheme="minorHAnsi"/>
          <w:sz w:val="22"/>
          <w:lang w:val="en-US"/>
        </w:rPr>
        <w:t>. Based on students’ responses to the task, I could then adapt the starter for the next day to either recover an apostrophes rule or move onto another.</w:t>
      </w:r>
    </w:p>
    <w:p w14:paraId="7C5EB014" w14:textId="77777777" w:rsidR="00072CDA" w:rsidRPr="00072CDA" w:rsidRDefault="00072CDA" w:rsidP="00072CDA">
      <w:pPr>
        <w:numPr>
          <w:ilvl w:val="0"/>
          <w:numId w:val="3"/>
        </w:numPr>
        <w:rPr>
          <w:rFonts w:cstheme="minorHAnsi"/>
          <w:sz w:val="22"/>
        </w:rPr>
      </w:pPr>
      <w:r w:rsidRPr="00072CDA">
        <w:rPr>
          <w:rFonts w:cstheme="minorHAnsi"/>
          <w:sz w:val="22"/>
          <w:lang w:val="en-US"/>
        </w:rPr>
        <w:t xml:space="preserve">By the end of the week on apostrophes, all students were confident in using apostrophes and their extended writing showed a much higher use of correct punctuation. </w:t>
      </w:r>
    </w:p>
    <w:p w14:paraId="6BF95B1B" w14:textId="77777777" w:rsidR="00072CDA" w:rsidRPr="00072CDA" w:rsidRDefault="00072CDA" w:rsidP="00072CDA">
      <w:pPr>
        <w:rPr>
          <w:rFonts w:cstheme="minorHAnsi"/>
          <w:sz w:val="22"/>
        </w:rPr>
      </w:pPr>
      <w:r w:rsidRPr="00072CDA">
        <w:rPr>
          <w:rFonts w:cstheme="minorHAnsi"/>
          <w:b/>
          <w:bCs/>
          <w:sz w:val="22"/>
          <w:u w:val="single"/>
          <w:lang w:val="en-US"/>
        </w:rPr>
        <w:t xml:space="preserve">Research and Theory </w:t>
      </w:r>
    </w:p>
    <w:p w14:paraId="58290DAC" w14:textId="77777777" w:rsidR="00072CDA" w:rsidRPr="00072CDA" w:rsidRDefault="00072CDA" w:rsidP="00072CDA">
      <w:pPr>
        <w:numPr>
          <w:ilvl w:val="0"/>
          <w:numId w:val="4"/>
        </w:numPr>
        <w:rPr>
          <w:rFonts w:cstheme="minorHAnsi"/>
          <w:sz w:val="22"/>
        </w:rPr>
      </w:pPr>
      <w:r w:rsidRPr="00072CDA">
        <w:rPr>
          <w:rFonts w:cstheme="minorHAnsi"/>
          <w:sz w:val="22"/>
          <w:lang w:val="en-US"/>
        </w:rPr>
        <w:t xml:space="preserve">Effective starter activities are those which do not outlast the concentration span of pupils. They are immediately accessible and do not involve complex instructions (DFEAS, 2004). </w:t>
      </w:r>
      <w:r w:rsidRPr="00072CDA">
        <w:rPr>
          <w:rFonts w:cstheme="minorHAnsi"/>
          <w:sz w:val="22"/>
          <w:u w:val="single"/>
          <w:lang w:val="en-US"/>
        </w:rPr>
        <w:t xml:space="preserve"> </w:t>
      </w:r>
    </w:p>
    <w:p w14:paraId="39FE6ADB" w14:textId="77777777" w:rsidR="00072CDA" w:rsidRPr="00072CDA" w:rsidRDefault="00072CDA" w:rsidP="00072CDA">
      <w:pPr>
        <w:numPr>
          <w:ilvl w:val="0"/>
          <w:numId w:val="4"/>
        </w:numPr>
        <w:rPr>
          <w:rFonts w:cstheme="minorHAnsi"/>
          <w:sz w:val="22"/>
        </w:rPr>
      </w:pPr>
      <w:r w:rsidRPr="00072CDA">
        <w:rPr>
          <w:rFonts w:cstheme="minorHAnsi"/>
          <w:sz w:val="22"/>
          <w:lang w:val="en-US"/>
        </w:rPr>
        <w:t xml:space="preserve">Prescriptivist grammar rules can often make grammar seem confusing and overwhelming for students (Chin, 2000). Therefore, delivering short activities to students with a clear learning </w:t>
      </w:r>
      <w:r w:rsidRPr="00072CDA">
        <w:rPr>
          <w:rFonts w:cstheme="minorHAnsi"/>
          <w:sz w:val="22"/>
          <w:lang w:val="en-US"/>
        </w:rPr>
        <w:lastRenderedPageBreak/>
        <w:t xml:space="preserve">purpose is effective. </w:t>
      </w:r>
      <w:r w:rsidRPr="00072CDA">
        <w:rPr>
          <w:rFonts w:cstheme="minorHAnsi"/>
          <w:sz w:val="22"/>
        </w:rPr>
        <w:t>As Natalie Packer has suggested, chunking activities to "deliver small amounts of information at a time" (Packer, 2021) is the most effective way to maintain engagement.</w:t>
      </w:r>
    </w:p>
    <w:p w14:paraId="7056388F" w14:textId="77777777" w:rsidR="00072CDA" w:rsidRPr="00072CDA" w:rsidRDefault="00072CDA" w:rsidP="00072CDA">
      <w:pPr>
        <w:numPr>
          <w:ilvl w:val="0"/>
          <w:numId w:val="4"/>
        </w:numPr>
        <w:rPr>
          <w:rFonts w:cstheme="minorHAnsi"/>
          <w:sz w:val="22"/>
        </w:rPr>
      </w:pPr>
      <w:r w:rsidRPr="00072CDA">
        <w:rPr>
          <w:rFonts w:cstheme="minorHAnsi"/>
          <w:sz w:val="22"/>
        </w:rPr>
        <w:t xml:space="preserve">The teaching of “formal grammar” has a negligible benefit to students’ understanding of grammar and can often have a harmful effect on improving students writing. (Braddock, Lloyd-Jones, and Schoer, 1963). </w:t>
      </w:r>
    </w:p>
    <w:p w14:paraId="36C4C075" w14:textId="6B7D9D2F" w:rsidR="00072CDA" w:rsidRDefault="00072CDA" w:rsidP="00072CDA">
      <w:pPr>
        <w:numPr>
          <w:ilvl w:val="0"/>
          <w:numId w:val="4"/>
        </w:numPr>
        <w:rPr>
          <w:rFonts w:cstheme="minorHAnsi"/>
          <w:sz w:val="22"/>
        </w:rPr>
      </w:pPr>
      <w:r w:rsidRPr="00072CDA">
        <w:rPr>
          <w:rFonts w:cstheme="minorHAnsi"/>
          <w:sz w:val="22"/>
        </w:rPr>
        <w:t>However, more effective grammar teaching can take place within short activities that do not explicitly teach rules but rather allow students to practice writing within context. (Calkins, 1980)</w:t>
      </w:r>
    </w:p>
    <w:p w14:paraId="12693519" w14:textId="5769CA15" w:rsidR="00521BB5" w:rsidRPr="00521BB5" w:rsidRDefault="00521BB5" w:rsidP="00521BB5">
      <w:pPr>
        <w:rPr>
          <w:sz w:val="22"/>
          <w:lang w:val="en-US"/>
        </w:rPr>
      </w:pPr>
      <w:r w:rsidRPr="00521BB5">
        <w:rPr>
          <w:sz w:val="22"/>
          <w:lang w:val="en-US"/>
        </w:rPr>
        <w:t xml:space="preserve">Fig. 1 Example of an </w:t>
      </w:r>
      <w:proofErr w:type="gramStart"/>
      <w:r w:rsidRPr="00521BB5">
        <w:rPr>
          <w:sz w:val="22"/>
          <w:lang w:val="en-US"/>
        </w:rPr>
        <w:t>apostrophes</w:t>
      </w:r>
      <w:proofErr w:type="gramEnd"/>
      <w:r w:rsidRPr="00521BB5">
        <w:rPr>
          <w:sz w:val="22"/>
          <w:lang w:val="en-US"/>
        </w:rPr>
        <w:t xml:space="preserve"> starter activity (Katherine Irwin, 2021)</w:t>
      </w:r>
    </w:p>
    <w:p w14:paraId="68E35F2C" w14:textId="0D0FDE1A" w:rsidR="00521BB5" w:rsidRDefault="00521BB5" w:rsidP="00521BB5">
      <w:pPr>
        <w:rPr>
          <w:rFonts w:cstheme="minorHAnsi"/>
          <w:sz w:val="22"/>
        </w:rPr>
      </w:pPr>
      <w:r>
        <w:rPr>
          <w:rFonts w:cstheme="minorHAnsi"/>
          <w:sz w:val="22"/>
        </w:rPr>
        <w:t>Circle whether the apostrophes have been used correctly.</w:t>
      </w:r>
    </w:p>
    <w:tbl>
      <w:tblPr>
        <w:tblStyle w:val="TableGrid"/>
        <w:tblW w:w="0" w:type="auto"/>
        <w:tblLook w:val="04A0" w:firstRow="1" w:lastRow="0" w:firstColumn="1" w:lastColumn="0" w:noHBand="0" w:noVBand="1"/>
      </w:tblPr>
      <w:tblGrid>
        <w:gridCol w:w="3006"/>
        <w:gridCol w:w="3005"/>
        <w:gridCol w:w="3005"/>
      </w:tblGrid>
      <w:tr w:rsidR="00521BB5" w14:paraId="7A7EF82A" w14:textId="41318037" w:rsidTr="00521BB5">
        <w:tc>
          <w:tcPr>
            <w:tcW w:w="3006" w:type="dxa"/>
          </w:tcPr>
          <w:p w14:paraId="3A7767E9" w14:textId="05A6C90F" w:rsidR="00521BB5" w:rsidRPr="00521BB5" w:rsidRDefault="00521BB5" w:rsidP="00521BB5">
            <w:pPr>
              <w:pStyle w:val="ListParagraph"/>
              <w:numPr>
                <w:ilvl w:val="0"/>
                <w:numId w:val="6"/>
              </w:numPr>
              <w:rPr>
                <w:rFonts w:cstheme="minorHAnsi"/>
                <w:sz w:val="22"/>
              </w:rPr>
            </w:pPr>
            <w:r>
              <w:rPr>
                <w:rFonts w:cstheme="minorHAnsi"/>
                <w:sz w:val="22"/>
              </w:rPr>
              <w:t xml:space="preserve">I love stroking </w:t>
            </w:r>
            <w:proofErr w:type="gramStart"/>
            <w:r>
              <w:rPr>
                <w:rFonts w:cstheme="minorHAnsi"/>
                <w:sz w:val="22"/>
              </w:rPr>
              <w:t>it’s</w:t>
            </w:r>
            <w:proofErr w:type="gramEnd"/>
            <w:r>
              <w:rPr>
                <w:rFonts w:cstheme="minorHAnsi"/>
                <w:sz w:val="22"/>
              </w:rPr>
              <w:t xml:space="preserve"> hair.</w:t>
            </w:r>
          </w:p>
        </w:tc>
        <w:tc>
          <w:tcPr>
            <w:tcW w:w="3005" w:type="dxa"/>
          </w:tcPr>
          <w:p w14:paraId="11DA3063" w14:textId="7A5A5BEF" w:rsidR="00521BB5" w:rsidRDefault="00521BB5" w:rsidP="00521BB5">
            <w:pPr>
              <w:jc w:val="center"/>
              <w:rPr>
                <w:rFonts w:cstheme="minorHAnsi"/>
                <w:sz w:val="22"/>
              </w:rPr>
            </w:pPr>
            <w:r>
              <w:rPr>
                <w:rFonts w:cstheme="minorHAnsi"/>
                <w:sz w:val="22"/>
              </w:rPr>
              <w:t>T</w:t>
            </w:r>
          </w:p>
        </w:tc>
        <w:tc>
          <w:tcPr>
            <w:tcW w:w="3005" w:type="dxa"/>
          </w:tcPr>
          <w:p w14:paraId="23108BD5" w14:textId="627AB1B3" w:rsidR="00521BB5" w:rsidRDefault="00521BB5" w:rsidP="00521BB5">
            <w:pPr>
              <w:jc w:val="center"/>
              <w:rPr>
                <w:rFonts w:cstheme="minorHAnsi"/>
                <w:sz w:val="22"/>
              </w:rPr>
            </w:pPr>
            <w:r>
              <w:rPr>
                <w:rFonts w:cstheme="minorHAnsi"/>
                <w:sz w:val="22"/>
              </w:rPr>
              <w:t>F</w:t>
            </w:r>
          </w:p>
        </w:tc>
      </w:tr>
      <w:tr w:rsidR="00521BB5" w14:paraId="199CEF4F" w14:textId="4CD139A7" w:rsidTr="00521BB5">
        <w:tc>
          <w:tcPr>
            <w:tcW w:w="3006" w:type="dxa"/>
          </w:tcPr>
          <w:p w14:paraId="740357EB" w14:textId="6F29B55D" w:rsidR="00521BB5" w:rsidRPr="00521BB5" w:rsidRDefault="00521BB5" w:rsidP="00521BB5">
            <w:pPr>
              <w:pStyle w:val="ListParagraph"/>
              <w:numPr>
                <w:ilvl w:val="0"/>
                <w:numId w:val="6"/>
              </w:numPr>
              <w:rPr>
                <w:rFonts w:cstheme="minorHAnsi"/>
                <w:sz w:val="22"/>
              </w:rPr>
            </w:pPr>
            <w:r>
              <w:rPr>
                <w:rFonts w:cstheme="minorHAnsi"/>
                <w:sz w:val="22"/>
              </w:rPr>
              <w:t>Marys’ wig fell off in assembly.</w:t>
            </w:r>
          </w:p>
        </w:tc>
        <w:tc>
          <w:tcPr>
            <w:tcW w:w="3005" w:type="dxa"/>
          </w:tcPr>
          <w:p w14:paraId="3F50CB88" w14:textId="7785CFD7" w:rsidR="00521BB5" w:rsidRDefault="00521BB5" w:rsidP="00521BB5">
            <w:pPr>
              <w:jc w:val="center"/>
              <w:rPr>
                <w:rFonts w:cstheme="minorHAnsi"/>
                <w:sz w:val="22"/>
              </w:rPr>
            </w:pPr>
            <w:r>
              <w:rPr>
                <w:rFonts w:cstheme="minorHAnsi"/>
                <w:sz w:val="22"/>
              </w:rPr>
              <w:t>T</w:t>
            </w:r>
          </w:p>
        </w:tc>
        <w:tc>
          <w:tcPr>
            <w:tcW w:w="3005" w:type="dxa"/>
          </w:tcPr>
          <w:p w14:paraId="119D9C41" w14:textId="180007CE" w:rsidR="00521BB5" w:rsidRDefault="00521BB5" w:rsidP="00521BB5">
            <w:pPr>
              <w:jc w:val="center"/>
              <w:rPr>
                <w:rFonts w:cstheme="minorHAnsi"/>
                <w:sz w:val="22"/>
              </w:rPr>
            </w:pPr>
            <w:r>
              <w:rPr>
                <w:rFonts w:cstheme="minorHAnsi"/>
                <w:sz w:val="22"/>
              </w:rPr>
              <w:t>F</w:t>
            </w:r>
          </w:p>
        </w:tc>
      </w:tr>
      <w:tr w:rsidR="00521BB5" w14:paraId="4E26993A" w14:textId="66802242" w:rsidTr="00521BB5">
        <w:tc>
          <w:tcPr>
            <w:tcW w:w="3006" w:type="dxa"/>
          </w:tcPr>
          <w:p w14:paraId="34956771" w14:textId="2EE6B60E" w:rsidR="00521BB5" w:rsidRPr="00521BB5" w:rsidRDefault="00521BB5" w:rsidP="00521BB5">
            <w:pPr>
              <w:pStyle w:val="ListParagraph"/>
              <w:numPr>
                <w:ilvl w:val="0"/>
                <w:numId w:val="6"/>
              </w:numPr>
              <w:rPr>
                <w:rFonts w:cstheme="minorHAnsi"/>
                <w:sz w:val="22"/>
              </w:rPr>
            </w:pPr>
            <w:r>
              <w:rPr>
                <w:rFonts w:cstheme="minorHAnsi"/>
                <w:sz w:val="22"/>
              </w:rPr>
              <w:t xml:space="preserve">The cat has lost </w:t>
            </w:r>
            <w:proofErr w:type="spellStart"/>
            <w:proofErr w:type="gramStart"/>
            <w:r>
              <w:rPr>
                <w:rFonts w:cstheme="minorHAnsi"/>
                <w:sz w:val="22"/>
              </w:rPr>
              <w:t>it’s</w:t>
            </w:r>
            <w:proofErr w:type="spellEnd"/>
            <w:proofErr w:type="gramEnd"/>
            <w:r>
              <w:rPr>
                <w:rFonts w:cstheme="minorHAnsi"/>
                <w:sz w:val="22"/>
              </w:rPr>
              <w:t xml:space="preserve"> mouse.</w:t>
            </w:r>
          </w:p>
        </w:tc>
        <w:tc>
          <w:tcPr>
            <w:tcW w:w="3005" w:type="dxa"/>
          </w:tcPr>
          <w:p w14:paraId="62AE274D" w14:textId="63835A39" w:rsidR="00521BB5" w:rsidRDefault="00521BB5" w:rsidP="00521BB5">
            <w:pPr>
              <w:jc w:val="center"/>
              <w:rPr>
                <w:rFonts w:cstheme="minorHAnsi"/>
                <w:sz w:val="22"/>
              </w:rPr>
            </w:pPr>
            <w:r>
              <w:rPr>
                <w:rFonts w:cstheme="minorHAnsi"/>
                <w:sz w:val="22"/>
              </w:rPr>
              <w:t>T</w:t>
            </w:r>
          </w:p>
        </w:tc>
        <w:tc>
          <w:tcPr>
            <w:tcW w:w="3005" w:type="dxa"/>
          </w:tcPr>
          <w:p w14:paraId="5CAF241A" w14:textId="54383344" w:rsidR="00521BB5" w:rsidRDefault="00521BB5" w:rsidP="00521BB5">
            <w:pPr>
              <w:jc w:val="center"/>
              <w:rPr>
                <w:rFonts w:cstheme="minorHAnsi"/>
                <w:sz w:val="22"/>
              </w:rPr>
            </w:pPr>
            <w:r>
              <w:rPr>
                <w:rFonts w:cstheme="minorHAnsi"/>
                <w:sz w:val="22"/>
              </w:rPr>
              <w:t>F</w:t>
            </w:r>
          </w:p>
        </w:tc>
      </w:tr>
      <w:tr w:rsidR="00521BB5" w14:paraId="3C6011D9" w14:textId="4608E963" w:rsidTr="00521BB5">
        <w:tc>
          <w:tcPr>
            <w:tcW w:w="3006" w:type="dxa"/>
          </w:tcPr>
          <w:p w14:paraId="39D12142" w14:textId="678528A2" w:rsidR="00521BB5" w:rsidRPr="00521BB5" w:rsidRDefault="00521BB5" w:rsidP="00521BB5">
            <w:pPr>
              <w:pStyle w:val="ListParagraph"/>
              <w:numPr>
                <w:ilvl w:val="0"/>
                <w:numId w:val="6"/>
              </w:numPr>
              <w:rPr>
                <w:rFonts w:cstheme="minorHAnsi"/>
                <w:sz w:val="22"/>
              </w:rPr>
            </w:pPr>
            <w:r>
              <w:rPr>
                <w:rFonts w:cstheme="minorHAnsi"/>
                <w:sz w:val="22"/>
              </w:rPr>
              <w:t>Miss Butler’s outfit was smart.</w:t>
            </w:r>
          </w:p>
        </w:tc>
        <w:tc>
          <w:tcPr>
            <w:tcW w:w="3005" w:type="dxa"/>
          </w:tcPr>
          <w:p w14:paraId="26F5BCFE" w14:textId="412924EF" w:rsidR="00521BB5" w:rsidRDefault="00521BB5" w:rsidP="00521BB5">
            <w:pPr>
              <w:jc w:val="center"/>
              <w:rPr>
                <w:rFonts w:cstheme="minorHAnsi"/>
                <w:sz w:val="22"/>
              </w:rPr>
            </w:pPr>
            <w:r>
              <w:rPr>
                <w:rFonts w:cstheme="minorHAnsi"/>
                <w:sz w:val="22"/>
              </w:rPr>
              <w:t>T</w:t>
            </w:r>
          </w:p>
        </w:tc>
        <w:tc>
          <w:tcPr>
            <w:tcW w:w="3005" w:type="dxa"/>
          </w:tcPr>
          <w:p w14:paraId="5EEE630A" w14:textId="0B1391D8" w:rsidR="00521BB5" w:rsidRDefault="00521BB5" w:rsidP="00521BB5">
            <w:pPr>
              <w:jc w:val="center"/>
              <w:rPr>
                <w:rFonts w:cstheme="minorHAnsi"/>
                <w:sz w:val="22"/>
              </w:rPr>
            </w:pPr>
            <w:r>
              <w:rPr>
                <w:rFonts w:cstheme="minorHAnsi"/>
                <w:sz w:val="22"/>
              </w:rPr>
              <w:t>F</w:t>
            </w:r>
          </w:p>
        </w:tc>
      </w:tr>
    </w:tbl>
    <w:p w14:paraId="774925E8" w14:textId="77777777" w:rsidR="00521BB5" w:rsidRDefault="00521BB5" w:rsidP="00521BB5">
      <w:pPr>
        <w:rPr>
          <w:rFonts w:cstheme="minorHAnsi"/>
          <w:sz w:val="22"/>
        </w:rPr>
      </w:pPr>
    </w:p>
    <w:p w14:paraId="1DF87BDE" w14:textId="77777777" w:rsidR="00072CDA" w:rsidRPr="00072CDA" w:rsidRDefault="00072CDA" w:rsidP="00072CDA">
      <w:pPr>
        <w:rPr>
          <w:rFonts w:cstheme="minorHAnsi"/>
          <w:sz w:val="22"/>
        </w:rPr>
      </w:pPr>
      <w:r w:rsidRPr="00072CDA">
        <w:rPr>
          <w:rFonts w:cstheme="minorHAnsi"/>
          <w:b/>
          <w:bCs/>
          <w:sz w:val="22"/>
          <w:u w:val="single"/>
          <w:lang w:val="en-US"/>
        </w:rPr>
        <w:t>Benefits for Students</w:t>
      </w:r>
    </w:p>
    <w:p w14:paraId="60B4A9D2" w14:textId="77777777" w:rsidR="00072CDA" w:rsidRPr="00072CDA" w:rsidRDefault="00072CDA" w:rsidP="00072CDA">
      <w:pPr>
        <w:numPr>
          <w:ilvl w:val="0"/>
          <w:numId w:val="5"/>
        </w:numPr>
        <w:rPr>
          <w:rFonts w:cstheme="minorHAnsi"/>
          <w:sz w:val="22"/>
        </w:rPr>
      </w:pPr>
      <w:r w:rsidRPr="00072CDA">
        <w:rPr>
          <w:rFonts w:cstheme="minorHAnsi"/>
          <w:sz w:val="22"/>
        </w:rPr>
        <w:t>Teaching concepts on verb, sentence, clause, phrase, and related concepts for editing</w:t>
      </w:r>
    </w:p>
    <w:p w14:paraId="0DE3C3A5" w14:textId="77777777" w:rsidR="00072CDA" w:rsidRPr="00072CDA" w:rsidRDefault="00072CDA" w:rsidP="00072CDA">
      <w:pPr>
        <w:numPr>
          <w:ilvl w:val="0"/>
          <w:numId w:val="5"/>
        </w:numPr>
        <w:rPr>
          <w:rFonts w:cstheme="minorHAnsi"/>
          <w:sz w:val="22"/>
        </w:rPr>
      </w:pPr>
      <w:r w:rsidRPr="00072CDA">
        <w:rPr>
          <w:rFonts w:cstheme="minorHAnsi"/>
          <w:sz w:val="22"/>
        </w:rPr>
        <w:t>Teaching style though sentence combining and sentence generating</w:t>
      </w:r>
    </w:p>
    <w:p w14:paraId="75D5490F" w14:textId="77777777" w:rsidR="00072CDA" w:rsidRPr="00072CDA" w:rsidRDefault="00072CDA" w:rsidP="00072CDA">
      <w:pPr>
        <w:numPr>
          <w:ilvl w:val="0"/>
          <w:numId w:val="5"/>
        </w:numPr>
        <w:rPr>
          <w:rFonts w:cstheme="minorHAnsi"/>
          <w:sz w:val="22"/>
        </w:rPr>
      </w:pPr>
      <w:r w:rsidRPr="00072CDA">
        <w:rPr>
          <w:rFonts w:cstheme="minorHAnsi"/>
          <w:sz w:val="22"/>
        </w:rPr>
        <w:t>Teaching sentence sense through the manipulation of syntactic elements</w:t>
      </w:r>
    </w:p>
    <w:p w14:paraId="1260C687" w14:textId="77777777" w:rsidR="00072CDA" w:rsidRPr="00072CDA" w:rsidRDefault="00072CDA" w:rsidP="00072CDA">
      <w:pPr>
        <w:numPr>
          <w:ilvl w:val="0"/>
          <w:numId w:val="5"/>
        </w:numPr>
        <w:rPr>
          <w:rFonts w:cstheme="minorHAnsi"/>
          <w:sz w:val="22"/>
        </w:rPr>
      </w:pPr>
      <w:r w:rsidRPr="00072CDA">
        <w:rPr>
          <w:rFonts w:cstheme="minorHAnsi"/>
          <w:sz w:val="22"/>
        </w:rPr>
        <w:t>Teaching both the power of dialects and the dialects of power</w:t>
      </w:r>
    </w:p>
    <w:p w14:paraId="25ACE91C" w14:textId="77777777" w:rsidR="00072CDA" w:rsidRPr="00072CDA" w:rsidRDefault="00072CDA" w:rsidP="00072CDA">
      <w:pPr>
        <w:numPr>
          <w:ilvl w:val="0"/>
          <w:numId w:val="5"/>
        </w:numPr>
        <w:rPr>
          <w:rFonts w:cstheme="minorHAnsi"/>
          <w:sz w:val="22"/>
        </w:rPr>
      </w:pPr>
      <w:r w:rsidRPr="00072CDA">
        <w:rPr>
          <w:rFonts w:cstheme="minorHAnsi"/>
          <w:sz w:val="22"/>
        </w:rPr>
        <w:t>Teaching punctuation and mechanics for convention, clarity, and style</w:t>
      </w:r>
    </w:p>
    <w:p w14:paraId="75779642" w14:textId="107A733B" w:rsidR="00072CDA" w:rsidRDefault="00072CDA" w:rsidP="00072CDA">
      <w:pPr>
        <w:rPr>
          <w:rFonts w:cstheme="minorHAnsi"/>
          <w:b/>
          <w:bCs/>
          <w:sz w:val="22"/>
        </w:rPr>
      </w:pPr>
      <w:r w:rsidRPr="00072CDA">
        <w:rPr>
          <w:rFonts w:cstheme="minorHAnsi"/>
          <w:b/>
          <w:bCs/>
          <w:sz w:val="22"/>
        </w:rPr>
        <w:t>Weaver, Constance. (1998)</w:t>
      </w:r>
    </w:p>
    <w:p w14:paraId="3DA394AD" w14:textId="31272CD4" w:rsidR="00521BB5" w:rsidRDefault="00521BB5" w:rsidP="00521BB5">
      <w:pPr>
        <w:rPr>
          <w:sz w:val="22"/>
          <w:lang w:val="en-US"/>
        </w:rPr>
      </w:pPr>
      <w:r w:rsidRPr="00521BB5">
        <w:rPr>
          <w:sz w:val="22"/>
          <w:lang w:val="en-US"/>
        </w:rPr>
        <w:t>Example of punctuation and grammar starting activities (Katherine Irwin, 2021)</w:t>
      </w:r>
    </w:p>
    <w:tbl>
      <w:tblPr>
        <w:tblStyle w:val="TableGrid"/>
        <w:tblW w:w="0" w:type="auto"/>
        <w:tblLook w:val="04A0" w:firstRow="1" w:lastRow="0" w:firstColumn="1" w:lastColumn="0" w:noHBand="0" w:noVBand="1"/>
      </w:tblPr>
      <w:tblGrid>
        <w:gridCol w:w="4957"/>
        <w:gridCol w:w="1298"/>
        <w:gridCol w:w="2761"/>
      </w:tblGrid>
      <w:tr w:rsidR="00CB1C3F" w14:paraId="28CBA7FE" w14:textId="2364130D" w:rsidTr="00212024">
        <w:tc>
          <w:tcPr>
            <w:tcW w:w="4957" w:type="dxa"/>
          </w:tcPr>
          <w:p w14:paraId="3449A323" w14:textId="4AD1CE6A" w:rsidR="00CB1C3F" w:rsidRPr="00521BB5" w:rsidRDefault="00CB1C3F" w:rsidP="00521BB5">
            <w:pPr>
              <w:pStyle w:val="ListParagraph"/>
              <w:numPr>
                <w:ilvl w:val="0"/>
                <w:numId w:val="7"/>
              </w:numPr>
              <w:rPr>
                <w:sz w:val="22"/>
                <w:lang w:val="en-US"/>
              </w:rPr>
            </w:pPr>
            <w:r>
              <w:rPr>
                <w:sz w:val="22"/>
                <w:lang w:val="en-US"/>
              </w:rPr>
              <w:t>Draw an apostrophe.</w:t>
            </w:r>
          </w:p>
        </w:tc>
        <w:tc>
          <w:tcPr>
            <w:tcW w:w="4059" w:type="dxa"/>
            <w:gridSpan w:val="2"/>
          </w:tcPr>
          <w:p w14:paraId="36CF0600" w14:textId="77777777" w:rsidR="00CB1C3F" w:rsidRDefault="00CB1C3F" w:rsidP="00521BB5">
            <w:pPr>
              <w:rPr>
                <w:sz w:val="22"/>
                <w:lang w:val="en-US"/>
              </w:rPr>
            </w:pPr>
          </w:p>
          <w:p w14:paraId="3F261194" w14:textId="77777777" w:rsidR="00CB1C3F" w:rsidRDefault="00CB1C3F" w:rsidP="00521BB5">
            <w:pPr>
              <w:rPr>
                <w:sz w:val="22"/>
                <w:lang w:val="en-US"/>
              </w:rPr>
            </w:pPr>
          </w:p>
          <w:p w14:paraId="513BA1E1" w14:textId="77777777" w:rsidR="00CB1C3F" w:rsidRDefault="00CB1C3F" w:rsidP="00521BB5">
            <w:pPr>
              <w:rPr>
                <w:sz w:val="22"/>
                <w:lang w:val="en-US"/>
              </w:rPr>
            </w:pPr>
          </w:p>
        </w:tc>
      </w:tr>
      <w:tr w:rsidR="00521BB5" w14:paraId="4B5726CE" w14:textId="77BE0B81" w:rsidTr="00CB1C3F">
        <w:tc>
          <w:tcPr>
            <w:tcW w:w="4957" w:type="dxa"/>
          </w:tcPr>
          <w:p w14:paraId="27F87FC2" w14:textId="1A4DD31C" w:rsidR="00521BB5" w:rsidRPr="00521BB5" w:rsidRDefault="00CB1C3F" w:rsidP="00521BB5">
            <w:pPr>
              <w:pStyle w:val="ListParagraph"/>
              <w:numPr>
                <w:ilvl w:val="0"/>
                <w:numId w:val="7"/>
              </w:numPr>
              <w:rPr>
                <w:sz w:val="22"/>
                <w:lang w:val="en-US"/>
              </w:rPr>
            </w:pPr>
            <w:r>
              <w:rPr>
                <w:sz w:val="22"/>
                <w:lang w:val="en-US"/>
              </w:rPr>
              <w:t>‘This apostrophe is used when words are missing.’ Circle the correct answer.</w:t>
            </w:r>
          </w:p>
        </w:tc>
        <w:tc>
          <w:tcPr>
            <w:tcW w:w="1298" w:type="dxa"/>
          </w:tcPr>
          <w:p w14:paraId="034A1012" w14:textId="1EC1E0AE" w:rsidR="00521BB5" w:rsidRDefault="00521BB5" w:rsidP="00CB1C3F">
            <w:pPr>
              <w:jc w:val="center"/>
              <w:rPr>
                <w:sz w:val="22"/>
                <w:lang w:val="en-US"/>
              </w:rPr>
            </w:pPr>
            <w:r>
              <w:rPr>
                <w:sz w:val="22"/>
                <w:lang w:val="en-US"/>
              </w:rPr>
              <w:t>Omission</w:t>
            </w:r>
          </w:p>
        </w:tc>
        <w:tc>
          <w:tcPr>
            <w:tcW w:w="2761" w:type="dxa"/>
          </w:tcPr>
          <w:p w14:paraId="50CC3ABD" w14:textId="2DECAD67" w:rsidR="00521BB5" w:rsidRDefault="00521BB5" w:rsidP="00CB1C3F">
            <w:pPr>
              <w:jc w:val="center"/>
              <w:rPr>
                <w:sz w:val="22"/>
                <w:lang w:val="en-US"/>
              </w:rPr>
            </w:pPr>
            <w:r>
              <w:rPr>
                <w:sz w:val="22"/>
                <w:lang w:val="en-US"/>
              </w:rPr>
              <w:t>Possession</w:t>
            </w:r>
          </w:p>
        </w:tc>
      </w:tr>
      <w:tr w:rsidR="00521BB5" w14:paraId="0C4F48D1" w14:textId="45F64DA2" w:rsidTr="00CB1C3F">
        <w:tc>
          <w:tcPr>
            <w:tcW w:w="4957" w:type="dxa"/>
          </w:tcPr>
          <w:p w14:paraId="69788361" w14:textId="74289881" w:rsidR="00521BB5" w:rsidRPr="00CB1C3F" w:rsidRDefault="00CB1C3F" w:rsidP="00CB1C3F">
            <w:pPr>
              <w:pStyle w:val="ListParagraph"/>
              <w:numPr>
                <w:ilvl w:val="0"/>
                <w:numId w:val="7"/>
              </w:numPr>
              <w:rPr>
                <w:sz w:val="22"/>
                <w:lang w:val="en-US"/>
              </w:rPr>
            </w:pPr>
            <w:r>
              <w:rPr>
                <w:sz w:val="22"/>
                <w:lang w:val="en-US"/>
              </w:rPr>
              <w:t xml:space="preserve">‘This apostrophe is used to show possession.’ </w:t>
            </w:r>
            <w:r>
              <w:rPr>
                <w:sz w:val="22"/>
                <w:lang w:val="en-US"/>
              </w:rPr>
              <w:t xml:space="preserve">Circle the </w:t>
            </w:r>
            <w:r>
              <w:rPr>
                <w:sz w:val="22"/>
                <w:lang w:val="en-US"/>
              </w:rPr>
              <w:t>correct</w:t>
            </w:r>
            <w:r>
              <w:rPr>
                <w:sz w:val="22"/>
                <w:lang w:val="en-US"/>
              </w:rPr>
              <w:t xml:space="preserve"> answer.</w:t>
            </w:r>
          </w:p>
        </w:tc>
        <w:tc>
          <w:tcPr>
            <w:tcW w:w="1298" w:type="dxa"/>
          </w:tcPr>
          <w:p w14:paraId="4F550936" w14:textId="18C4EE26" w:rsidR="00521BB5" w:rsidRDefault="00521BB5" w:rsidP="00CB1C3F">
            <w:pPr>
              <w:jc w:val="center"/>
              <w:rPr>
                <w:sz w:val="22"/>
                <w:lang w:val="en-US"/>
              </w:rPr>
            </w:pPr>
            <w:r>
              <w:rPr>
                <w:sz w:val="22"/>
                <w:lang w:val="en-US"/>
              </w:rPr>
              <w:t>Omission</w:t>
            </w:r>
          </w:p>
        </w:tc>
        <w:tc>
          <w:tcPr>
            <w:tcW w:w="2761" w:type="dxa"/>
          </w:tcPr>
          <w:p w14:paraId="150D2C0D" w14:textId="55F0DF40" w:rsidR="00521BB5" w:rsidRDefault="00521BB5" w:rsidP="00CB1C3F">
            <w:pPr>
              <w:jc w:val="center"/>
              <w:rPr>
                <w:sz w:val="22"/>
                <w:lang w:val="en-US"/>
              </w:rPr>
            </w:pPr>
            <w:r>
              <w:rPr>
                <w:sz w:val="22"/>
                <w:lang w:val="en-US"/>
              </w:rPr>
              <w:t>Possession</w:t>
            </w:r>
          </w:p>
        </w:tc>
      </w:tr>
      <w:tr w:rsidR="00521BB5" w14:paraId="7CBC758F" w14:textId="355FAD4A" w:rsidTr="00CB1C3F">
        <w:tc>
          <w:tcPr>
            <w:tcW w:w="4957" w:type="dxa"/>
          </w:tcPr>
          <w:p w14:paraId="58A9387D" w14:textId="23B028A3" w:rsidR="00521BB5" w:rsidRPr="00CB1C3F" w:rsidRDefault="00CB1C3F" w:rsidP="00CB1C3F">
            <w:pPr>
              <w:pStyle w:val="ListParagraph"/>
              <w:numPr>
                <w:ilvl w:val="0"/>
                <w:numId w:val="7"/>
              </w:numPr>
              <w:rPr>
                <w:sz w:val="22"/>
                <w:lang w:val="en-US"/>
              </w:rPr>
            </w:pPr>
            <w:r>
              <w:rPr>
                <w:sz w:val="22"/>
                <w:lang w:val="en-US"/>
              </w:rPr>
              <w:t xml:space="preserve">‘Mia’s bag was overflowing.’ This is an example of an apostrophe used for possession. </w:t>
            </w:r>
            <w:r w:rsidRPr="00CB1C3F">
              <w:rPr>
                <w:sz w:val="22"/>
                <w:lang w:val="en-US"/>
              </w:rPr>
              <w:t>Circle the c</w:t>
            </w:r>
            <w:r>
              <w:rPr>
                <w:sz w:val="22"/>
                <w:lang w:val="en-US"/>
              </w:rPr>
              <w:t>orrect</w:t>
            </w:r>
            <w:r w:rsidRPr="00CB1C3F">
              <w:rPr>
                <w:sz w:val="22"/>
                <w:lang w:val="en-US"/>
              </w:rPr>
              <w:t xml:space="preserve"> answer.</w:t>
            </w:r>
          </w:p>
        </w:tc>
        <w:tc>
          <w:tcPr>
            <w:tcW w:w="1298" w:type="dxa"/>
          </w:tcPr>
          <w:p w14:paraId="6EE906F2" w14:textId="5E7DE31C" w:rsidR="00521BB5" w:rsidRDefault="00521BB5" w:rsidP="00CB1C3F">
            <w:pPr>
              <w:jc w:val="center"/>
              <w:rPr>
                <w:sz w:val="22"/>
                <w:lang w:val="en-US"/>
              </w:rPr>
            </w:pPr>
            <w:r>
              <w:rPr>
                <w:sz w:val="22"/>
                <w:lang w:val="en-US"/>
              </w:rPr>
              <w:t>True</w:t>
            </w:r>
          </w:p>
        </w:tc>
        <w:tc>
          <w:tcPr>
            <w:tcW w:w="2761" w:type="dxa"/>
          </w:tcPr>
          <w:p w14:paraId="3287BD0F" w14:textId="4C8F762D" w:rsidR="00521BB5" w:rsidRDefault="00521BB5" w:rsidP="00CB1C3F">
            <w:pPr>
              <w:jc w:val="center"/>
              <w:rPr>
                <w:sz w:val="22"/>
                <w:lang w:val="en-US"/>
              </w:rPr>
            </w:pPr>
            <w:r>
              <w:rPr>
                <w:sz w:val="22"/>
                <w:lang w:val="en-US"/>
              </w:rPr>
              <w:t>False</w:t>
            </w:r>
          </w:p>
        </w:tc>
      </w:tr>
    </w:tbl>
    <w:p w14:paraId="44A34B9E" w14:textId="36A88D53" w:rsidR="00521BB5" w:rsidRPr="00521BB5" w:rsidRDefault="00521BB5" w:rsidP="00521BB5">
      <w:pPr>
        <w:rPr>
          <w:rFonts w:cstheme="minorHAnsi"/>
          <w:sz w:val="22"/>
        </w:rPr>
      </w:pPr>
    </w:p>
    <w:p w14:paraId="0AA53579" w14:textId="77777777" w:rsidR="00CB1C3F" w:rsidRDefault="00CB1C3F" w:rsidP="00072CDA">
      <w:pPr>
        <w:rPr>
          <w:rFonts w:cstheme="minorHAnsi"/>
          <w:b/>
          <w:bCs/>
          <w:sz w:val="22"/>
          <w:u w:val="single"/>
          <w:lang w:val="en-US"/>
        </w:rPr>
      </w:pPr>
    </w:p>
    <w:p w14:paraId="67959431" w14:textId="77777777" w:rsidR="00CB1C3F" w:rsidRDefault="00CB1C3F" w:rsidP="00072CDA">
      <w:pPr>
        <w:rPr>
          <w:rFonts w:cstheme="minorHAnsi"/>
          <w:b/>
          <w:bCs/>
          <w:sz w:val="22"/>
          <w:u w:val="single"/>
          <w:lang w:val="en-US"/>
        </w:rPr>
      </w:pPr>
    </w:p>
    <w:p w14:paraId="0DE7EF8C" w14:textId="7F011528" w:rsidR="00072CDA" w:rsidRPr="00072CDA" w:rsidRDefault="00072CDA" w:rsidP="00072CDA">
      <w:pPr>
        <w:rPr>
          <w:rFonts w:cstheme="minorHAnsi"/>
          <w:sz w:val="22"/>
        </w:rPr>
      </w:pPr>
      <w:r w:rsidRPr="00072CDA">
        <w:rPr>
          <w:rFonts w:cstheme="minorHAnsi"/>
          <w:b/>
          <w:bCs/>
          <w:sz w:val="22"/>
          <w:u w:val="single"/>
          <w:lang w:val="en-US"/>
        </w:rPr>
        <w:lastRenderedPageBreak/>
        <w:t xml:space="preserve">Reflection </w:t>
      </w:r>
      <w:r w:rsidRPr="00072CDA">
        <w:rPr>
          <w:rFonts w:cstheme="minorHAnsi"/>
          <w:b/>
          <w:bCs/>
          <w:i/>
          <w:iCs/>
          <w:sz w:val="22"/>
          <w:u w:val="single"/>
          <w:lang w:val="en-US"/>
        </w:rPr>
        <w:t xml:space="preserve">Brookfield's Lenses </w:t>
      </w:r>
      <w:r w:rsidRPr="00072CDA">
        <w:rPr>
          <w:rFonts w:cstheme="minorHAnsi"/>
          <w:b/>
          <w:bCs/>
          <w:sz w:val="22"/>
          <w:u w:val="single"/>
          <w:lang w:val="en-US"/>
        </w:rPr>
        <w:t>(1995)</w:t>
      </w:r>
    </w:p>
    <w:p w14:paraId="71216A99" w14:textId="5C9FC90F" w:rsidR="00072CDA" w:rsidRPr="00072CDA" w:rsidRDefault="00072CDA" w:rsidP="00072CDA">
      <w:pPr>
        <w:rPr>
          <w:rFonts w:cstheme="minorHAnsi"/>
          <w:sz w:val="22"/>
        </w:rPr>
      </w:pPr>
      <w:r w:rsidRPr="00072CDA">
        <w:rPr>
          <w:rFonts w:cstheme="minorHAnsi"/>
          <w:b/>
          <w:bCs/>
          <w:sz w:val="22"/>
          <w:lang w:val="en-US"/>
        </w:rPr>
        <w:t>Autobiographical:</w:t>
      </w:r>
      <w:r w:rsidRPr="00072CDA">
        <w:rPr>
          <w:rFonts w:cstheme="minorHAnsi"/>
          <w:sz w:val="22"/>
          <w:lang w:val="en-US"/>
        </w:rPr>
        <w:t xml:space="preserve"> Students were engaged with the starters although going forward I will include an extra challenge activity </w:t>
      </w:r>
      <w:proofErr w:type="spellStart"/>
      <w:r w:rsidRPr="00072CDA">
        <w:rPr>
          <w:rFonts w:cstheme="minorHAnsi"/>
          <w:sz w:val="22"/>
          <w:lang w:val="en-US"/>
        </w:rPr>
        <w:t>eg.</w:t>
      </w:r>
      <w:proofErr w:type="spellEnd"/>
      <w:r w:rsidRPr="00072CDA">
        <w:rPr>
          <w:rFonts w:cstheme="minorHAnsi"/>
          <w:sz w:val="22"/>
          <w:lang w:val="en-US"/>
        </w:rPr>
        <w:t xml:space="preserve"> Write your own sentence using an apostrophe to show possession. </w:t>
      </w:r>
    </w:p>
    <w:p w14:paraId="2A035629" w14:textId="77777777" w:rsidR="00072CDA" w:rsidRPr="00072CDA" w:rsidRDefault="00072CDA" w:rsidP="00072CDA">
      <w:pPr>
        <w:rPr>
          <w:rFonts w:cstheme="minorHAnsi"/>
          <w:sz w:val="22"/>
        </w:rPr>
      </w:pPr>
      <w:r w:rsidRPr="00072CDA">
        <w:rPr>
          <w:rFonts w:cstheme="minorHAnsi"/>
          <w:b/>
          <w:bCs/>
          <w:sz w:val="22"/>
          <w:lang w:val="en-US"/>
        </w:rPr>
        <w:t xml:space="preserve">Student: </w:t>
      </w:r>
      <w:r w:rsidRPr="00072CDA">
        <w:rPr>
          <w:rFonts w:cstheme="minorHAnsi"/>
          <w:sz w:val="22"/>
          <w:lang w:val="en-US"/>
        </w:rPr>
        <w:t xml:space="preserve">Students were engaged with the starter activity. When going through answers as a class, students were eager to answer and ask questions. Students liked the apostrophe activity being tied into the book we are studying which links back to Calkins’ (1980) idea that effective grammar teaching takes place within context. </w:t>
      </w:r>
    </w:p>
    <w:p w14:paraId="5D0D2FFF" w14:textId="77777777" w:rsidR="00072CDA" w:rsidRPr="00072CDA" w:rsidRDefault="00072CDA" w:rsidP="00072CDA">
      <w:pPr>
        <w:rPr>
          <w:rFonts w:cstheme="minorHAnsi"/>
          <w:sz w:val="22"/>
        </w:rPr>
      </w:pPr>
      <w:r w:rsidRPr="00072CDA">
        <w:rPr>
          <w:rFonts w:cstheme="minorHAnsi"/>
          <w:b/>
          <w:bCs/>
          <w:sz w:val="22"/>
          <w:lang w:val="en-US"/>
        </w:rPr>
        <w:t xml:space="preserve">Peer: </w:t>
      </w:r>
      <w:r w:rsidRPr="00072CDA">
        <w:rPr>
          <w:rFonts w:cstheme="minorHAnsi"/>
          <w:sz w:val="22"/>
          <w:lang w:val="en-US"/>
        </w:rPr>
        <w:t xml:space="preserve">As noted in my mentor’s observation for this lesson, students were engaged with the starter activity. This was established through both good routine and the structure of the starter. </w:t>
      </w:r>
    </w:p>
    <w:p w14:paraId="5DF71FF4" w14:textId="63D9FB10" w:rsidR="00072CDA" w:rsidRPr="00072CDA" w:rsidRDefault="00072CDA" w:rsidP="00072CDA">
      <w:pPr>
        <w:rPr>
          <w:rFonts w:cstheme="minorHAnsi"/>
          <w:sz w:val="22"/>
          <w:lang w:val="en-US"/>
        </w:rPr>
      </w:pPr>
      <w:r w:rsidRPr="00072CDA">
        <w:rPr>
          <w:rFonts w:cstheme="minorHAnsi"/>
          <w:b/>
          <w:bCs/>
          <w:sz w:val="22"/>
          <w:lang w:val="en-US"/>
        </w:rPr>
        <w:t xml:space="preserve">Academic: </w:t>
      </w:r>
      <w:r w:rsidRPr="00072CDA">
        <w:rPr>
          <w:rFonts w:cstheme="minorHAnsi"/>
          <w:sz w:val="22"/>
          <w:lang w:val="en-US"/>
        </w:rPr>
        <w:t xml:space="preserve">The starter activity adhered to the success criteria for a good starter as put forward by the DFEAS. All students showed excellent progress from the first lesson of the week to the final proving that repetitive, </w:t>
      </w:r>
      <w:proofErr w:type="gramStart"/>
      <w:r w:rsidRPr="00072CDA">
        <w:rPr>
          <w:rFonts w:cstheme="minorHAnsi"/>
          <w:sz w:val="22"/>
          <w:lang w:val="en-US"/>
        </w:rPr>
        <w:t>simple</w:t>
      </w:r>
      <w:proofErr w:type="gramEnd"/>
      <w:r w:rsidRPr="00072CDA">
        <w:rPr>
          <w:rFonts w:cstheme="minorHAnsi"/>
          <w:sz w:val="22"/>
          <w:lang w:val="en-US"/>
        </w:rPr>
        <w:t xml:space="preserve"> and contextually linked starters are most effective in teaching grammar (Packer, 2021) rather than explicit teaching (Braddock, Lloyd-Jones and Schoer, 1963).</w:t>
      </w:r>
    </w:p>
    <w:p w14:paraId="294F2B9F" w14:textId="77777777" w:rsidR="00072CDA" w:rsidRPr="00072CDA" w:rsidRDefault="00072CDA" w:rsidP="00072CDA">
      <w:pPr>
        <w:rPr>
          <w:rFonts w:cstheme="minorHAnsi"/>
          <w:b/>
          <w:bCs/>
          <w:color w:val="000000" w:themeColor="text1"/>
          <w:kern w:val="24"/>
          <w:sz w:val="22"/>
        </w:rPr>
      </w:pPr>
      <w:r w:rsidRPr="00072CDA">
        <w:rPr>
          <w:rFonts w:cstheme="minorHAnsi"/>
          <w:b/>
          <w:bCs/>
          <w:color w:val="000000" w:themeColor="text1"/>
          <w:kern w:val="24"/>
          <w:sz w:val="22"/>
        </w:rPr>
        <w:t>References</w:t>
      </w:r>
    </w:p>
    <w:p w14:paraId="50222470" w14:textId="32BD7571" w:rsidR="00072CDA" w:rsidRPr="00072CDA" w:rsidRDefault="00072CDA" w:rsidP="00072CDA">
      <w:pPr>
        <w:rPr>
          <w:rFonts w:cstheme="minorHAnsi"/>
          <w:color w:val="000000" w:themeColor="text1"/>
          <w:kern w:val="24"/>
          <w:sz w:val="22"/>
        </w:rPr>
      </w:pPr>
      <w:r w:rsidRPr="00072CDA">
        <w:rPr>
          <w:rFonts w:cstheme="minorHAnsi"/>
          <w:color w:val="000000" w:themeColor="text1"/>
          <w:kern w:val="24"/>
          <w:sz w:val="22"/>
        </w:rPr>
        <w:t xml:space="preserve">Berry, Roger. English Grammar: </w:t>
      </w:r>
      <w:r w:rsidRPr="00072CDA">
        <w:rPr>
          <w:rFonts w:cstheme="minorHAnsi"/>
          <w:i/>
          <w:iCs/>
          <w:color w:val="000000" w:themeColor="text1"/>
          <w:kern w:val="24"/>
          <w:sz w:val="22"/>
        </w:rPr>
        <w:t xml:space="preserve">A Resource Book for Students. </w:t>
      </w:r>
      <w:r w:rsidRPr="00072CDA">
        <w:rPr>
          <w:rFonts w:cstheme="minorHAnsi"/>
          <w:color w:val="000000" w:themeColor="text1"/>
          <w:kern w:val="24"/>
          <w:sz w:val="22"/>
        </w:rPr>
        <w:t>Abingdon. Routledge (2018)</w:t>
      </w:r>
    </w:p>
    <w:p w14:paraId="48DCBD92" w14:textId="77777777" w:rsidR="00072CDA" w:rsidRPr="00072CDA" w:rsidRDefault="00072CDA" w:rsidP="00072CDA">
      <w:pPr>
        <w:rPr>
          <w:rFonts w:cstheme="minorHAnsi"/>
          <w:color w:val="000000" w:themeColor="text1"/>
          <w:kern w:val="24"/>
          <w:sz w:val="22"/>
        </w:rPr>
      </w:pPr>
      <w:r w:rsidRPr="00072CDA">
        <w:rPr>
          <w:rFonts w:cstheme="minorHAnsi"/>
          <w:color w:val="000000" w:themeColor="text1"/>
          <w:kern w:val="24"/>
          <w:sz w:val="22"/>
        </w:rPr>
        <w:t xml:space="preserve">Braddock, R., Lloyd-Jones, R., &amp; Schoer, L. </w:t>
      </w:r>
      <w:r w:rsidRPr="00072CDA">
        <w:rPr>
          <w:rFonts w:cstheme="minorHAnsi"/>
          <w:i/>
          <w:iCs/>
          <w:color w:val="000000" w:themeColor="text1"/>
          <w:kern w:val="24"/>
          <w:sz w:val="22"/>
        </w:rPr>
        <w:t xml:space="preserve">Research in written composition. </w:t>
      </w:r>
      <w:r w:rsidRPr="00072CDA">
        <w:rPr>
          <w:rFonts w:cstheme="minorHAnsi"/>
          <w:color w:val="000000" w:themeColor="text1"/>
          <w:kern w:val="24"/>
          <w:sz w:val="22"/>
        </w:rPr>
        <w:t>Urbana, IL: NCTE. (1963).</w:t>
      </w:r>
    </w:p>
    <w:p w14:paraId="57615E8F" w14:textId="77777777" w:rsidR="00072CDA" w:rsidRPr="00072CDA" w:rsidRDefault="00072CDA" w:rsidP="00072CDA">
      <w:pPr>
        <w:rPr>
          <w:rFonts w:cstheme="minorHAnsi"/>
          <w:color w:val="000000" w:themeColor="text1"/>
          <w:kern w:val="24"/>
          <w:sz w:val="22"/>
        </w:rPr>
      </w:pPr>
      <w:r w:rsidRPr="00072CDA">
        <w:rPr>
          <w:rFonts w:cstheme="minorHAnsi"/>
          <w:color w:val="000000" w:themeColor="text1"/>
          <w:kern w:val="24"/>
          <w:sz w:val="22"/>
        </w:rPr>
        <w:t xml:space="preserve">Brookfield, Stephen. </w:t>
      </w:r>
      <w:r w:rsidRPr="00072CDA">
        <w:rPr>
          <w:rFonts w:cstheme="minorHAnsi"/>
          <w:i/>
          <w:iCs/>
          <w:color w:val="000000" w:themeColor="text1"/>
          <w:kern w:val="24"/>
          <w:sz w:val="22"/>
        </w:rPr>
        <w:t xml:space="preserve">Becoming a Critically Reflective Teacher. </w:t>
      </w:r>
      <w:r w:rsidRPr="00072CDA">
        <w:rPr>
          <w:rFonts w:cstheme="minorHAnsi"/>
          <w:color w:val="000000" w:themeColor="text1"/>
          <w:kern w:val="24"/>
          <w:sz w:val="22"/>
        </w:rPr>
        <w:t>San-Francisco: Jossey-Bass. (1995)</w:t>
      </w:r>
    </w:p>
    <w:p w14:paraId="4D756997" w14:textId="77777777" w:rsidR="00072CDA" w:rsidRPr="00072CDA" w:rsidRDefault="00072CDA" w:rsidP="00072CDA">
      <w:pPr>
        <w:rPr>
          <w:rFonts w:cstheme="minorHAnsi"/>
          <w:color w:val="000000" w:themeColor="text1"/>
          <w:kern w:val="24"/>
          <w:sz w:val="22"/>
        </w:rPr>
      </w:pPr>
      <w:r w:rsidRPr="00072CDA">
        <w:rPr>
          <w:rFonts w:cstheme="minorHAnsi"/>
          <w:color w:val="000000" w:themeColor="text1"/>
          <w:kern w:val="24"/>
          <w:sz w:val="22"/>
        </w:rPr>
        <w:t xml:space="preserve">Calkins, L. M. </w:t>
      </w:r>
      <w:r w:rsidRPr="00072CDA">
        <w:rPr>
          <w:rFonts w:cstheme="minorHAnsi"/>
          <w:i/>
          <w:iCs/>
          <w:color w:val="000000" w:themeColor="text1"/>
          <w:kern w:val="24"/>
          <w:sz w:val="22"/>
        </w:rPr>
        <w:t>When children want to punctuate: Basic skills belong in context.</w:t>
      </w:r>
      <w:r w:rsidRPr="00072CDA">
        <w:rPr>
          <w:rFonts w:cstheme="minorHAnsi"/>
          <w:color w:val="000000" w:themeColor="text1"/>
          <w:kern w:val="24"/>
          <w:sz w:val="22"/>
        </w:rPr>
        <w:t xml:space="preserve"> Language Arts, 57, (1980). </w:t>
      </w:r>
    </w:p>
    <w:p w14:paraId="2C60B74C" w14:textId="77777777" w:rsidR="00072CDA" w:rsidRPr="00072CDA" w:rsidRDefault="00072CDA" w:rsidP="00072CDA">
      <w:pPr>
        <w:rPr>
          <w:rFonts w:cstheme="minorHAnsi"/>
          <w:color w:val="000000" w:themeColor="text1"/>
          <w:kern w:val="24"/>
          <w:sz w:val="22"/>
        </w:rPr>
      </w:pPr>
      <w:r w:rsidRPr="00072CDA">
        <w:rPr>
          <w:rFonts w:cstheme="minorHAnsi"/>
          <w:color w:val="000000" w:themeColor="text1"/>
          <w:kern w:val="24"/>
          <w:sz w:val="22"/>
        </w:rPr>
        <w:t xml:space="preserve">Chin, Beverley Ann. </w:t>
      </w:r>
      <w:r w:rsidRPr="00072CDA">
        <w:rPr>
          <w:rFonts w:cstheme="minorHAnsi"/>
          <w:i/>
          <w:iCs/>
          <w:color w:val="000000" w:themeColor="text1"/>
          <w:kern w:val="24"/>
          <w:sz w:val="22"/>
        </w:rPr>
        <w:t xml:space="preserve">The Role of Grammar in Improving Student’s Writing. </w:t>
      </w:r>
      <w:r w:rsidRPr="00072CDA">
        <w:rPr>
          <w:rFonts w:cstheme="minorHAnsi"/>
          <w:color w:val="000000" w:themeColor="text1"/>
          <w:kern w:val="24"/>
          <w:sz w:val="22"/>
        </w:rPr>
        <w:t>University of Montana. (2000)</w:t>
      </w:r>
    </w:p>
    <w:p w14:paraId="1564B89A" w14:textId="77777777" w:rsidR="00072CDA" w:rsidRPr="00072CDA" w:rsidRDefault="00072CDA" w:rsidP="00072CDA">
      <w:pPr>
        <w:rPr>
          <w:rFonts w:cstheme="minorHAnsi"/>
          <w:color w:val="000000" w:themeColor="text1"/>
          <w:kern w:val="24"/>
          <w:sz w:val="22"/>
        </w:rPr>
      </w:pPr>
      <w:r w:rsidRPr="00072CDA">
        <w:rPr>
          <w:rFonts w:cstheme="minorHAnsi"/>
          <w:color w:val="000000" w:themeColor="text1"/>
          <w:kern w:val="24"/>
          <w:sz w:val="22"/>
        </w:rPr>
        <w:t xml:space="preserve">Department for Education. </w:t>
      </w:r>
      <w:r w:rsidRPr="00072CDA">
        <w:rPr>
          <w:rFonts w:cstheme="minorHAnsi"/>
          <w:i/>
          <w:iCs/>
          <w:color w:val="000000" w:themeColor="text1"/>
          <w:kern w:val="24"/>
          <w:sz w:val="22"/>
        </w:rPr>
        <w:t>Teachers’ Standards</w:t>
      </w:r>
      <w:r w:rsidRPr="00072CDA">
        <w:rPr>
          <w:rFonts w:cstheme="minorHAnsi"/>
          <w:color w:val="000000" w:themeColor="text1"/>
          <w:kern w:val="24"/>
          <w:sz w:val="22"/>
        </w:rPr>
        <w:t xml:space="preserve">. Department for Education. (2013). </w:t>
      </w:r>
    </w:p>
    <w:p w14:paraId="540AA531" w14:textId="77777777" w:rsidR="00072CDA" w:rsidRPr="00072CDA" w:rsidRDefault="00072CDA" w:rsidP="00072CDA">
      <w:pPr>
        <w:rPr>
          <w:rFonts w:cstheme="minorHAnsi"/>
          <w:color w:val="000000" w:themeColor="text1"/>
          <w:kern w:val="24"/>
          <w:sz w:val="22"/>
        </w:rPr>
      </w:pPr>
      <w:r w:rsidRPr="00072CDA">
        <w:rPr>
          <w:rFonts w:cstheme="minorHAnsi"/>
          <w:color w:val="000000" w:themeColor="text1"/>
          <w:kern w:val="24"/>
          <w:sz w:val="22"/>
        </w:rPr>
        <w:t xml:space="preserve">Department for Education and Skills. </w:t>
      </w:r>
      <w:r w:rsidRPr="00072CDA">
        <w:rPr>
          <w:rFonts w:cstheme="minorHAnsi"/>
          <w:i/>
          <w:iCs/>
          <w:color w:val="000000" w:themeColor="text1"/>
          <w:kern w:val="24"/>
          <w:sz w:val="22"/>
        </w:rPr>
        <w:t>Pedagogy and Practice: Teaching and Learning in Secondary Schools. Unit Five: Starters and Plenaries.</w:t>
      </w:r>
      <w:r w:rsidRPr="00072CDA">
        <w:rPr>
          <w:rFonts w:cstheme="minorHAnsi"/>
          <w:color w:val="000000" w:themeColor="text1"/>
          <w:kern w:val="24"/>
          <w:sz w:val="22"/>
        </w:rPr>
        <w:t xml:space="preserve"> DFEAS. (2004)</w:t>
      </w:r>
    </w:p>
    <w:p w14:paraId="377019F3" w14:textId="77777777" w:rsidR="00072CDA" w:rsidRPr="00072CDA" w:rsidRDefault="00072CDA" w:rsidP="00072CDA">
      <w:pPr>
        <w:rPr>
          <w:rFonts w:cstheme="minorHAnsi"/>
          <w:color w:val="000000" w:themeColor="text1"/>
          <w:kern w:val="24"/>
          <w:sz w:val="22"/>
        </w:rPr>
      </w:pPr>
      <w:proofErr w:type="spellStart"/>
      <w:r w:rsidRPr="00072CDA">
        <w:rPr>
          <w:rFonts w:cstheme="minorHAnsi"/>
          <w:color w:val="000000" w:themeColor="text1"/>
          <w:kern w:val="24"/>
          <w:sz w:val="22"/>
        </w:rPr>
        <w:t>Fontich</w:t>
      </w:r>
      <w:proofErr w:type="spellEnd"/>
      <w:r w:rsidRPr="00072CDA">
        <w:rPr>
          <w:rFonts w:cstheme="minorHAnsi"/>
          <w:color w:val="000000" w:themeColor="text1"/>
          <w:kern w:val="24"/>
          <w:sz w:val="22"/>
        </w:rPr>
        <w:t xml:space="preserve">, Xavier &amp; Camps, Anna. </w:t>
      </w:r>
      <w:r w:rsidRPr="00072CDA">
        <w:rPr>
          <w:rFonts w:cstheme="minorHAnsi"/>
          <w:i/>
          <w:iCs/>
          <w:color w:val="000000" w:themeColor="text1"/>
          <w:kern w:val="24"/>
          <w:sz w:val="22"/>
        </w:rPr>
        <w:t>Towards a rationale for research into grammar teaching in schools.</w:t>
      </w:r>
      <w:r w:rsidRPr="00072CDA">
        <w:rPr>
          <w:rFonts w:cstheme="minorHAnsi"/>
          <w:color w:val="000000" w:themeColor="text1"/>
          <w:kern w:val="24"/>
          <w:sz w:val="22"/>
        </w:rPr>
        <w:t xml:space="preserve"> Research Papers in Education (2014)</w:t>
      </w:r>
    </w:p>
    <w:p w14:paraId="62A04E40" w14:textId="77777777" w:rsidR="00072CDA" w:rsidRPr="00072CDA" w:rsidRDefault="00072CDA" w:rsidP="00072CDA">
      <w:pPr>
        <w:rPr>
          <w:rFonts w:cstheme="minorHAnsi"/>
          <w:color w:val="000000" w:themeColor="text1"/>
          <w:kern w:val="24"/>
          <w:sz w:val="22"/>
        </w:rPr>
      </w:pPr>
      <w:r w:rsidRPr="00072CDA">
        <w:rPr>
          <w:rFonts w:cstheme="minorHAnsi"/>
          <w:color w:val="000000" w:themeColor="text1"/>
          <w:kern w:val="24"/>
          <w:sz w:val="22"/>
        </w:rPr>
        <w:t xml:space="preserve">Jean, Gladys &amp; Simard, Daphnée. Grammar Teaching and Learning in L2: Necessary, but </w:t>
      </w:r>
      <w:proofErr w:type="gramStart"/>
      <w:r w:rsidRPr="00072CDA">
        <w:rPr>
          <w:rFonts w:cstheme="minorHAnsi"/>
          <w:color w:val="000000" w:themeColor="text1"/>
          <w:kern w:val="24"/>
          <w:sz w:val="22"/>
        </w:rPr>
        <w:t>boring?.</w:t>
      </w:r>
      <w:proofErr w:type="gramEnd"/>
      <w:r w:rsidRPr="00072CDA">
        <w:rPr>
          <w:rFonts w:cstheme="minorHAnsi"/>
          <w:color w:val="000000" w:themeColor="text1"/>
          <w:kern w:val="24"/>
          <w:sz w:val="22"/>
        </w:rPr>
        <w:t xml:space="preserve"> Foreign Language Annals. Vol. 44. No.3 (2011)</w:t>
      </w:r>
    </w:p>
    <w:p w14:paraId="3AE6D853" w14:textId="77777777" w:rsidR="00072CDA" w:rsidRPr="00072CDA" w:rsidRDefault="00072CDA" w:rsidP="00072CDA">
      <w:pPr>
        <w:rPr>
          <w:rFonts w:cstheme="minorHAnsi"/>
          <w:color w:val="000000" w:themeColor="text1"/>
          <w:kern w:val="24"/>
          <w:sz w:val="22"/>
        </w:rPr>
      </w:pPr>
      <w:r w:rsidRPr="00072CDA">
        <w:rPr>
          <w:rFonts w:cstheme="minorHAnsi"/>
          <w:color w:val="000000" w:themeColor="text1"/>
          <w:kern w:val="24"/>
          <w:sz w:val="22"/>
        </w:rPr>
        <w:t xml:space="preserve">Packer, Natalie. Remote Learning for Pupils with SEND: Five Tips. Optimus Education: Part of Shaw Trust. &lt;Remote learning for pupils with SEND: five tips | Optimus Education (optimus-education.com)&gt; (accessed on 15/03/2021) </w:t>
      </w:r>
    </w:p>
    <w:p w14:paraId="4505B148" w14:textId="77777777" w:rsidR="00072CDA" w:rsidRPr="00072CDA" w:rsidRDefault="00072CDA" w:rsidP="00072CDA">
      <w:pPr>
        <w:rPr>
          <w:rFonts w:cstheme="minorHAnsi"/>
          <w:color w:val="000000" w:themeColor="text1"/>
          <w:kern w:val="24"/>
          <w:sz w:val="22"/>
        </w:rPr>
      </w:pPr>
      <w:proofErr w:type="spellStart"/>
      <w:r w:rsidRPr="00072CDA">
        <w:rPr>
          <w:rFonts w:cstheme="minorHAnsi"/>
          <w:color w:val="000000" w:themeColor="text1"/>
          <w:kern w:val="24"/>
          <w:sz w:val="22"/>
        </w:rPr>
        <w:t>Sweller</w:t>
      </w:r>
      <w:proofErr w:type="spellEnd"/>
      <w:r w:rsidRPr="00072CDA">
        <w:rPr>
          <w:rFonts w:cstheme="minorHAnsi"/>
          <w:color w:val="000000" w:themeColor="text1"/>
          <w:kern w:val="24"/>
          <w:sz w:val="22"/>
        </w:rPr>
        <w:t xml:space="preserve">, John. </w:t>
      </w:r>
      <w:r w:rsidRPr="00072CDA">
        <w:rPr>
          <w:rFonts w:cstheme="minorHAnsi"/>
          <w:i/>
          <w:iCs/>
          <w:color w:val="000000" w:themeColor="text1"/>
          <w:kern w:val="24"/>
          <w:sz w:val="22"/>
        </w:rPr>
        <w:t>Cognitive Science.</w:t>
      </w:r>
      <w:r w:rsidRPr="00072CDA">
        <w:rPr>
          <w:rFonts w:cstheme="minorHAnsi"/>
          <w:color w:val="000000" w:themeColor="text1"/>
          <w:kern w:val="24"/>
          <w:sz w:val="22"/>
        </w:rPr>
        <w:t xml:space="preserve"> (1988) </w:t>
      </w:r>
    </w:p>
    <w:p w14:paraId="3C8186EE" w14:textId="24C81E11" w:rsidR="00072CDA" w:rsidRPr="00072CDA" w:rsidRDefault="00072CDA" w:rsidP="00072CDA">
      <w:pPr>
        <w:rPr>
          <w:sz w:val="22"/>
        </w:rPr>
      </w:pPr>
      <w:r w:rsidRPr="00072CDA">
        <w:rPr>
          <w:rFonts w:cstheme="minorHAnsi"/>
          <w:color w:val="000000" w:themeColor="text1"/>
          <w:kern w:val="24"/>
          <w:sz w:val="22"/>
        </w:rPr>
        <w:t>Weaver, Constance. Lessons to Share on Teaching Grammar in Context. Boynton-Cook, A</w:t>
      </w:r>
      <w:r>
        <w:rPr>
          <w:rFonts w:cstheme="minorHAnsi"/>
          <w:color w:val="000000" w:themeColor="text1"/>
          <w:kern w:val="24"/>
          <w:sz w:val="22"/>
        </w:rPr>
        <w:t xml:space="preserve"> </w:t>
      </w:r>
      <w:r w:rsidRPr="00072CDA">
        <w:rPr>
          <w:sz w:val="22"/>
        </w:rPr>
        <w:t>division of Reed Elsevier Inc., Portsmouth. (1998)</w:t>
      </w:r>
    </w:p>
    <w:p w14:paraId="1780AE51" w14:textId="23C31623" w:rsidR="00072CDA" w:rsidRPr="00072CDA" w:rsidRDefault="00072CDA">
      <w:pPr>
        <w:rPr>
          <w:rFonts w:cstheme="minorHAnsi"/>
          <w:sz w:val="22"/>
        </w:rPr>
      </w:pPr>
    </w:p>
    <w:sectPr w:rsidR="00072CDA" w:rsidRPr="00072CD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8967F3"/>
    <w:multiLevelType w:val="hybridMultilevel"/>
    <w:tmpl w:val="4A94830A"/>
    <w:lvl w:ilvl="0" w:tplc="784092A8">
      <w:start w:val="1"/>
      <w:numFmt w:val="bullet"/>
      <w:lvlText w:val="•"/>
      <w:lvlJc w:val="left"/>
      <w:pPr>
        <w:tabs>
          <w:tab w:val="num" w:pos="720"/>
        </w:tabs>
        <w:ind w:left="720" w:hanging="360"/>
      </w:pPr>
      <w:rPr>
        <w:rFonts w:ascii="Arial" w:hAnsi="Arial" w:hint="default"/>
      </w:rPr>
    </w:lvl>
    <w:lvl w:ilvl="1" w:tplc="B412AA3E" w:tentative="1">
      <w:start w:val="1"/>
      <w:numFmt w:val="bullet"/>
      <w:lvlText w:val="•"/>
      <w:lvlJc w:val="left"/>
      <w:pPr>
        <w:tabs>
          <w:tab w:val="num" w:pos="1440"/>
        </w:tabs>
        <w:ind w:left="1440" w:hanging="360"/>
      </w:pPr>
      <w:rPr>
        <w:rFonts w:ascii="Arial" w:hAnsi="Arial" w:hint="default"/>
      </w:rPr>
    </w:lvl>
    <w:lvl w:ilvl="2" w:tplc="A9C8EB64" w:tentative="1">
      <w:start w:val="1"/>
      <w:numFmt w:val="bullet"/>
      <w:lvlText w:val="•"/>
      <w:lvlJc w:val="left"/>
      <w:pPr>
        <w:tabs>
          <w:tab w:val="num" w:pos="2160"/>
        </w:tabs>
        <w:ind w:left="2160" w:hanging="360"/>
      </w:pPr>
      <w:rPr>
        <w:rFonts w:ascii="Arial" w:hAnsi="Arial" w:hint="default"/>
      </w:rPr>
    </w:lvl>
    <w:lvl w:ilvl="3" w:tplc="EF58C024" w:tentative="1">
      <w:start w:val="1"/>
      <w:numFmt w:val="bullet"/>
      <w:lvlText w:val="•"/>
      <w:lvlJc w:val="left"/>
      <w:pPr>
        <w:tabs>
          <w:tab w:val="num" w:pos="2880"/>
        </w:tabs>
        <w:ind w:left="2880" w:hanging="360"/>
      </w:pPr>
      <w:rPr>
        <w:rFonts w:ascii="Arial" w:hAnsi="Arial" w:hint="default"/>
      </w:rPr>
    </w:lvl>
    <w:lvl w:ilvl="4" w:tplc="95740B44" w:tentative="1">
      <w:start w:val="1"/>
      <w:numFmt w:val="bullet"/>
      <w:lvlText w:val="•"/>
      <w:lvlJc w:val="left"/>
      <w:pPr>
        <w:tabs>
          <w:tab w:val="num" w:pos="3600"/>
        </w:tabs>
        <w:ind w:left="3600" w:hanging="360"/>
      </w:pPr>
      <w:rPr>
        <w:rFonts w:ascii="Arial" w:hAnsi="Arial" w:hint="default"/>
      </w:rPr>
    </w:lvl>
    <w:lvl w:ilvl="5" w:tplc="916C617C" w:tentative="1">
      <w:start w:val="1"/>
      <w:numFmt w:val="bullet"/>
      <w:lvlText w:val="•"/>
      <w:lvlJc w:val="left"/>
      <w:pPr>
        <w:tabs>
          <w:tab w:val="num" w:pos="4320"/>
        </w:tabs>
        <w:ind w:left="4320" w:hanging="360"/>
      </w:pPr>
      <w:rPr>
        <w:rFonts w:ascii="Arial" w:hAnsi="Arial" w:hint="default"/>
      </w:rPr>
    </w:lvl>
    <w:lvl w:ilvl="6" w:tplc="6FC07CC8" w:tentative="1">
      <w:start w:val="1"/>
      <w:numFmt w:val="bullet"/>
      <w:lvlText w:val="•"/>
      <w:lvlJc w:val="left"/>
      <w:pPr>
        <w:tabs>
          <w:tab w:val="num" w:pos="5040"/>
        </w:tabs>
        <w:ind w:left="5040" w:hanging="360"/>
      </w:pPr>
      <w:rPr>
        <w:rFonts w:ascii="Arial" w:hAnsi="Arial" w:hint="default"/>
      </w:rPr>
    </w:lvl>
    <w:lvl w:ilvl="7" w:tplc="6D1059B8" w:tentative="1">
      <w:start w:val="1"/>
      <w:numFmt w:val="bullet"/>
      <w:lvlText w:val="•"/>
      <w:lvlJc w:val="left"/>
      <w:pPr>
        <w:tabs>
          <w:tab w:val="num" w:pos="5760"/>
        </w:tabs>
        <w:ind w:left="5760" w:hanging="360"/>
      </w:pPr>
      <w:rPr>
        <w:rFonts w:ascii="Arial" w:hAnsi="Arial" w:hint="default"/>
      </w:rPr>
    </w:lvl>
    <w:lvl w:ilvl="8" w:tplc="38E05690"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2A8B454E"/>
    <w:multiLevelType w:val="hybridMultilevel"/>
    <w:tmpl w:val="011006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4163846"/>
    <w:multiLevelType w:val="hybridMultilevel"/>
    <w:tmpl w:val="17F0AEE2"/>
    <w:lvl w:ilvl="0" w:tplc="AD344AAE">
      <w:start w:val="1"/>
      <w:numFmt w:val="bullet"/>
      <w:lvlText w:val="•"/>
      <w:lvlJc w:val="left"/>
      <w:pPr>
        <w:tabs>
          <w:tab w:val="num" w:pos="720"/>
        </w:tabs>
        <w:ind w:left="720" w:hanging="360"/>
      </w:pPr>
      <w:rPr>
        <w:rFonts w:ascii="Arial" w:hAnsi="Arial" w:hint="default"/>
      </w:rPr>
    </w:lvl>
    <w:lvl w:ilvl="1" w:tplc="49407390" w:tentative="1">
      <w:start w:val="1"/>
      <w:numFmt w:val="bullet"/>
      <w:lvlText w:val="•"/>
      <w:lvlJc w:val="left"/>
      <w:pPr>
        <w:tabs>
          <w:tab w:val="num" w:pos="1440"/>
        </w:tabs>
        <w:ind w:left="1440" w:hanging="360"/>
      </w:pPr>
      <w:rPr>
        <w:rFonts w:ascii="Arial" w:hAnsi="Arial" w:hint="default"/>
      </w:rPr>
    </w:lvl>
    <w:lvl w:ilvl="2" w:tplc="C9289210" w:tentative="1">
      <w:start w:val="1"/>
      <w:numFmt w:val="bullet"/>
      <w:lvlText w:val="•"/>
      <w:lvlJc w:val="left"/>
      <w:pPr>
        <w:tabs>
          <w:tab w:val="num" w:pos="2160"/>
        </w:tabs>
        <w:ind w:left="2160" w:hanging="360"/>
      </w:pPr>
      <w:rPr>
        <w:rFonts w:ascii="Arial" w:hAnsi="Arial" w:hint="default"/>
      </w:rPr>
    </w:lvl>
    <w:lvl w:ilvl="3" w:tplc="077ED2F4" w:tentative="1">
      <w:start w:val="1"/>
      <w:numFmt w:val="bullet"/>
      <w:lvlText w:val="•"/>
      <w:lvlJc w:val="left"/>
      <w:pPr>
        <w:tabs>
          <w:tab w:val="num" w:pos="2880"/>
        </w:tabs>
        <w:ind w:left="2880" w:hanging="360"/>
      </w:pPr>
      <w:rPr>
        <w:rFonts w:ascii="Arial" w:hAnsi="Arial" w:hint="default"/>
      </w:rPr>
    </w:lvl>
    <w:lvl w:ilvl="4" w:tplc="6EB236AC" w:tentative="1">
      <w:start w:val="1"/>
      <w:numFmt w:val="bullet"/>
      <w:lvlText w:val="•"/>
      <w:lvlJc w:val="left"/>
      <w:pPr>
        <w:tabs>
          <w:tab w:val="num" w:pos="3600"/>
        </w:tabs>
        <w:ind w:left="3600" w:hanging="360"/>
      </w:pPr>
      <w:rPr>
        <w:rFonts w:ascii="Arial" w:hAnsi="Arial" w:hint="default"/>
      </w:rPr>
    </w:lvl>
    <w:lvl w:ilvl="5" w:tplc="D864F7D0" w:tentative="1">
      <w:start w:val="1"/>
      <w:numFmt w:val="bullet"/>
      <w:lvlText w:val="•"/>
      <w:lvlJc w:val="left"/>
      <w:pPr>
        <w:tabs>
          <w:tab w:val="num" w:pos="4320"/>
        </w:tabs>
        <w:ind w:left="4320" w:hanging="360"/>
      </w:pPr>
      <w:rPr>
        <w:rFonts w:ascii="Arial" w:hAnsi="Arial" w:hint="default"/>
      </w:rPr>
    </w:lvl>
    <w:lvl w:ilvl="6" w:tplc="87EAAF74" w:tentative="1">
      <w:start w:val="1"/>
      <w:numFmt w:val="bullet"/>
      <w:lvlText w:val="•"/>
      <w:lvlJc w:val="left"/>
      <w:pPr>
        <w:tabs>
          <w:tab w:val="num" w:pos="5040"/>
        </w:tabs>
        <w:ind w:left="5040" w:hanging="360"/>
      </w:pPr>
      <w:rPr>
        <w:rFonts w:ascii="Arial" w:hAnsi="Arial" w:hint="default"/>
      </w:rPr>
    </w:lvl>
    <w:lvl w:ilvl="7" w:tplc="A21EC846" w:tentative="1">
      <w:start w:val="1"/>
      <w:numFmt w:val="bullet"/>
      <w:lvlText w:val="•"/>
      <w:lvlJc w:val="left"/>
      <w:pPr>
        <w:tabs>
          <w:tab w:val="num" w:pos="5760"/>
        </w:tabs>
        <w:ind w:left="5760" w:hanging="360"/>
      </w:pPr>
      <w:rPr>
        <w:rFonts w:ascii="Arial" w:hAnsi="Arial" w:hint="default"/>
      </w:rPr>
    </w:lvl>
    <w:lvl w:ilvl="8" w:tplc="B7F242AC"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562D3F03"/>
    <w:multiLevelType w:val="hybridMultilevel"/>
    <w:tmpl w:val="1916AEFC"/>
    <w:lvl w:ilvl="0" w:tplc="8384C592">
      <w:start w:val="1"/>
      <w:numFmt w:val="bullet"/>
      <w:lvlText w:val="•"/>
      <w:lvlJc w:val="left"/>
      <w:pPr>
        <w:tabs>
          <w:tab w:val="num" w:pos="720"/>
        </w:tabs>
        <w:ind w:left="720" w:hanging="360"/>
      </w:pPr>
      <w:rPr>
        <w:rFonts w:ascii="Arial" w:hAnsi="Arial" w:hint="default"/>
      </w:rPr>
    </w:lvl>
    <w:lvl w:ilvl="1" w:tplc="21DE869A" w:tentative="1">
      <w:start w:val="1"/>
      <w:numFmt w:val="bullet"/>
      <w:lvlText w:val="•"/>
      <w:lvlJc w:val="left"/>
      <w:pPr>
        <w:tabs>
          <w:tab w:val="num" w:pos="1440"/>
        </w:tabs>
        <w:ind w:left="1440" w:hanging="360"/>
      </w:pPr>
      <w:rPr>
        <w:rFonts w:ascii="Arial" w:hAnsi="Arial" w:hint="default"/>
      </w:rPr>
    </w:lvl>
    <w:lvl w:ilvl="2" w:tplc="3EAEEE84" w:tentative="1">
      <w:start w:val="1"/>
      <w:numFmt w:val="bullet"/>
      <w:lvlText w:val="•"/>
      <w:lvlJc w:val="left"/>
      <w:pPr>
        <w:tabs>
          <w:tab w:val="num" w:pos="2160"/>
        </w:tabs>
        <w:ind w:left="2160" w:hanging="360"/>
      </w:pPr>
      <w:rPr>
        <w:rFonts w:ascii="Arial" w:hAnsi="Arial" w:hint="default"/>
      </w:rPr>
    </w:lvl>
    <w:lvl w:ilvl="3" w:tplc="D8B88B96" w:tentative="1">
      <w:start w:val="1"/>
      <w:numFmt w:val="bullet"/>
      <w:lvlText w:val="•"/>
      <w:lvlJc w:val="left"/>
      <w:pPr>
        <w:tabs>
          <w:tab w:val="num" w:pos="2880"/>
        </w:tabs>
        <w:ind w:left="2880" w:hanging="360"/>
      </w:pPr>
      <w:rPr>
        <w:rFonts w:ascii="Arial" w:hAnsi="Arial" w:hint="default"/>
      </w:rPr>
    </w:lvl>
    <w:lvl w:ilvl="4" w:tplc="97DA1156" w:tentative="1">
      <w:start w:val="1"/>
      <w:numFmt w:val="bullet"/>
      <w:lvlText w:val="•"/>
      <w:lvlJc w:val="left"/>
      <w:pPr>
        <w:tabs>
          <w:tab w:val="num" w:pos="3600"/>
        </w:tabs>
        <w:ind w:left="3600" w:hanging="360"/>
      </w:pPr>
      <w:rPr>
        <w:rFonts w:ascii="Arial" w:hAnsi="Arial" w:hint="default"/>
      </w:rPr>
    </w:lvl>
    <w:lvl w:ilvl="5" w:tplc="8320DEA6" w:tentative="1">
      <w:start w:val="1"/>
      <w:numFmt w:val="bullet"/>
      <w:lvlText w:val="•"/>
      <w:lvlJc w:val="left"/>
      <w:pPr>
        <w:tabs>
          <w:tab w:val="num" w:pos="4320"/>
        </w:tabs>
        <w:ind w:left="4320" w:hanging="360"/>
      </w:pPr>
      <w:rPr>
        <w:rFonts w:ascii="Arial" w:hAnsi="Arial" w:hint="default"/>
      </w:rPr>
    </w:lvl>
    <w:lvl w:ilvl="6" w:tplc="0CACA726" w:tentative="1">
      <w:start w:val="1"/>
      <w:numFmt w:val="bullet"/>
      <w:lvlText w:val="•"/>
      <w:lvlJc w:val="left"/>
      <w:pPr>
        <w:tabs>
          <w:tab w:val="num" w:pos="5040"/>
        </w:tabs>
        <w:ind w:left="5040" w:hanging="360"/>
      </w:pPr>
      <w:rPr>
        <w:rFonts w:ascii="Arial" w:hAnsi="Arial" w:hint="default"/>
      </w:rPr>
    </w:lvl>
    <w:lvl w:ilvl="7" w:tplc="DD4EBBD8" w:tentative="1">
      <w:start w:val="1"/>
      <w:numFmt w:val="bullet"/>
      <w:lvlText w:val="•"/>
      <w:lvlJc w:val="left"/>
      <w:pPr>
        <w:tabs>
          <w:tab w:val="num" w:pos="5760"/>
        </w:tabs>
        <w:ind w:left="5760" w:hanging="360"/>
      </w:pPr>
      <w:rPr>
        <w:rFonts w:ascii="Arial" w:hAnsi="Arial" w:hint="default"/>
      </w:rPr>
    </w:lvl>
    <w:lvl w:ilvl="8" w:tplc="CA98E002"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566E763E"/>
    <w:multiLevelType w:val="hybridMultilevel"/>
    <w:tmpl w:val="2DC425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A3A3C4E"/>
    <w:multiLevelType w:val="hybridMultilevel"/>
    <w:tmpl w:val="83EA43FE"/>
    <w:lvl w:ilvl="0" w:tplc="DAAA30D0">
      <w:start w:val="1"/>
      <w:numFmt w:val="bullet"/>
      <w:lvlText w:val="•"/>
      <w:lvlJc w:val="left"/>
      <w:pPr>
        <w:tabs>
          <w:tab w:val="num" w:pos="720"/>
        </w:tabs>
        <w:ind w:left="720" w:hanging="360"/>
      </w:pPr>
      <w:rPr>
        <w:rFonts w:ascii="Arial" w:hAnsi="Arial" w:hint="default"/>
      </w:rPr>
    </w:lvl>
    <w:lvl w:ilvl="1" w:tplc="FA3422F8" w:tentative="1">
      <w:start w:val="1"/>
      <w:numFmt w:val="bullet"/>
      <w:lvlText w:val="•"/>
      <w:lvlJc w:val="left"/>
      <w:pPr>
        <w:tabs>
          <w:tab w:val="num" w:pos="1440"/>
        </w:tabs>
        <w:ind w:left="1440" w:hanging="360"/>
      </w:pPr>
      <w:rPr>
        <w:rFonts w:ascii="Arial" w:hAnsi="Arial" w:hint="default"/>
      </w:rPr>
    </w:lvl>
    <w:lvl w:ilvl="2" w:tplc="D6E2381C" w:tentative="1">
      <w:start w:val="1"/>
      <w:numFmt w:val="bullet"/>
      <w:lvlText w:val="•"/>
      <w:lvlJc w:val="left"/>
      <w:pPr>
        <w:tabs>
          <w:tab w:val="num" w:pos="2160"/>
        </w:tabs>
        <w:ind w:left="2160" w:hanging="360"/>
      </w:pPr>
      <w:rPr>
        <w:rFonts w:ascii="Arial" w:hAnsi="Arial" w:hint="default"/>
      </w:rPr>
    </w:lvl>
    <w:lvl w:ilvl="3" w:tplc="0A5A634E" w:tentative="1">
      <w:start w:val="1"/>
      <w:numFmt w:val="bullet"/>
      <w:lvlText w:val="•"/>
      <w:lvlJc w:val="left"/>
      <w:pPr>
        <w:tabs>
          <w:tab w:val="num" w:pos="2880"/>
        </w:tabs>
        <w:ind w:left="2880" w:hanging="360"/>
      </w:pPr>
      <w:rPr>
        <w:rFonts w:ascii="Arial" w:hAnsi="Arial" w:hint="default"/>
      </w:rPr>
    </w:lvl>
    <w:lvl w:ilvl="4" w:tplc="FC085E96" w:tentative="1">
      <w:start w:val="1"/>
      <w:numFmt w:val="bullet"/>
      <w:lvlText w:val="•"/>
      <w:lvlJc w:val="left"/>
      <w:pPr>
        <w:tabs>
          <w:tab w:val="num" w:pos="3600"/>
        </w:tabs>
        <w:ind w:left="3600" w:hanging="360"/>
      </w:pPr>
      <w:rPr>
        <w:rFonts w:ascii="Arial" w:hAnsi="Arial" w:hint="default"/>
      </w:rPr>
    </w:lvl>
    <w:lvl w:ilvl="5" w:tplc="228EE55E" w:tentative="1">
      <w:start w:val="1"/>
      <w:numFmt w:val="bullet"/>
      <w:lvlText w:val="•"/>
      <w:lvlJc w:val="left"/>
      <w:pPr>
        <w:tabs>
          <w:tab w:val="num" w:pos="4320"/>
        </w:tabs>
        <w:ind w:left="4320" w:hanging="360"/>
      </w:pPr>
      <w:rPr>
        <w:rFonts w:ascii="Arial" w:hAnsi="Arial" w:hint="default"/>
      </w:rPr>
    </w:lvl>
    <w:lvl w:ilvl="6" w:tplc="C654FDD2" w:tentative="1">
      <w:start w:val="1"/>
      <w:numFmt w:val="bullet"/>
      <w:lvlText w:val="•"/>
      <w:lvlJc w:val="left"/>
      <w:pPr>
        <w:tabs>
          <w:tab w:val="num" w:pos="5040"/>
        </w:tabs>
        <w:ind w:left="5040" w:hanging="360"/>
      </w:pPr>
      <w:rPr>
        <w:rFonts w:ascii="Arial" w:hAnsi="Arial" w:hint="default"/>
      </w:rPr>
    </w:lvl>
    <w:lvl w:ilvl="7" w:tplc="021C6B2E" w:tentative="1">
      <w:start w:val="1"/>
      <w:numFmt w:val="bullet"/>
      <w:lvlText w:val="•"/>
      <w:lvlJc w:val="left"/>
      <w:pPr>
        <w:tabs>
          <w:tab w:val="num" w:pos="5760"/>
        </w:tabs>
        <w:ind w:left="5760" w:hanging="360"/>
      </w:pPr>
      <w:rPr>
        <w:rFonts w:ascii="Arial" w:hAnsi="Arial" w:hint="default"/>
      </w:rPr>
    </w:lvl>
    <w:lvl w:ilvl="8" w:tplc="59D6E6D4"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6CD73E3B"/>
    <w:multiLevelType w:val="hybridMultilevel"/>
    <w:tmpl w:val="2FEE2B5A"/>
    <w:lvl w:ilvl="0" w:tplc="7CE01B4C">
      <w:start w:val="1"/>
      <w:numFmt w:val="decimal"/>
      <w:lvlText w:val="%1."/>
      <w:lvlJc w:val="left"/>
      <w:pPr>
        <w:tabs>
          <w:tab w:val="num" w:pos="720"/>
        </w:tabs>
        <w:ind w:left="720" w:hanging="360"/>
      </w:pPr>
    </w:lvl>
    <w:lvl w:ilvl="1" w:tplc="976ECF2E" w:tentative="1">
      <w:start w:val="1"/>
      <w:numFmt w:val="decimal"/>
      <w:lvlText w:val="%2."/>
      <w:lvlJc w:val="left"/>
      <w:pPr>
        <w:tabs>
          <w:tab w:val="num" w:pos="1440"/>
        </w:tabs>
        <w:ind w:left="1440" w:hanging="360"/>
      </w:pPr>
    </w:lvl>
    <w:lvl w:ilvl="2" w:tplc="A7D421FA" w:tentative="1">
      <w:start w:val="1"/>
      <w:numFmt w:val="decimal"/>
      <w:lvlText w:val="%3."/>
      <w:lvlJc w:val="left"/>
      <w:pPr>
        <w:tabs>
          <w:tab w:val="num" w:pos="2160"/>
        </w:tabs>
        <w:ind w:left="2160" w:hanging="360"/>
      </w:pPr>
    </w:lvl>
    <w:lvl w:ilvl="3" w:tplc="B614B5EA" w:tentative="1">
      <w:start w:val="1"/>
      <w:numFmt w:val="decimal"/>
      <w:lvlText w:val="%4."/>
      <w:lvlJc w:val="left"/>
      <w:pPr>
        <w:tabs>
          <w:tab w:val="num" w:pos="2880"/>
        </w:tabs>
        <w:ind w:left="2880" w:hanging="360"/>
      </w:pPr>
    </w:lvl>
    <w:lvl w:ilvl="4" w:tplc="416EAE72" w:tentative="1">
      <w:start w:val="1"/>
      <w:numFmt w:val="decimal"/>
      <w:lvlText w:val="%5."/>
      <w:lvlJc w:val="left"/>
      <w:pPr>
        <w:tabs>
          <w:tab w:val="num" w:pos="3600"/>
        </w:tabs>
        <w:ind w:left="3600" w:hanging="360"/>
      </w:pPr>
    </w:lvl>
    <w:lvl w:ilvl="5" w:tplc="FB72F2CE" w:tentative="1">
      <w:start w:val="1"/>
      <w:numFmt w:val="decimal"/>
      <w:lvlText w:val="%6."/>
      <w:lvlJc w:val="left"/>
      <w:pPr>
        <w:tabs>
          <w:tab w:val="num" w:pos="4320"/>
        </w:tabs>
        <w:ind w:left="4320" w:hanging="360"/>
      </w:pPr>
    </w:lvl>
    <w:lvl w:ilvl="6" w:tplc="88DC0804" w:tentative="1">
      <w:start w:val="1"/>
      <w:numFmt w:val="decimal"/>
      <w:lvlText w:val="%7."/>
      <w:lvlJc w:val="left"/>
      <w:pPr>
        <w:tabs>
          <w:tab w:val="num" w:pos="5040"/>
        </w:tabs>
        <w:ind w:left="5040" w:hanging="360"/>
      </w:pPr>
    </w:lvl>
    <w:lvl w:ilvl="7" w:tplc="D0AC0380" w:tentative="1">
      <w:start w:val="1"/>
      <w:numFmt w:val="decimal"/>
      <w:lvlText w:val="%8."/>
      <w:lvlJc w:val="left"/>
      <w:pPr>
        <w:tabs>
          <w:tab w:val="num" w:pos="5760"/>
        </w:tabs>
        <w:ind w:left="5760" w:hanging="360"/>
      </w:pPr>
    </w:lvl>
    <w:lvl w:ilvl="8" w:tplc="C7626CCC" w:tentative="1">
      <w:start w:val="1"/>
      <w:numFmt w:val="decimal"/>
      <w:lvlText w:val="%9."/>
      <w:lvlJc w:val="left"/>
      <w:pPr>
        <w:tabs>
          <w:tab w:val="num" w:pos="6480"/>
        </w:tabs>
        <w:ind w:left="6480" w:hanging="360"/>
      </w:pPr>
    </w:lvl>
  </w:abstractNum>
  <w:num w:numId="1">
    <w:abstractNumId w:val="3"/>
  </w:num>
  <w:num w:numId="2">
    <w:abstractNumId w:val="5"/>
  </w:num>
  <w:num w:numId="3">
    <w:abstractNumId w:val="0"/>
  </w:num>
  <w:num w:numId="4">
    <w:abstractNumId w:val="2"/>
  </w:num>
  <w:num w:numId="5">
    <w:abstractNumId w:val="6"/>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2CDA"/>
    <w:rsid w:val="00072CDA"/>
    <w:rsid w:val="00204A42"/>
    <w:rsid w:val="00505ED5"/>
    <w:rsid w:val="00521BB5"/>
    <w:rsid w:val="006B7D0C"/>
    <w:rsid w:val="00CB1C3F"/>
    <w:rsid w:val="00DF47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E488DB"/>
  <w15:chartTrackingRefBased/>
  <w15:docId w15:val="{02E7DFF3-5278-40E0-8A77-A41B1E0ED1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4A42"/>
    <w:rPr>
      <w:sz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521B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21BB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0890281">
      <w:bodyDiv w:val="1"/>
      <w:marLeft w:val="0"/>
      <w:marRight w:val="0"/>
      <w:marTop w:val="0"/>
      <w:marBottom w:val="0"/>
      <w:divBdr>
        <w:top w:val="none" w:sz="0" w:space="0" w:color="auto"/>
        <w:left w:val="none" w:sz="0" w:space="0" w:color="auto"/>
        <w:bottom w:val="none" w:sz="0" w:space="0" w:color="auto"/>
        <w:right w:val="none" w:sz="0" w:space="0" w:color="auto"/>
      </w:divBdr>
      <w:divsChild>
        <w:div w:id="831212515">
          <w:marLeft w:val="907"/>
          <w:marRight w:val="0"/>
          <w:marTop w:val="0"/>
          <w:marBottom w:val="0"/>
          <w:divBdr>
            <w:top w:val="none" w:sz="0" w:space="0" w:color="auto"/>
            <w:left w:val="none" w:sz="0" w:space="0" w:color="auto"/>
            <w:bottom w:val="none" w:sz="0" w:space="0" w:color="auto"/>
            <w:right w:val="none" w:sz="0" w:space="0" w:color="auto"/>
          </w:divBdr>
        </w:div>
        <w:div w:id="1152718947">
          <w:marLeft w:val="907"/>
          <w:marRight w:val="0"/>
          <w:marTop w:val="0"/>
          <w:marBottom w:val="0"/>
          <w:divBdr>
            <w:top w:val="none" w:sz="0" w:space="0" w:color="auto"/>
            <w:left w:val="none" w:sz="0" w:space="0" w:color="auto"/>
            <w:bottom w:val="none" w:sz="0" w:space="0" w:color="auto"/>
            <w:right w:val="none" w:sz="0" w:space="0" w:color="auto"/>
          </w:divBdr>
        </w:div>
        <w:div w:id="116147278">
          <w:marLeft w:val="907"/>
          <w:marRight w:val="0"/>
          <w:marTop w:val="0"/>
          <w:marBottom w:val="0"/>
          <w:divBdr>
            <w:top w:val="none" w:sz="0" w:space="0" w:color="auto"/>
            <w:left w:val="none" w:sz="0" w:space="0" w:color="auto"/>
            <w:bottom w:val="none" w:sz="0" w:space="0" w:color="auto"/>
            <w:right w:val="none" w:sz="0" w:space="0" w:color="auto"/>
          </w:divBdr>
        </w:div>
        <w:div w:id="94179733">
          <w:marLeft w:val="907"/>
          <w:marRight w:val="0"/>
          <w:marTop w:val="0"/>
          <w:marBottom w:val="0"/>
          <w:divBdr>
            <w:top w:val="none" w:sz="0" w:space="0" w:color="auto"/>
            <w:left w:val="none" w:sz="0" w:space="0" w:color="auto"/>
            <w:bottom w:val="none" w:sz="0" w:space="0" w:color="auto"/>
            <w:right w:val="none" w:sz="0" w:space="0" w:color="auto"/>
          </w:divBdr>
        </w:div>
      </w:divsChild>
    </w:div>
    <w:div w:id="769013906">
      <w:bodyDiv w:val="1"/>
      <w:marLeft w:val="0"/>
      <w:marRight w:val="0"/>
      <w:marTop w:val="0"/>
      <w:marBottom w:val="0"/>
      <w:divBdr>
        <w:top w:val="none" w:sz="0" w:space="0" w:color="auto"/>
        <w:left w:val="none" w:sz="0" w:space="0" w:color="auto"/>
        <w:bottom w:val="none" w:sz="0" w:space="0" w:color="auto"/>
        <w:right w:val="none" w:sz="0" w:space="0" w:color="auto"/>
      </w:divBdr>
    </w:div>
    <w:div w:id="1084957064">
      <w:bodyDiv w:val="1"/>
      <w:marLeft w:val="0"/>
      <w:marRight w:val="0"/>
      <w:marTop w:val="0"/>
      <w:marBottom w:val="0"/>
      <w:divBdr>
        <w:top w:val="none" w:sz="0" w:space="0" w:color="auto"/>
        <w:left w:val="none" w:sz="0" w:space="0" w:color="auto"/>
        <w:bottom w:val="none" w:sz="0" w:space="0" w:color="auto"/>
        <w:right w:val="none" w:sz="0" w:space="0" w:color="auto"/>
      </w:divBdr>
      <w:divsChild>
        <w:div w:id="1845247610">
          <w:marLeft w:val="907"/>
          <w:marRight w:val="0"/>
          <w:marTop w:val="0"/>
          <w:marBottom w:val="0"/>
          <w:divBdr>
            <w:top w:val="none" w:sz="0" w:space="0" w:color="auto"/>
            <w:left w:val="none" w:sz="0" w:space="0" w:color="auto"/>
            <w:bottom w:val="none" w:sz="0" w:space="0" w:color="auto"/>
            <w:right w:val="none" w:sz="0" w:space="0" w:color="auto"/>
          </w:divBdr>
        </w:div>
        <w:div w:id="1759209828">
          <w:marLeft w:val="907"/>
          <w:marRight w:val="0"/>
          <w:marTop w:val="0"/>
          <w:marBottom w:val="0"/>
          <w:divBdr>
            <w:top w:val="none" w:sz="0" w:space="0" w:color="auto"/>
            <w:left w:val="none" w:sz="0" w:space="0" w:color="auto"/>
            <w:bottom w:val="none" w:sz="0" w:space="0" w:color="auto"/>
            <w:right w:val="none" w:sz="0" w:space="0" w:color="auto"/>
          </w:divBdr>
        </w:div>
        <w:div w:id="501285284">
          <w:marLeft w:val="907"/>
          <w:marRight w:val="0"/>
          <w:marTop w:val="0"/>
          <w:marBottom w:val="0"/>
          <w:divBdr>
            <w:top w:val="none" w:sz="0" w:space="0" w:color="auto"/>
            <w:left w:val="none" w:sz="0" w:space="0" w:color="auto"/>
            <w:bottom w:val="none" w:sz="0" w:space="0" w:color="auto"/>
            <w:right w:val="none" w:sz="0" w:space="0" w:color="auto"/>
          </w:divBdr>
        </w:div>
        <w:div w:id="1263537835">
          <w:marLeft w:val="907"/>
          <w:marRight w:val="0"/>
          <w:marTop w:val="0"/>
          <w:marBottom w:val="0"/>
          <w:divBdr>
            <w:top w:val="none" w:sz="0" w:space="0" w:color="auto"/>
            <w:left w:val="none" w:sz="0" w:space="0" w:color="auto"/>
            <w:bottom w:val="none" w:sz="0" w:space="0" w:color="auto"/>
            <w:right w:val="none" w:sz="0" w:space="0" w:color="auto"/>
          </w:divBdr>
        </w:div>
      </w:divsChild>
    </w:div>
    <w:div w:id="1400783785">
      <w:bodyDiv w:val="1"/>
      <w:marLeft w:val="0"/>
      <w:marRight w:val="0"/>
      <w:marTop w:val="0"/>
      <w:marBottom w:val="0"/>
      <w:divBdr>
        <w:top w:val="none" w:sz="0" w:space="0" w:color="auto"/>
        <w:left w:val="none" w:sz="0" w:space="0" w:color="auto"/>
        <w:bottom w:val="none" w:sz="0" w:space="0" w:color="auto"/>
        <w:right w:val="none" w:sz="0" w:space="0" w:color="auto"/>
      </w:divBdr>
    </w:div>
    <w:div w:id="1613825187">
      <w:bodyDiv w:val="1"/>
      <w:marLeft w:val="0"/>
      <w:marRight w:val="0"/>
      <w:marTop w:val="0"/>
      <w:marBottom w:val="0"/>
      <w:divBdr>
        <w:top w:val="none" w:sz="0" w:space="0" w:color="auto"/>
        <w:left w:val="none" w:sz="0" w:space="0" w:color="auto"/>
        <w:bottom w:val="none" w:sz="0" w:space="0" w:color="auto"/>
        <w:right w:val="none" w:sz="0" w:space="0" w:color="auto"/>
      </w:divBdr>
      <w:divsChild>
        <w:div w:id="1854563969">
          <w:marLeft w:val="907"/>
          <w:marRight w:val="0"/>
          <w:marTop w:val="0"/>
          <w:marBottom w:val="0"/>
          <w:divBdr>
            <w:top w:val="none" w:sz="0" w:space="0" w:color="auto"/>
            <w:left w:val="none" w:sz="0" w:space="0" w:color="auto"/>
            <w:bottom w:val="none" w:sz="0" w:space="0" w:color="auto"/>
            <w:right w:val="none" w:sz="0" w:space="0" w:color="auto"/>
          </w:divBdr>
        </w:div>
        <w:div w:id="1540514806">
          <w:marLeft w:val="907"/>
          <w:marRight w:val="0"/>
          <w:marTop w:val="0"/>
          <w:marBottom w:val="0"/>
          <w:divBdr>
            <w:top w:val="none" w:sz="0" w:space="0" w:color="auto"/>
            <w:left w:val="none" w:sz="0" w:space="0" w:color="auto"/>
            <w:bottom w:val="none" w:sz="0" w:space="0" w:color="auto"/>
            <w:right w:val="none" w:sz="0" w:space="0" w:color="auto"/>
          </w:divBdr>
        </w:div>
        <w:div w:id="264119798">
          <w:marLeft w:val="907"/>
          <w:marRight w:val="0"/>
          <w:marTop w:val="0"/>
          <w:marBottom w:val="0"/>
          <w:divBdr>
            <w:top w:val="none" w:sz="0" w:space="0" w:color="auto"/>
            <w:left w:val="none" w:sz="0" w:space="0" w:color="auto"/>
            <w:bottom w:val="none" w:sz="0" w:space="0" w:color="auto"/>
            <w:right w:val="none" w:sz="0" w:space="0" w:color="auto"/>
          </w:divBdr>
        </w:div>
      </w:divsChild>
    </w:div>
    <w:div w:id="1681616733">
      <w:bodyDiv w:val="1"/>
      <w:marLeft w:val="0"/>
      <w:marRight w:val="0"/>
      <w:marTop w:val="0"/>
      <w:marBottom w:val="0"/>
      <w:divBdr>
        <w:top w:val="none" w:sz="0" w:space="0" w:color="auto"/>
        <w:left w:val="none" w:sz="0" w:space="0" w:color="auto"/>
        <w:bottom w:val="none" w:sz="0" w:space="0" w:color="auto"/>
        <w:right w:val="none" w:sz="0" w:space="0" w:color="auto"/>
      </w:divBdr>
      <w:divsChild>
        <w:div w:id="481505287">
          <w:marLeft w:val="1166"/>
          <w:marRight w:val="0"/>
          <w:marTop w:val="0"/>
          <w:marBottom w:val="0"/>
          <w:divBdr>
            <w:top w:val="none" w:sz="0" w:space="0" w:color="auto"/>
            <w:left w:val="none" w:sz="0" w:space="0" w:color="auto"/>
            <w:bottom w:val="none" w:sz="0" w:space="0" w:color="auto"/>
            <w:right w:val="none" w:sz="0" w:space="0" w:color="auto"/>
          </w:divBdr>
        </w:div>
        <w:div w:id="426003897">
          <w:marLeft w:val="1166"/>
          <w:marRight w:val="0"/>
          <w:marTop w:val="0"/>
          <w:marBottom w:val="0"/>
          <w:divBdr>
            <w:top w:val="none" w:sz="0" w:space="0" w:color="auto"/>
            <w:left w:val="none" w:sz="0" w:space="0" w:color="auto"/>
            <w:bottom w:val="none" w:sz="0" w:space="0" w:color="auto"/>
            <w:right w:val="none" w:sz="0" w:space="0" w:color="auto"/>
          </w:divBdr>
        </w:div>
        <w:div w:id="825820707">
          <w:marLeft w:val="1166"/>
          <w:marRight w:val="0"/>
          <w:marTop w:val="0"/>
          <w:marBottom w:val="0"/>
          <w:divBdr>
            <w:top w:val="none" w:sz="0" w:space="0" w:color="auto"/>
            <w:left w:val="none" w:sz="0" w:space="0" w:color="auto"/>
            <w:bottom w:val="none" w:sz="0" w:space="0" w:color="auto"/>
            <w:right w:val="none" w:sz="0" w:space="0" w:color="auto"/>
          </w:divBdr>
        </w:div>
        <w:div w:id="13385100">
          <w:marLeft w:val="1166"/>
          <w:marRight w:val="0"/>
          <w:marTop w:val="0"/>
          <w:marBottom w:val="0"/>
          <w:divBdr>
            <w:top w:val="none" w:sz="0" w:space="0" w:color="auto"/>
            <w:left w:val="none" w:sz="0" w:space="0" w:color="auto"/>
            <w:bottom w:val="none" w:sz="0" w:space="0" w:color="auto"/>
            <w:right w:val="none" w:sz="0" w:space="0" w:color="auto"/>
          </w:divBdr>
        </w:div>
        <w:div w:id="954363140">
          <w:marLeft w:val="116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3</Pages>
  <Words>1056</Words>
  <Characters>6025</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Ball, Abigail</dc:creator>
  <cp:keywords/>
  <dc:description/>
  <cp:lastModifiedBy>Ball, Abigail</cp:lastModifiedBy>
  <cp:revision>3</cp:revision>
  <dcterms:created xsi:type="dcterms:W3CDTF">2021-11-22T17:14:00Z</dcterms:created>
  <dcterms:modified xsi:type="dcterms:W3CDTF">2021-11-22T17:29:00Z</dcterms:modified>
</cp:coreProperties>
</file>