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7993" w:rsidRDefault="006A14E7" w:rsidP="00E77993">
      <w:proofErr w:type="spellStart"/>
      <w:r>
        <w:t>Gábor</w:t>
      </w:r>
      <w:proofErr w:type="spellEnd"/>
      <w:r>
        <w:t xml:space="preserve"> T. </w:t>
      </w:r>
      <w:proofErr w:type="spellStart"/>
      <w:r>
        <w:t>Rittersporn</w:t>
      </w:r>
      <w:proofErr w:type="spellEnd"/>
      <w:r w:rsidR="00E77993">
        <w:t>. Anguish, Anger and Folkways in Soviet Russia. Pitt Series in Russian and East European Studies. University of Pittsburgh Press, Pittsburgh, PA, 2014. x + 396 pp. Notes. Selected bibliography. Index.</w:t>
      </w:r>
    </w:p>
    <w:p w:rsidR="00E77993" w:rsidRDefault="00E77993" w:rsidP="00E15BE9"/>
    <w:p w:rsidR="00A77478" w:rsidRDefault="00D673EA" w:rsidP="00E15BE9">
      <w:proofErr w:type="spellStart"/>
      <w:r>
        <w:t>Gábor</w:t>
      </w:r>
      <w:proofErr w:type="spellEnd"/>
      <w:r>
        <w:t xml:space="preserve"> </w:t>
      </w:r>
      <w:proofErr w:type="spellStart"/>
      <w:r>
        <w:t>Rittersporn</w:t>
      </w:r>
      <w:proofErr w:type="spellEnd"/>
      <w:r>
        <w:t>, an eminent social historian of Russia in Stalin’s time, has written a blockbuster. In the introduction, he proposes a “conservative” agenda</w:t>
      </w:r>
      <w:r w:rsidR="00C11FE3">
        <w:t xml:space="preserve">—one </w:t>
      </w:r>
      <w:r>
        <w:t>that returns to the roots of the revisionist approach to Soviet social history. Before revisionism, he suggests, historians focused on the “input” side, meaning the decisions and policies that emanated from the leaders of the party-state</w:t>
      </w:r>
      <w:r w:rsidR="00BB3443">
        <w:t xml:space="preserve"> (p. 2)</w:t>
      </w:r>
      <w:r>
        <w:t>. Revisionist</w:t>
      </w:r>
      <w:r w:rsidR="006A14E7">
        <w:t xml:space="preserve"> historians of society </w:t>
      </w:r>
      <w:r>
        <w:t xml:space="preserve">turned </w:t>
      </w:r>
      <w:r w:rsidR="006A14E7">
        <w:t xml:space="preserve">attention </w:t>
      </w:r>
      <w:r>
        <w:t xml:space="preserve">to the “output” side: faced with these decisions and policies, what did ordinary people </w:t>
      </w:r>
      <w:r w:rsidRPr="006A14E7">
        <w:rPr>
          <w:i/>
        </w:rPr>
        <w:t>do</w:t>
      </w:r>
      <w:r>
        <w:t xml:space="preserve">, and with what results? Now there is also “post-revisionism”: in those circumstances, what did ordinary people </w:t>
      </w:r>
      <w:r w:rsidRPr="006A14E7">
        <w:rPr>
          <w:i/>
        </w:rPr>
        <w:t>think</w:t>
      </w:r>
      <w:r>
        <w:t xml:space="preserve"> and </w:t>
      </w:r>
      <w:r w:rsidRPr="006A14E7">
        <w:rPr>
          <w:i/>
        </w:rPr>
        <w:t>feel</w:t>
      </w:r>
      <w:r>
        <w:t xml:space="preserve"> as they went about their lives? </w:t>
      </w:r>
      <w:proofErr w:type="spellStart"/>
      <w:r>
        <w:t>Rittersporn</w:t>
      </w:r>
      <w:r w:rsidR="00BB3443">
        <w:t>’s</w:t>
      </w:r>
      <w:proofErr w:type="spellEnd"/>
      <w:r w:rsidR="00BB3443">
        <w:t xml:space="preserve"> agenda is conservative in that </w:t>
      </w:r>
      <w:r w:rsidR="006A14E7">
        <w:t xml:space="preserve">his goal reverts </w:t>
      </w:r>
      <w:r w:rsidR="00C11FE3">
        <w:t xml:space="preserve">to </w:t>
      </w:r>
      <w:r w:rsidR="006A14E7">
        <w:t xml:space="preserve">understanding of </w:t>
      </w:r>
      <w:r>
        <w:t xml:space="preserve">the outputs, </w:t>
      </w:r>
      <w:r w:rsidR="00BB3443">
        <w:t xml:space="preserve">chief among which was the eventual collapse of </w:t>
      </w:r>
      <w:r>
        <w:t>the Soviet system</w:t>
      </w:r>
      <w:r w:rsidR="00BB3443">
        <w:t xml:space="preserve">. But it </w:t>
      </w:r>
      <w:r w:rsidR="006A14E7">
        <w:t xml:space="preserve">is still </w:t>
      </w:r>
      <w:r w:rsidR="00BB3443">
        <w:t>revisionist</w:t>
      </w:r>
      <w:r w:rsidR="006A14E7">
        <w:t>,</w:t>
      </w:r>
      <w:r w:rsidR="00BB3443">
        <w:t xml:space="preserve"> drawing on all the insights of the revisionists concerning the lived experience of that system.</w:t>
      </w:r>
    </w:p>
    <w:p w:rsidR="001928E4" w:rsidRDefault="00D46AF6" w:rsidP="003E60A6">
      <w:pPr>
        <w:pStyle w:val="NormalFollow"/>
      </w:pPr>
      <w:r>
        <w:t xml:space="preserve">The </w:t>
      </w:r>
      <w:r w:rsidR="00BB3443">
        <w:t>book</w:t>
      </w:r>
      <w:r>
        <w:t xml:space="preserve"> is divided into three parts,</w:t>
      </w:r>
      <w:r w:rsidR="00BB3443">
        <w:t xml:space="preserve"> each divided into three chapters. </w:t>
      </w:r>
      <w:r>
        <w:t xml:space="preserve">In Part 1 “Anguish,” chapter 1 is entitled “The omnipresent conspiracy.” This chapter describes the conspiracy thinking of leading Bolsheviks on two dimensions: their belief in the </w:t>
      </w:r>
      <w:r w:rsidR="006A14E7">
        <w:t xml:space="preserve">hidden coordination </w:t>
      </w:r>
      <w:r>
        <w:t xml:space="preserve">of internal and external enemies, matched by their own conspiratorial practices. </w:t>
      </w:r>
      <w:r w:rsidR="00C11FE3">
        <w:t xml:space="preserve">The chapter </w:t>
      </w:r>
      <w:r>
        <w:t xml:space="preserve">shows that such beliefs were not confined to the elite, but resonated widely in society. Chapter 2, “Catching spies, trapping the system” discusses the spy mania of the time, </w:t>
      </w:r>
      <w:r w:rsidR="00C11FE3">
        <w:t>correlates it with</w:t>
      </w:r>
      <w:r w:rsidR="001928E4">
        <w:t xml:space="preserve"> available evidence about actual spies and saboteurs, and recounts the casualties, including the victims </w:t>
      </w:r>
      <w:r w:rsidR="00C11FE3">
        <w:t xml:space="preserve">when it was the turn of the </w:t>
      </w:r>
      <w:r w:rsidR="001928E4">
        <w:t>secret police</w:t>
      </w:r>
      <w:r w:rsidR="00C11FE3">
        <w:t xml:space="preserve"> to be savagely purged</w:t>
      </w:r>
      <w:r w:rsidR="001928E4">
        <w:t xml:space="preserve">. This is the sense in which the system </w:t>
      </w:r>
      <w:r w:rsidR="00C11FE3">
        <w:t xml:space="preserve">became </w:t>
      </w:r>
      <w:r w:rsidR="001928E4">
        <w:t xml:space="preserve">“trapped” by its own beliefs. The chapter argues that Russian courts </w:t>
      </w:r>
      <w:r w:rsidR="006A14E7">
        <w:t xml:space="preserve">still </w:t>
      </w:r>
      <w:r w:rsidR="001928E4">
        <w:t>fail to deal properly with the historical perpetrators and victims of the spy mania, so the trap is still in place</w:t>
      </w:r>
      <w:r w:rsidR="006A14E7">
        <w:t xml:space="preserve"> today</w:t>
      </w:r>
      <w:r w:rsidR="001928E4">
        <w:t>.</w:t>
      </w:r>
      <w:r w:rsidR="00E27710">
        <w:t xml:space="preserve"> Chapter 3, “Between Catastrophe and the promised land,” deals with the thorny issue of popular support for the regime, and mass repressions as a response to the lack of it. It </w:t>
      </w:r>
      <w:r w:rsidR="00D92E02">
        <w:t xml:space="preserve">stresses regime perceptions of popular discontent derived from secret police reports, and </w:t>
      </w:r>
      <w:r w:rsidR="00E27710">
        <w:t xml:space="preserve">argues that </w:t>
      </w:r>
      <w:r w:rsidR="00D92E02">
        <w:t xml:space="preserve">in 1937 the growing “war scare” was a contingent, not </w:t>
      </w:r>
      <w:r w:rsidR="007E2562">
        <w:t xml:space="preserve">sufficient </w:t>
      </w:r>
      <w:r w:rsidR="00D92E02">
        <w:t>cause of the “mass operations,” given that previous war scares did not have the same results</w:t>
      </w:r>
      <w:r w:rsidR="007E2562">
        <w:t xml:space="preserve"> (p. 76)</w:t>
      </w:r>
      <w:r w:rsidR="00D92E02">
        <w:t>.</w:t>
      </w:r>
    </w:p>
    <w:p w:rsidR="00E27710" w:rsidRDefault="00E27710" w:rsidP="003E60A6">
      <w:pPr>
        <w:pStyle w:val="NormalFollow"/>
      </w:pPr>
      <w:r>
        <w:t xml:space="preserve">Part 2, </w:t>
      </w:r>
      <w:r w:rsidR="00D46AF6">
        <w:t xml:space="preserve">“Anger,” </w:t>
      </w:r>
      <w:r w:rsidR="00D92E02">
        <w:t xml:space="preserve">begins with chapter 4, subtitled “Endemic violence, angry youth, angry Bolsheviks.” The subject </w:t>
      </w:r>
      <w:r w:rsidR="00534504">
        <w:t>of</w:t>
      </w:r>
      <w:r w:rsidR="00D92E02">
        <w:t xml:space="preserve"> this chapter is the violence</w:t>
      </w:r>
      <w:r w:rsidR="006A14E7">
        <w:t xml:space="preserve"> that</w:t>
      </w:r>
      <w:r w:rsidR="00D92E02">
        <w:t xml:space="preserve"> </w:t>
      </w:r>
      <w:r w:rsidR="00534504">
        <w:t xml:space="preserve">young Soviet people </w:t>
      </w:r>
      <w:r w:rsidR="006A14E7">
        <w:t xml:space="preserve">met with every day </w:t>
      </w:r>
      <w:r w:rsidR="00D92E02">
        <w:t>in the 1930s, and the political overtones</w:t>
      </w:r>
      <w:r w:rsidR="00D46AF6">
        <w:t xml:space="preserve"> </w:t>
      </w:r>
      <w:r w:rsidR="00D92E02">
        <w:t xml:space="preserve">frequently ascribed to it. </w:t>
      </w:r>
      <w:r w:rsidR="00534504">
        <w:t>Chapter 5, “Loyalty and lost hope,” deals with the anger of citizens not with the Revolution as such, but with the Revolution’s outcomes:</w:t>
      </w:r>
      <w:r w:rsidR="006A14E7">
        <w:t xml:space="preserve"> the failures of food security, personal security, and international security</w:t>
      </w:r>
      <w:r w:rsidR="00534504">
        <w:t xml:space="preserve">. Chapter 6, “Rebels,” turns to the cases </w:t>
      </w:r>
      <w:r w:rsidR="00534504">
        <w:lastRenderedPageBreak/>
        <w:t>of those who converted their anger in</w:t>
      </w:r>
      <w:r w:rsidR="007E2562">
        <w:t>to social and political action. Often enough they were true believers, motivated by the gap between Bolshevism’s goals and practices. The chapter points out that true believers of this sort were to be found in the communist leadership as late as the 1980s.</w:t>
      </w:r>
    </w:p>
    <w:p w:rsidR="00BB3443" w:rsidRDefault="007E2562" w:rsidP="003E60A6">
      <w:pPr>
        <w:pStyle w:val="NormalFollow"/>
      </w:pPr>
      <w:r>
        <w:t xml:space="preserve">In Part 3, </w:t>
      </w:r>
      <w:r w:rsidR="00D46AF6">
        <w:t>“Folkways</w:t>
      </w:r>
      <w:r>
        <w:t>,</w:t>
      </w:r>
      <w:r w:rsidR="00D46AF6">
        <w:t xml:space="preserve">” </w:t>
      </w:r>
      <w:r>
        <w:t>chapter 7 is called “Breaking Step, Enjoying Carnival.” Just as revolution turned the world upside down, so did humour and burlesque. Their influence reached far into the party, at the same time as party leaders coordinated its repression. Chapter 8 is about “Entrepreneurship.” Entrepreneurs are defined after Josef Schumpeter</w:t>
      </w:r>
      <w:r w:rsidR="00766AC8">
        <w:t>, not as people who want to</w:t>
      </w:r>
      <w:r w:rsidR="00B20011">
        <w:t xml:space="preserve"> create an unknown world</w:t>
      </w:r>
      <w:r w:rsidR="00766AC8">
        <w:t>, but as people who</w:t>
      </w:r>
      <w:r>
        <w:t xml:space="preserve"> </w:t>
      </w:r>
      <w:r w:rsidR="00B20011">
        <w:t xml:space="preserve">rearrange the known world </w:t>
      </w:r>
      <w:r w:rsidR="00766AC8">
        <w:t xml:space="preserve">in new ways (p. 217). </w:t>
      </w:r>
      <w:r w:rsidR="00B20011">
        <w:t xml:space="preserve">In that sense, it is true, the Soviet economy and state had a myriad entrepreneurs. But it </w:t>
      </w:r>
      <w:r w:rsidR="00652E37">
        <w:t xml:space="preserve">neglects </w:t>
      </w:r>
      <w:r w:rsidR="00B20011">
        <w:t xml:space="preserve">what Schumpeter saw as </w:t>
      </w:r>
      <w:r w:rsidR="006A14E7">
        <w:t>the outcome of entrepreneurship</w:t>
      </w:r>
      <w:r w:rsidR="00B20011">
        <w:t xml:space="preserve">: “creative destruction,” something that the Soviet economy was designed to rule out. </w:t>
      </w:r>
      <w:r w:rsidR="00652E37">
        <w:t>The chapter acknowledges this in passing: entrepreneurial innovation “brought modifications but not fundamental change” (p. 246). Anyway</w:t>
      </w:r>
      <w:r w:rsidR="00B20011">
        <w:t xml:space="preserve">, the chapter’s point is that the Soviet economy forced millions to pursue ingenious survival strategies that, like their </w:t>
      </w:r>
      <w:r w:rsidR="00652E37">
        <w:t>humour, sometimes greased the machine and sometimes corroded it. Chapter 9,</w:t>
      </w:r>
      <w:r w:rsidR="00E93344">
        <w:t xml:space="preserve"> </w:t>
      </w:r>
      <w:r w:rsidR="00652E37">
        <w:t xml:space="preserve">the final chapter, is subtitled, “Misadventures of modernity.” </w:t>
      </w:r>
      <w:r w:rsidR="00EE275C">
        <w:t>The misadventures are those of the officials, who thought they were building a brave new modern world as they blundered about, and also the missteps of the citizens, who continually stumbled into the gap between programmes and outcomes.</w:t>
      </w:r>
    </w:p>
    <w:p w:rsidR="00BB3443" w:rsidRDefault="00BB3443" w:rsidP="003E60A6">
      <w:pPr>
        <w:pStyle w:val="NormalFollow"/>
      </w:pPr>
      <w:r>
        <w:t>Throughout</w:t>
      </w:r>
      <w:r w:rsidR="00E27710">
        <w:t xml:space="preserve"> his book</w:t>
      </w:r>
      <w:r>
        <w:t xml:space="preserve">, </w:t>
      </w:r>
      <w:proofErr w:type="spellStart"/>
      <w:r>
        <w:t>Rittersporn</w:t>
      </w:r>
      <w:proofErr w:type="spellEnd"/>
      <w:r>
        <w:t xml:space="preserve"> </w:t>
      </w:r>
      <w:r w:rsidR="00E27710">
        <w:t xml:space="preserve">draws on </w:t>
      </w:r>
      <w:r w:rsidR="00652E37">
        <w:t xml:space="preserve">a wealth of </w:t>
      </w:r>
      <w:r w:rsidR="00E27710">
        <w:t xml:space="preserve">episodes and experiences found in public and private archives, diaries, and letters. </w:t>
      </w:r>
      <w:r w:rsidR="00652E37">
        <w:t xml:space="preserve">These </w:t>
      </w:r>
      <w:r w:rsidR="00EE275C">
        <w:t xml:space="preserve">descriptions </w:t>
      </w:r>
      <w:r w:rsidR="00652E37">
        <w:t>are what gives the book its life. In the process, t</w:t>
      </w:r>
      <w:r w:rsidR="00E27710">
        <w:t xml:space="preserve">he book lives up to a promise </w:t>
      </w:r>
      <w:r>
        <w:t xml:space="preserve">that </w:t>
      </w:r>
      <w:r w:rsidR="00652E37">
        <w:t xml:space="preserve">the author gives </w:t>
      </w:r>
      <w:r>
        <w:t xml:space="preserve">in the introduction: “The term </w:t>
      </w:r>
      <w:r w:rsidRPr="00652E37">
        <w:rPr>
          <w:i/>
        </w:rPr>
        <w:t>state</w:t>
      </w:r>
      <w:r>
        <w:t xml:space="preserve"> will … be used as sparingly … as possible” (p. 7). In the Soviet Union (or perhaps anywhere) </w:t>
      </w:r>
      <w:r w:rsidR="0010235E">
        <w:t>“</w:t>
      </w:r>
      <w:r>
        <w:t>the state</w:t>
      </w:r>
      <w:r w:rsidR="0010235E">
        <w:t>”</w:t>
      </w:r>
      <w:r>
        <w:t xml:space="preserve"> was not </w:t>
      </w:r>
      <w:r w:rsidR="00BF239B">
        <w:t xml:space="preserve">a thing </w:t>
      </w:r>
      <w:r>
        <w:t>apart from society. Decisions were made and policies pursued</w:t>
      </w:r>
      <w:r w:rsidR="00BF239B">
        <w:t>, not by “the state” but</w:t>
      </w:r>
      <w:r>
        <w:t xml:space="preserve"> by identifiable</w:t>
      </w:r>
      <w:r w:rsidR="00BF239B">
        <w:t xml:space="preserve"> human actors</w:t>
      </w:r>
      <w:r w:rsidR="00E27710">
        <w:t xml:space="preserve">, singly and in </w:t>
      </w:r>
      <w:r>
        <w:t xml:space="preserve">groups. The logic of this becomes fully apparent in the epilogue, where </w:t>
      </w:r>
      <w:proofErr w:type="spellStart"/>
      <w:r>
        <w:t>Rittersporn</w:t>
      </w:r>
      <w:proofErr w:type="spellEnd"/>
      <w:r>
        <w:t xml:space="preserve"> attributes the collapse of the Soviet state to toleration </w:t>
      </w:r>
      <w:r w:rsidR="00DA2B29">
        <w:t xml:space="preserve">of </w:t>
      </w:r>
      <w:r>
        <w:t xml:space="preserve">the entrepreneurial folkways that agents </w:t>
      </w:r>
      <w:r w:rsidR="00DA2B29">
        <w:t xml:space="preserve">of the state </w:t>
      </w:r>
      <w:r>
        <w:t xml:space="preserve">adopted in response to the state’s </w:t>
      </w:r>
      <w:r w:rsidR="00DA2B29">
        <w:t xml:space="preserve">own </w:t>
      </w:r>
      <w:r>
        <w:t>shortcomings.</w:t>
      </w:r>
    </w:p>
    <w:p w:rsidR="00C11FE3" w:rsidRDefault="003E60A6" w:rsidP="003E60A6">
      <w:pPr>
        <w:pStyle w:val="NormalFollow"/>
      </w:pPr>
      <w:r>
        <w:t>The book has some shortcomings</w:t>
      </w:r>
      <w:r w:rsidR="00EE275C">
        <w:t xml:space="preserve">. Moving through </w:t>
      </w:r>
      <w:r>
        <w:t xml:space="preserve">its </w:t>
      </w:r>
      <w:r w:rsidR="00EE275C">
        <w:t xml:space="preserve">landscape, we </w:t>
      </w:r>
      <w:r w:rsidR="00C11FE3">
        <w:t xml:space="preserve">often have no idea where the path leads, or why we must </w:t>
      </w:r>
      <w:r w:rsidR="0010235E">
        <w:t xml:space="preserve">enter </w:t>
      </w:r>
      <w:r w:rsidR="00C11FE3">
        <w:t xml:space="preserve">the marsh instead of skirting round it. The horizon is </w:t>
      </w:r>
      <w:r w:rsidR="0010235E">
        <w:t>fog-</w:t>
      </w:r>
      <w:r w:rsidR="00C11FE3">
        <w:t>bound. We long for signposts, which the author provides as chapter headings and subheadings, but these are no use because they point</w:t>
      </w:r>
      <w:r w:rsidR="00F25C7A">
        <w:t xml:space="preserve"> to places we’ve never heard of:</w:t>
      </w:r>
      <w:r w:rsidR="00C11FE3">
        <w:t xml:space="preserve"> “</w:t>
      </w:r>
      <w:r w:rsidR="00F25C7A">
        <w:t>Data, Suc</w:t>
      </w:r>
      <w:r w:rsidR="00C261F5">
        <w:t>c</w:t>
      </w:r>
      <w:r w:rsidR="00F25C7A">
        <w:t xml:space="preserve">esses, Blunders” (p. 50); </w:t>
      </w:r>
      <w:r w:rsidR="00C11FE3">
        <w:t>“Ambivalent loyalty” (p. 114)</w:t>
      </w:r>
      <w:r w:rsidR="00F25C7A">
        <w:t>; “False Prophets and Closet Rebels” (p. 159)</w:t>
      </w:r>
      <w:r w:rsidR="00C11FE3">
        <w:t xml:space="preserve">. </w:t>
      </w:r>
      <w:r w:rsidR="00C261F5">
        <w:t>Even t</w:t>
      </w:r>
      <w:r w:rsidR="00DA2B29">
        <w:t xml:space="preserve">he book’s title </w:t>
      </w:r>
      <w:r w:rsidR="00C261F5">
        <w:t xml:space="preserve">becomes </w:t>
      </w:r>
      <w:r w:rsidR="00DA2B29">
        <w:t>a mystery, because w</w:t>
      </w:r>
      <w:r w:rsidR="00F96FF0">
        <w:t xml:space="preserve">hat separates anguish from anger </w:t>
      </w:r>
      <w:r w:rsidR="00DA2B29">
        <w:t xml:space="preserve">in the historical record </w:t>
      </w:r>
      <w:r w:rsidR="00F96FF0">
        <w:t xml:space="preserve">is rarely </w:t>
      </w:r>
      <w:r w:rsidR="00DA2B29">
        <w:t xml:space="preserve">made </w:t>
      </w:r>
      <w:r w:rsidR="00F96FF0">
        <w:t xml:space="preserve">apparent. </w:t>
      </w:r>
      <w:r w:rsidR="00C11FE3">
        <w:t>This is an author that likes to tease the reader more than to help.</w:t>
      </w:r>
    </w:p>
    <w:p w:rsidR="00C11FE3" w:rsidRDefault="00F96FF0" w:rsidP="003E60A6">
      <w:pPr>
        <w:pStyle w:val="NormalFollow"/>
      </w:pPr>
      <w:r>
        <w:lastRenderedPageBreak/>
        <w:t xml:space="preserve">A strong message of the book is </w:t>
      </w:r>
      <w:r w:rsidR="00C261F5">
        <w:t xml:space="preserve">that </w:t>
      </w:r>
      <w:r>
        <w:t xml:space="preserve">the attempt to create a planned economy led to chaos, and that the Bolsheviks’ totalitarian aspirations were continually subverted by the counter-strategies of the subjects. It’s a fair point, </w:t>
      </w:r>
      <w:r w:rsidR="0010235E">
        <w:t xml:space="preserve">although not </w:t>
      </w:r>
      <w:r w:rsidR="00467693">
        <w:t>new</w:t>
      </w:r>
      <w:r>
        <w:t xml:space="preserve">. It also leaves something out: </w:t>
      </w:r>
      <w:r w:rsidR="00F25C7A">
        <w:t xml:space="preserve">the planned economy </w:t>
      </w:r>
      <w:r w:rsidR="00D64D3C">
        <w:t xml:space="preserve">that the Bolsheviks </w:t>
      </w:r>
      <w:r w:rsidR="00F25C7A">
        <w:t xml:space="preserve">created </w:t>
      </w:r>
      <w:r w:rsidR="00D64D3C">
        <w:t xml:space="preserve">was, </w:t>
      </w:r>
      <w:r w:rsidR="00F25C7A">
        <w:t>for a considerable time</w:t>
      </w:r>
      <w:r w:rsidR="00D64D3C">
        <w:t>,</w:t>
      </w:r>
      <w:r w:rsidR="00F25C7A">
        <w:t xml:space="preserve"> a success. </w:t>
      </w:r>
      <w:r w:rsidR="00D64D3C">
        <w:t>Not a success, p</w:t>
      </w:r>
      <w:r w:rsidR="00F25C7A">
        <w:t>erhaps</w:t>
      </w:r>
      <w:r w:rsidR="00D64D3C">
        <w:t>,</w:t>
      </w:r>
      <w:r w:rsidR="00F25C7A">
        <w:t xml:space="preserve"> for </w:t>
      </w:r>
      <w:r w:rsidR="004C71CC">
        <w:t xml:space="preserve">the </w:t>
      </w:r>
      <w:r w:rsidR="00F25C7A">
        <w:t xml:space="preserve">ordinary </w:t>
      </w:r>
      <w:r w:rsidR="004C71CC">
        <w:t>workers and peasants who had to make it work, but</w:t>
      </w:r>
      <w:r w:rsidR="00C261F5">
        <w:t xml:space="preserve"> still</w:t>
      </w:r>
      <w:r w:rsidR="004C71CC">
        <w:t xml:space="preserve"> </w:t>
      </w:r>
      <w:r w:rsidR="00D64D3C">
        <w:t xml:space="preserve">a success </w:t>
      </w:r>
      <w:r w:rsidR="00F25C7A">
        <w:t xml:space="preserve">for its creators. </w:t>
      </w:r>
      <w:r w:rsidR="00D64D3C">
        <w:t xml:space="preserve">Lenin and Stalin </w:t>
      </w:r>
      <w:r w:rsidR="004C71CC">
        <w:t xml:space="preserve">wanted a </w:t>
      </w:r>
      <w:r>
        <w:t>centralized command system for the mass production of things</w:t>
      </w:r>
      <w:r w:rsidR="004C71CC">
        <w:t xml:space="preserve">, especially of the things that they saw as means of power in the world: locomotives, </w:t>
      </w:r>
      <w:r w:rsidR="00D64D3C">
        <w:t xml:space="preserve">lathes, </w:t>
      </w:r>
      <w:r w:rsidR="004C71CC">
        <w:t xml:space="preserve">power stations, ships, tanks, and planes. </w:t>
      </w:r>
      <w:r w:rsidR="00D64D3C">
        <w:t>Here was the system, even if many people experienced it as chaos, and the</w:t>
      </w:r>
      <w:r w:rsidR="00F0589C">
        <w:t xml:space="preserve"> system worked, turning a third-class economy into a first-</w:t>
      </w:r>
      <w:bookmarkStart w:id="0" w:name="_GoBack"/>
      <w:bookmarkEnd w:id="0"/>
      <w:r w:rsidR="00D64D3C">
        <w:t>class military power</w:t>
      </w:r>
      <w:r w:rsidR="00467693">
        <w:t xml:space="preserve">. </w:t>
      </w:r>
      <w:r w:rsidR="00D64D3C">
        <w:t xml:space="preserve">After many years </w:t>
      </w:r>
      <w:r w:rsidR="00467693">
        <w:t>the system collapsed, but not before it had qualified as one of the most durable of modern dictatorships.</w:t>
      </w:r>
    </w:p>
    <w:p w:rsidR="00BF239B" w:rsidRDefault="00BF239B" w:rsidP="003E60A6">
      <w:pPr>
        <w:pStyle w:val="NormalFollow"/>
      </w:pPr>
      <w:r>
        <w:t xml:space="preserve">This important book is certain to </w:t>
      </w:r>
      <w:r w:rsidR="00C261F5">
        <w:t xml:space="preserve">have an influence </w:t>
      </w:r>
      <w:r>
        <w:t xml:space="preserve">on future scholarly research and on the teaching of Russia’s social history. </w:t>
      </w:r>
      <w:r w:rsidR="00F0589C">
        <w:t xml:space="preserve">How widespread that influence will be </w:t>
      </w:r>
      <w:r>
        <w:t xml:space="preserve">is not </w:t>
      </w:r>
      <w:r w:rsidR="00F0589C">
        <w:t xml:space="preserve">entirely </w:t>
      </w:r>
      <w:r>
        <w:t xml:space="preserve">clear. </w:t>
      </w:r>
      <w:r w:rsidR="00C261F5">
        <w:t>For some</w:t>
      </w:r>
      <w:r w:rsidR="00F0589C">
        <w:t xml:space="preserve"> readers</w:t>
      </w:r>
      <w:r w:rsidR="00C261F5">
        <w:t xml:space="preserve"> it will be enough to </w:t>
      </w:r>
      <w:r>
        <w:t xml:space="preserve">dip into </w:t>
      </w:r>
      <w:r w:rsidR="00C261F5">
        <w:t xml:space="preserve">the pool </w:t>
      </w:r>
      <w:r>
        <w:t>and</w:t>
      </w:r>
      <w:r w:rsidR="00C261F5">
        <w:t xml:space="preserve"> </w:t>
      </w:r>
      <w:r w:rsidR="00F0589C">
        <w:t xml:space="preserve">catch hold of </w:t>
      </w:r>
      <w:r w:rsidR="00C261F5">
        <w:t xml:space="preserve">some fascinating gem. Others will require plenty of deep breathing followed by prolonged immersion </w:t>
      </w:r>
      <w:r>
        <w:t xml:space="preserve">to grasp </w:t>
      </w:r>
      <w:proofErr w:type="spellStart"/>
      <w:r>
        <w:t>Rittersporn’s</w:t>
      </w:r>
      <w:proofErr w:type="spellEnd"/>
      <w:r>
        <w:t xml:space="preserve"> project in its entirety.</w:t>
      </w:r>
    </w:p>
    <w:p w:rsidR="00144934" w:rsidRDefault="00144934" w:rsidP="003E60A6">
      <w:pPr>
        <w:spacing w:before="240"/>
      </w:pPr>
      <w:r>
        <w:t>Mark Harrison</w:t>
      </w:r>
    </w:p>
    <w:p w:rsidR="00144934" w:rsidRPr="00E15BE9" w:rsidRDefault="00144934" w:rsidP="00E15BE9">
      <w:r>
        <w:t>University of Warwick</w:t>
      </w:r>
    </w:p>
    <w:sectPr w:rsidR="00144934" w:rsidRPr="00E15BE9" w:rsidSect="00CB6B55">
      <w:headerReference w:type="default" r:id="rId7"/>
      <w:pgSz w:w="11906" w:h="16838" w:code="9"/>
      <w:pgMar w:top="1440" w:right="2160" w:bottom="1440" w:left="2160"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C5B" w:rsidRDefault="005B5C5B" w:rsidP="00354A0F">
      <w:pPr>
        <w:spacing w:line="240" w:lineRule="auto"/>
      </w:pPr>
      <w:r>
        <w:separator/>
      </w:r>
    </w:p>
  </w:endnote>
  <w:endnote w:type="continuationSeparator" w:id="0">
    <w:p w:rsidR="005B5C5B" w:rsidRDefault="005B5C5B" w:rsidP="00354A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C5B" w:rsidRDefault="005B5C5B" w:rsidP="00354A0F">
      <w:pPr>
        <w:spacing w:line="240" w:lineRule="auto"/>
      </w:pPr>
      <w:r>
        <w:separator/>
      </w:r>
    </w:p>
  </w:footnote>
  <w:footnote w:type="continuationSeparator" w:id="0">
    <w:p w:rsidR="005B5C5B" w:rsidRDefault="005B5C5B" w:rsidP="00354A0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7962564"/>
      <w:docPartObj>
        <w:docPartGallery w:val="Page Numbers (Top of Page)"/>
        <w:docPartUnique/>
      </w:docPartObj>
    </w:sdtPr>
    <w:sdtEndPr>
      <w:rPr>
        <w:noProof/>
      </w:rPr>
    </w:sdtEndPr>
    <w:sdtContent>
      <w:p w:rsidR="000B3D33" w:rsidRDefault="000B3D33" w:rsidP="00354A0F">
        <w:pPr>
          <w:pStyle w:val="Header"/>
          <w:jc w:val="center"/>
        </w:pPr>
        <w:r>
          <w:fldChar w:fldCharType="begin"/>
        </w:r>
        <w:r>
          <w:instrText xml:space="preserve"> PAGE   \* MERGEFORMAT </w:instrText>
        </w:r>
        <w:r>
          <w:fldChar w:fldCharType="separate"/>
        </w:r>
        <w:r w:rsidR="00AE6901">
          <w:rPr>
            <w:noProof/>
          </w:rPr>
          <w:t>3</w:t>
        </w:r>
        <w:r>
          <w:rPr>
            <w:noProof/>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1D6"/>
    <w:rsid w:val="00011639"/>
    <w:rsid w:val="000666A7"/>
    <w:rsid w:val="000A621E"/>
    <w:rsid w:val="000B3D33"/>
    <w:rsid w:val="000E7E43"/>
    <w:rsid w:val="0010235E"/>
    <w:rsid w:val="001160F9"/>
    <w:rsid w:val="00144934"/>
    <w:rsid w:val="001838AD"/>
    <w:rsid w:val="00185C82"/>
    <w:rsid w:val="001928E4"/>
    <w:rsid w:val="001F2C8B"/>
    <w:rsid w:val="00246F20"/>
    <w:rsid w:val="002C53EB"/>
    <w:rsid w:val="002D2398"/>
    <w:rsid w:val="00354A0F"/>
    <w:rsid w:val="003E60A6"/>
    <w:rsid w:val="003F3F02"/>
    <w:rsid w:val="004154F0"/>
    <w:rsid w:val="004239FD"/>
    <w:rsid w:val="00467693"/>
    <w:rsid w:val="004C71CC"/>
    <w:rsid w:val="00534504"/>
    <w:rsid w:val="00582328"/>
    <w:rsid w:val="005843DF"/>
    <w:rsid w:val="005B5C5B"/>
    <w:rsid w:val="005D562A"/>
    <w:rsid w:val="00652E37"/>
    <w:rsid w:val="006A14E7"/>
    <w:rsid w:val="006E18CD"/>
    <w:rsid w:val="006E1E56"/>
    <w:rsid w:val="00745FA6"/>
    <w:rsid w:val="00766AC8"/>
    <w:rsid w:val="00767C48"/>
    <w:rsid w:val="007869B8"/>
    <w:rsid w:val="0079469D"/>
    <w:rsid w:val="007E2562"/>
    <w:rsid w:val="008039A0"/>
    <w:rsid w:val="00850BCC"/>
    <w:rsid w:val="008651B7"/>
    <w:rsid w:val="00910F97"/>
    <w:rsid w:val="0093528D"/>
    <w:rsid w:val="0094152B"/>
    <w:rsid w:val="009D29E6"/>
    <w:rsid w:val="009D3A7B"/>
    <w:rsid w:val="00A03B62"/>
    <w:rsid w:val="00A202C9"/>
    <w:rsid w:val="00A77478"/>
    <w:rsid w:val="00AE6901"/>
    <w:rsid w:val="00B20011"/>
    <w:rsid w:val="00B5175B"/>
    <w:rsid w:val="00B9006F"/>
    <w:rsid w:val="00BB3443"/>
    <w:rsid w:val="00BF239B"/>
    <w:rsid w:val="00C11FE3"/>
    <w:rsid w:val="00C221D6"/>
    <w:rsid w:val="00C261F5"/>
    <w:rsid w:val="00CB6B55"/>
    <w:rsid w:val="00D2286E"/>
    <w:rsid w:val="00D46AF6"/>
    <w:rsid w:val="00D64D3C"/>
    <w:rsid w:val="00D673EA"/>
    <w:rsid w:val="00D92E02"/>
    <w:rsid w:val="00DA2B29"/>
    <w:rsid w:val="00DC6FFF"/>
    <w:rsid w:val="00E15BE9"/>
    <w:rsid w:val="00E27710"/>
    <w:rsid w:val="00E3077F"/>
    <w:rsid w:val="00E77993"/>
    <w:rsid w:val="00E86CD8"/>
    <w:rsid w:val="00E93344"/>
    <w:rsid w:val="00EE275C"/>
    <w:rsid w:val="00F0589C"/>
    <w:rsid w:val="00F25C7A"/>
    <w:rsid w:val="00F96FF0"/>
    <w:rsid w:val="00FB7768"/>
    <w:rsid w:val="00FF3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9DDA12-4B6F-4411-8798-57354CF97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B55"/>
    <w:pPr>
      <w:spacing w:after="0"/>
    </w:pPr>
    <w:rPr>
      <w:rFonts w:ascii="Cambria" w:hAnsi="Cambria"/>
      <w:sz w:val="24"/>
    </w:rPr>
  </w:style>
  <w:style w:type="paragraph" w:styleId="Heading1">
    <w:name w:val="heading 1"/>
    <w:basedOn w:val="Normal"/>
    <w:next w:val="Normal"/>
    <w:link w:val="Heading1Char"/>
    <w:uiPriority w:val="9"/>
    <w:qFormat/>
    <w:rsid w:val="00354A0F"/>
    <w:pPr>
      <w:keepNext/>
      <w:keepLines/>
      <w:spacing w:before="240"/>
      <w:outlineLvl w:val="0"/>
    </w:pPr>
    <w:rPr>
      <w:rFonts w:asciiTheme="majorHAnsi" w:eastAsiaTheme="majorEastAsia" w:hAnsiTheme="majorHAnsi" w:cstheme="majorBidi"/>
      <w:b/>
      <w:sz w:val="36"/>
      <w:szCs w:val="32"/>
    </w:rPr>
  </w:style>
  <w:style w:type="paragraph" w:styleId="Heading2">
    <w:name w:val="heading 2"/>
    <w:basedOn w:val="Normal"/>
    <w:next w:val="Normal"/>
    <w:link w:val="Heading2Char"/>
    <w:uiPriority w:val="9"/>
    <w:unhideWhenUsed/>
    <w:qFormat/>
    <w:rsid w:val="00354A0F"/>
    <w:pPr>
      <w:keepNext/>
      <w:keepLines/>
      <w:spacing w:before="240"/>
      <w:outlineLvl w:val="1"/>
    </w:pPr>
    <w:rPr>
      <w:rFonts w:asciiTheme="majorHAnsi" w:eastAsiaTheme="majorEastAsia" w:hAnsiTheme="majorHAnsi" w:cstheme="majorBidi"/>
      <w:b/>
      <w:sz w:val="26"/>
      <w:szCs w:val="26"/>
    </w:rPr>
  </w:style>
  <w:style w:type="paragraph" w:styleId="Heading3">
    <w:name w:val="heading 3"/>
    <w:basedOn w:val="Normal"/>
    <w:next w:val="Normal"/>
    <w:link w:val="Heading3Char"/>
    <w:uiPriority w:val="9"/>
    <w:unhideWhenUsed/>
    <w:qFormat/>
    <w:rsid w:val="00354A0F"/>
    <w:pPr>
      <w:keepNext/>
      <w:keepLines/>
      <w:spacing w:before="120"/>
      <w:outlineLvl w:val="2"/>
    </w:pPr>
    <w:rPr>
      <w:rFonts w:eastAsiaTheme="majorEastAsia" w:cstheme="majorBidi"/>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4A0F"/>
    <w:rPr>
      <w:rFonts w:asciiTheme="majorHAnsi" w:eastAsiaTheme="majorEastAsia" w:hAnsiTheme="majorHAnsi" w:cstheme="majorBidi"/>
      <w:b/>
      <w:sz w:val="36"/>
      <w:szCs w:val="32"/>
    </w:rPr>
  </w:style>
  <w:style w:type="character" w:customStyle="1" w:styleId="Heading3Char">
    <w:name w:val="Heading 3 Char"/>
    <w:basedOn w:val="DefaultParagraphFont"/>
    <w:link w:val="Heading3"/>
    <w:uiPriority w:val="9"/>
    <w:rsid w:val="00354A0F"/>
    <w:rPr>
      <w:rFonts w:ascii="Cambria" w:eastAsiaTheme="majorEastAsia" w:hAnsi="Cambria" w:cstheme="majorBidi"/>
      <w:i/>
      <w:sz w:val="24"/>
      <w:szCs w:val="24"/>
    </w:rPr>
  </w:style>
  <w:style w:type="character" w:customStyle="1" w:styleId="Heading2Char">
    <w:name w:val="Heading 2 Char"/>
    <w:basedOn w:val="DefaultParagraphFont"/>
    <w:link w:val="Heading2"/>
    <w:uiPriority w:val="9"/>
    <w:rsid w:val="00354A0F"/>
    <w:rPr>
      <w:rFonts w:asciiTheme="majorHAnsi" w:eastAsiaTheme="majorEastAsia" w:hAnsiTheme="majorHAnsi" w:cstheme="majorBidi"/>
      <w:b/>
      <w:sz w:val="26"/>
      <w:szCs w:val="26"/>
    </w:rPr>
  </w:style>
  <w:style w:type="paragraph" w:styleId="Title">
    <w:name w:val="Title"/>
    <w:basedOn w:val="Normal"/>
    <w:next w:val="Normal"/>
    <w:link w:val="TitleChar"/>
    <w:uiPriority w:val="10"/>
    <w:qFormat/>
    <w:rsid w:val="00354A0F"/>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4A0F"/>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354A0F"/>
    <w:pPr>
      <w:tabs>
        <w:tab w:val="center" w:pos="4513"/>
        <w:tab w:val="right" w:pos="9026"/>
      </w:tabs>
      <w:spacing w:line="240" w:lineRule="auto"/>
    </w:pPr>
  </w:style>
  <w:style w:type="character" w:customStyle="1" w:styleId="HeaderChar">
    <w:name w:val="Header Char"/>
    <w:basedOn w:val="DefaultParagraphFont"/>
    <w:link w:val="Header"/>
    <w:uiPriority w:val="99"/>
    <w:rsid w:val="00354A0F"/>
    <w:rPr>
      <w:rFonts w:ascii="Cambria" w:hAnsi="Cambria"/>
      <w:sz w:val="24"/>
    </w:rPr>
  </w:style>
  <w:style w:type="paragraph" w:styleId="Footer">
    <w:name w:val="footer"/>
    <w:basedOn w:val="Normal"/>
    <w:link w:val="FooterChar"/>
    <w:uiPriority w:val="99"/>
    <w:unhideWhenUsed/>
    <w:rsid w:val="00354A0F"/>
    <w:pPr>
      <w:tabs>
        <w:tab w:val="center" w:pos="4513"/>
        <w:tab w:val="right" w:pos="9026"/>
      </w:tabs>
      <w:spacing w:line="240" w:lineRule="auto"/>
    </w:pPr>
  </w:style>
  <w:style w:type="character" w:customStyle="1" w:styleId="FooterChar">
    <w:name w:val="Footer Char"/>
    <w:basedOn w:val="DefaultParagraphFont"/>
    <w:link w:val="Footer"/>
    <w:uiPriority w:val="99"/>
    <w:rsid w:val="00354A0F"/>
    <w:rPr>
      <w:rFonts w:ascii="Cambria" w:hAnsi="Cambria"/>
      <w:sz w:val="24"/>
    </w:rPr>
  </w:style>
  <w:style w:type="paragraph" w:styleId="FootnoteText">
    <w:name w:val="footnote text"/>
    <w:basedOn w:val="NormalFollow"/>
    <w:link w:val="FootnoteTextChar"/>
    <w:uiPriority w:val="99"/>
    <w:semiHidden/>
    <w:unhideWhenUsed/>
    <w:rsid w:val="00E15BE9"/>
    <w:pPr>
      <w:spacing w:before="240" w:line="240" w:lineRule="auto"/>
    </w:pPr>
    <w:rPr>
      <w:szCs w:val="20"/>
    </w:rPr>
  </w:style>
  <w:style w:type="character" w:customStyle="1" w:styleId="FootnoteTextChar">
    <w:name w:val="Footnote Text Char"/>
    <w:basedOn w:val="DefaultParagraphFont"/>
    <w:link w:val="FootnoteText"/>
    <w:uiPriority w:val="99"/>
    <w:semiHidden/>
    <w:rsid w:val="00E15BE9"/>
    <w:rPr>
      <w:rFonts w:ascii="Cambria" w:hAnsi="Cambria"/>
      <w:sz w:val="24"/>
      <w:szCs w:val="20"/>
    </w:rPr>
  </w:style>
  <w:style w:type="character" w:styleId="FootnoteReference">
    <w:name w:val="footnote reference"/>
    <w:basedOn w:val="DefaultParagraphFont"/>
    <w:uiPriority w:val="99"/>
    <w:semiHidden/>
    <w:unhideWhenUsed/>
    <w:rsid w:val="00E15BE9"/>
    <w:rPr>
      <w:vertAlign w:val="superscript"/>
    </w:rPr>
  </w:style>
  <w:style w:type="paragraph" w:styleId="Quote">
    <w:name w:val="Quote"/>
    <w:basedOn w:val="Normal"/>
    <w:next w:val="Normal"/>
    <w:link w:val="QuoteChar"/>
    <w:uiPriority w:val="29"/>
    <w:qFormat/>
    <w:rsid w:val="00E15BE9"/>
    <w:pPr>
      <w:spacing w:before="240" w:after="240"/>
      <w:ind w:left="360"/>
    </w:pPr>
  </w:style>
  <w:style w:type="character" w:customStyle="1" w:styleId="QuoteChar">
    <w:name w:val="Quote Char"/>
    <w:basedOn w:val="DefaultParagraphFont"/>
    <w:link w:val="Quote"/>
    <w:uiPriority w:val="29"/>
    <w:rsid w:val="00E15BE9"/>
    <w:rPr>
      <w:rFonts w:ascii="Cambria" w:hAnsi="Cambria"/>
      <w:sz w:val="24"/>
    </w:rPr>
  </w:style>
  <w:style w:type="paragraph" w:styleId="ListParagraph">
    <w:name w:val="List Paragraph"/>
    <w:basedOn w:val="Normal"/>
    <w:uiPriority w:val="34"/>
    <w:qFormat/>
    <w:rsid w:val="00E15BE9"/>
    <w:pPr>
      <w:ind w:left="360" w:hanging="360"/>
      <w:contextualSpacing/>
    </w:pPr>
  </w:style>
  <w:style w:type="paragraph" w:customStyle="1" w:styleId="NormalFollow">
    <w:name w:val="Normal Follow"/>
    <w:basedOn w:val="Normal"/>
    <w:link w:val="NormalFollowChar"/>
    <w:qFormat/>
    <w:rsid w:val="00E15BE9"/>
    <w:pPr>
      <w:ind w:firstLine="360"/>
    </w:pPr>
  </w:style>
  <w:style w:type="character" w:customStyle="1" w:styleId="NormalFollowChar">
    <w:name w:val="Normal Follow Char"/>
    <w:basedOn w:val="DefaultParagraphFont"/>
    <w:link w:val="NormalFollow"/>
    <w:rsid w:val="00E15BE9"/>
    <w:rPr>
      <w:rFonts w:ascii="Cambria" w:hAnsi="Cambr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EA022B-0D89-4EDD-A2A9-54776A3A4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630</TotalTime>
  <Pages>3</Pages>
  <Words>1147</Words>
  <Characters>6540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Harrison</dc:creator>
  <cp:keywords/>
  <dc:description/>
  <cp:lastModifiedBy>Mark Harrison</cp:lastModifiedBy>
  <cp:revision>9</cp:revision>
  <dcterms:created xsi:type="dcterms:W3CDTF">2016-08-03T16:35:00Z</dcterms:created>
  <dcterms:modified xsi:type="dcterms:W3CDTF">2016-10-06T15:49:00Z</dcterms:modified>
</cp:coreProperties>
</file>