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17F2" w:rsidRPr="005E43CC" w:rsidRDefault="000E0482" w:rsidP="00C44574">
      <w:pPr>
        <w:jc w:val="both"/>
        <w:rPr>
          <w:b/>
          <w:sz w:val="24"/>
          <w:szCs w:val="24"/>
        </w:rPr>
      </w:pPr>
      <w:r>
        <w:rPr>
          <w:b/>
          <w:sz w:val="24"/>
          <w:szCs w:val="24"/>
        </w:rPr>
        <w:t>Case Study T</w:t>
      </w:r>
      <w:r w:rsidR="005E43CC" w:rsidRPr="005E43CC">
        <w:rPr>
          <w:b/>
          <w:sz w:val="24"/>
          <w:szCs w:val="24"/>
        </w:rPr>
        <w:t>hree: Tackling Equality and Diversity in W</w:t>
      </w:r>
      <w:r w:rsidR="002A17F2" w:rsidRPr="005E43CC">
        <w:rPr>
          <w:b/>
          <w:sz w:val="24"/>
          <w:szCs w:val="24"/>
        </w:rPr>
        <w:t xml:space="preserve">ork </w:t>
      </w:r>
      <w:r w:rsidR="005E43CC" w:rsidRPr="005E43CC">
        <w:rPr>
          <w:b/>
          <w:sz w:val="24"/>
          <w:szCs w:val="24"/>
        </w:rPr>
        <w:t>Experience P</w:t>
      </w:r>
      <w:r w:rsidR="002A17F2" w:rsidRPr="005E43CC">
        <w:rPr>
          <w:b/>
          <w:sz w:val="24"/>
          <w:szCs w:val="24"/>
        </w:rPr>
        <w:t>lacements</w:t>
      </w:r>
    </w:p>
    <w:p w:rsidR="002A17F2" w:rsidRPr="005E43CC" w:rsidRDefault="002A17F2" w:rsidP="00C44574">
      <w:pPr>
        <w:jc w:val="both"/>
        <w:rPr>
          <w:b/>
        </w:rPr>
      </w:pPr>
      <w:r w:rsidRPr="005E43CC">
        <w:rPr>
          <w:b/>
        </w:rPr>
        <w:t>Aims</w:t>
      </w:r>
    </w:p>
    <w:p w:rsidR="002A17F2" w:rsidRDefault="005E43CC" w:rsidP="00C44574">
      <w:pPr>
        <w:jc w:val="both"/>
      </w:pPr>
      <w:r>
        <w:t xml:space="preserve">• </w:t>
      </w:r>
      <w:proofErr w:type="gramStart"/>
      <w:r w:rsidR="002A17F2">
        <w:t>establishment</w:t>
      </w:r>
      <w:proofErr w:type="gramEnd"/>
      <w:r w:rsidR="002A17F2">
        <w:t xml:space="preserve"> and utilisation of external partnerships to promote STEM subject choices and careers</w:t>
      </w:r>
    </w:p>
    <w:p w:rsidR="002A17F2" w:rsidRDefault="005E43CC" w:rsidP="00C44574">
      <w:pPr>
        <w:jc w:val="both"/>
      </w:pPr>
      <w:r>
        <w:t xml:space="preserve">• </w:t>
      </w:r>
      <w:proofErr w:type="gramStart"/>
      <w:r w:rsidR="002A17F2">
        <w:t>effective</w:t>
      </w:r>
      <w:proofErr w:type="gramEnd"/>
      <w:r w:rsidR="002A17F2">
        <w:t xml:space="preserve"> practice in equality and diversity</w:t>
      </w:r>
    </w:p>
    <w:p w:rsidR="002A17F2" w:rsidRPr="005E43CC" w:rsidRDefault="002A17F2" w:rsidP="00C44574">
      <w:pPr>
        <w:jc w:val="both"/>
        <w:rPr>
          <w:b/>
        </w:rPr>
      </w:pPr>
      <w:r w:rsidRPr="005E43CC">
        <w:rPr>
          <w:b/>
        </w:rPr>
        <w:t>The issue</w:t>
      </w:r>
    </w:p>
    <w:p w:rsidR="002A17F2" w:rsidRDefault="002A17F2" w:rsidP="00C44574">
      <w:pPr>
        <w:jc w:val="both"/>
      </w:pPr>
      <w:r w:rsidRPr="00263983">
        <w:t>The evidence</w:t>
      </w:r>
      <w:r w:rsidR="00263983">
        <w:t xml:space="preserve"> </w:t>
      </w:r>
      <w:r>
        <w:t xml:space="preserve">(IEBE, 2008) confirms that work experience can have a positive impact on the motivation to learn and can thus be a very useful insight into the potential of STEM career opportunities for young </w:t>
      </w:r>
      <w:r w:rsidR="005E43CC">
        <w:t>p</w:t>
      </w:r>
      <w:r>
        <w:t xml:space="preserve">eople. On the other hand there is evidence to confirm that access to STEM vocational subjects and work placements can be heavily gender stereotypical (Francis et al, 2005; OFSTED, 2010) and limited by class, gender and ethnicity (Hatcher and Le </w:t>
      </w:r>
      <w:proofErr w:type="spellStart"/>
      <w:r>
        <w:t>Gallais</w:t>
      </w:r>
      <w:proofErr w:type="spellEnd"/>
      <w:r>
        <w:t xml:space="preserve">, 2008). </w:t>
      </w:r>
    </w:p>
    <w:p w:rsidR="005E43CC" w:rsidRDefault="002A17F2" w:rsidP="00C44574">
      <w:pPr>
        <w:jc w:val="both"/>
      </w:pPr>
      <w:r>
        <w:t xml:space="preserve">The STEM careers project identified work experience as a potential hook for STEM subjects and careers from the beginning of the project and has been working to better understand barriers while developing approaches that tackle stereotypes and promote wider access to STEM work experience. </w:t>
      </w:r>
    </w:p>
    <w:p w:rsidR="002A17F2" w:rsidRDefault="002A17F2" w:rsidP="00C44574">
      <w:pPr>
        <w:jc w:val="both"/>
      </w:pPr>
      <w:r>
        <w:t>This case study shows how different approaches to work experience can impact on widening access.</w:t>
      </w:r>
    </w:p>
    <w:p w:rsidR="002A17F2" w:rsidRPr="005E43CC" w:rsidRDefault="002A17F2" w:rsidP="00C44574">
      <w:pPr>
        <w:jc w:val="both"/>
        <w:rPr>
          <w:b/>
        </w:rPr>
      </w:pPr>
      <w:r w:rsidRPr="005E43CC">
        <w:rPr>
          <w:b/>
        </w:rPr>
        <w:t>Starting points</w:t>
      </w:r>
    </w:p>
    <w:p w:rsidR="002A17F2" w:rsidRDefault="002A17F2" w:rsidP="00C44574">
      <w:pPr>
        <w:jc w:val="both"/>
      </w:pPr>
      <w:r>
        <w:t xml:space="preserve">The STEM careers project team developed a checklist to support improved arrangement of STEM placements, based on knowledge drawn from previous interventions and the findings from two focus groups of practitioners involved in work experience. Building on our research with test bed schools we asked how work experience worked in practice, by means of a short survey and telephone interview. We wanted to compare the experience in school with other research that shows barriers on socio-economic grounds as well as strong gender stereotyping. ‘If work experience is about learning and labour, it is about how working class kids get working class placements and middle class kids get managerial and professional ones.’ </w:t>
      </w:r>
      <w:proofErr w:type="gramStart"/>
      <w:r>
        <w:t xml:space="preserve">(Hatcher and Le </w:t>
      </w:r>
      <w:proofErr w:type="spellStart"/>
      <w:r>
        <w:t>Gallais</w:t>
      </w:r>
      <w:proofErr w:type="spellEnd"/>
      <w:r>
        <w:t>, 2008, p73).</w:t>
      </w:r>
      <w:proofErr w:type="gramEnd"/>
      <w:r>
        <w:t xml:space="preserve"> The team have considerable experience</w:t>
      </w:r>
      <w:r w:rsidR="005E43CC">
        <w:t xml:space="preserve"> </w:t>
      </w:r>
      <w:r>
        <w:t>of tackling gender stereotyping in work experience through the Wider Horizons award winning programme (2005-2007) and more recently with RAF and Navy in partnership with WISE and UKRC.</w:t>
      </w:r>
    </w:p>
    <w:p w:rsidR="002A17F2" w:rsidRPr="005E43CC" w:rsidRDefault="002A17F2" w:rsidP="00C44574">
      <w:pPr>
        <w:jc w:val="both"/>
        <w:rPr>
          <w:b/>
        </w:rPr>
      </w:pPr>
      <w:r w:rsidRPr="005E43CC">
        <w:rPr>
          <w:b/>
        </w:rPr>
        <w:t>Activity</w:t>
      </w:r>
    </w:p>
    <w:p w:rsidR="002A17F2" w:rsidRDefault="002A17F2" w:rsidP="00C44574">
      <w:pPr>
        <w:jc w:val="both"/>
      </w:pPr>
      <w:r>
        <w:t xml:space="preserve">While the majority of the six schools draw on their local Education Business Partnership (EBP) to obtain placements, they do it in different ways, with only one school relying completely on self-arranged placements. One school with higher than average free school meals (FSM) pupils was actively involved in driving the quality of work experience, while another with average FSM relied heavily on the EBP. </w:t>
      </w:r>
    </w:p>
    <w:p w:rsidR="002A17F2" w:rsidRDefault="002A17F2" w:rsidP="00C44574">
      <w:pPr>
        <w:jc w:val="both"/>
      </w:pPr>
      <w:r>
        <w:t xml:space="preserve">The estimate of STEM placements available was hard to determine because school co-ordinators did not have a good understanding of the breadth of and links to STEM in industry. In many cases the main focus was on gaining sufficient placements, avoiding the challenge to gender stereotypes or level and quality of placement. Most schools operated with a two week placement in year 10, but </w:t>
      </w:r>
      <w:r>
        <w:lastRenderedPageBreak/>
        <w:t xml:space="preserve">one academy offered a self-arranged placement in Year 12 together with a more flexible three week enrichment entitlement that could include </w:t>
      </w:r>
      <w:r w:rsidR="005E43CC">
        <w:t xml:space="preserve">work experience (and university </w:t>
      </w:r>
      <w:r>
        <w:t>visits or extended projects) with only those on vocational courses in year 10 going on work experience placements.</w:t>
      </w:r>
    </w:p>
    <w:p w:rsidR="002A17F2" w:rsidRDefault="002A17F2" w:rsidP="00C44574">
      <w:pPr>
        <w:jc w:val="both"/>
      </w:pPr>
      <w:r>
        <w:t>Full references for this case study will be found in Widening Horizons in STEM work experience, by Collins and Morton for Employer Educat</w:t>
      </w:r>
      <w:r w:rsidR="00E34497">
        <w:t>ion Research conference, 2010.</w:t>
      </w:r>
    </w:p>
    <w:p w:rsidR="002A17F2" w:rsidRPr="005E43CC" w:rsidRDefault="002A17F2" w:rsidP="00C44574">
      <w:pPr>
        <w:jc w:val="both"/>
        <w:rPr>
          <w:b/>
        </w:rPr>
      </w:pPr>
      <w:r w:rsidRPr="005E43CC">
        <w:rPr>
          <w:b/>
        </w:rPr>
        <w:t>Impact</w:t>
      </w:r>
    </w:p>
    <w:p w:rsidR="002A17F2" w:rsidRDefault="002A17F2" w:rsidP="00C44574">
      <w:pPr>
        <w:jc w:val="both"/>
      </w:pPr>
      <w:r>
        <w:t xml:space="preserve">The school with higher than average FSM acknowledged it was hard to get professional level placements, reinforcing other research findings (Hatcher and Le </w:t>
      </w:r>
      <w:proofErr w:type="spellStart"/>
      <w:r>
        <w:t>Gallais</w:t>
      </w:r>
      <w:proofErr w:type="spellEnd"/>
      <w:r>
        <w:t xml:space="preserve">, 2008), but they also actively intervened to avoid unskilled placements. Another school that left management with EBP acknowledged that some 40% of placements were unskilled. The impact of school intervention was seen to be crucial in tackling the barriers of socio-economic disadvantage. The number of STEM placements reported ranged from 9% to 40%, with higher numbers obtained linked to the proximity of large companies with structured placements (including </w:t>
      </w:r>
      <w:proofErr w:type="spellStart"/>
      <w:r>
        <w:t>Landrover</w:t>
      </w:r>
      <w:proofErr w:type="spellEnd"/>
      <w:r>
        <w:t xml:space="preserve">, Siemens and Nokia) or local garages that offer craft placements. Gender stereotyping was widespread with peer pressure being cited as well as the lack of challenges from placement providers.  </w:t>
      </w:r>
    </w:p>
    <w:p w:rsidR="002A17F2" w:rsidRPr="005E43CC" w:rsidRDefault="002A17F2" w:rsidP="00C44574">
      <w:pPr>
        <w:jc w:val="both"/>
        <w:rPr>
          <w:b/>
        </w:rPr>
      </w:pPr>
      <w:r w:rsidRPr="005E43CC">
        <w:rPr>
          <w:b/>
        </w:rPr>
        <w:t>Challenges</w:t>
      </w:r>
    </w:p>
    <w:p w:rsidR="002A17F2" w:rsidRDefault="002A17F2" w:rsidP="00C44574">
      <w:pPr>
        <w:jc w:val="both"/>
      </w:pPr>
      <w:r>
        <w:t>This aspect of STEM careers opportunities remains a huge challenge to deliver fair opportunities to all young people. While individual small scale interventions to tackle gender and class stereotyping have been successful, the evidence from our typical schools has identified considerable embedded challenges. As one head teacher said:</w:t>
      </w:r>
      <w:r w:rsidR="005E43CC">
        <w:t xml:space="preserve"> </w:t>
      </w:r>
      <w:r>
        <w:t>‘Finding meaningful placements is becoming increasingly difficult. As the economic situation is squeezed then</w:t>
      </w:r>
      <w:r w:rsidR="005E43CC">
        <w:t>,</w:t>
      </w:r>
      <w:r w:rsidR="00E34497">
        <w:t xml:space="preserve"> so is the number</w:t>
      </w:r>
      <w:r>
        <w:t xml:space="preserve"> of placements on offer. Structured daily plans are becoming the exception rather than the norm and some firms want to use the pupils as unpaid labour.’</w:t>
      </w:r>
    </w:p>
    <w:p w:rsidR="002A17F2" w:rsidRDefault="002A17F2" w:rsidP="00C44574">
      <w:pPr>
        <w:jc w:val="both"/>
      </w:pPr>
      <w:r>
        <w:t>If work experience placements are to make a positive contribution to widening the opportunity to STEM subject choice and careers then the challenges we have identified require further intervention.</w:t>
      </w:r>
    </w:p>
    <w:p w:rsidR="002A17F2" w:rsidRPr="005E43CC" w:rsidRDefault="002A17F2" w:rsidP="00C44574">
      <w:pPr>
        <w:jc w:val="both"/>
        <w:rPr>
          <w:b/>
        </w:rPr>
      </w:pPr>
      <w:r w:rsidRPr="005E43CC">
        <w:rPr>
          <w:b/>
        </w:rPr>
        <w:t>Messages for other schools</w:t>
      </w:r>
    </w:p>
    <w:p w:rsidR="002A17F2" w:rsidRDefault="002A17F2" w:rsidP="00C44574">
      <w:pPr>
        <w:jc w:val="both"/>
      </w:pPr>
      <w:r>
        <w:t>•</w:t>
      </w:r>
      <w:r>
        <w:tab/>
        <w:t xml:space="preserve"> </w:t>
      </w:r>
      <w:proofErr w:type="gramStart"/>
      <w:r>
        <w:t>school</w:t>
      </w:r>
      <w:proofErr w:type="gramEnd"/>
      <w:r>
        <w:t xml:space="preserve"> management teams need to be pro-active in the organisation of work experience placements if they are to tackle gender stereotypes and raise aspirations</w:t>
      </w:r>
    </w:p>
    <w:p w:rsidR="002A17F2" w:rsidRDefault="002A17F2" w:rsidP="00C44574">
      <w:pPr>
        <w:jc w:val="both"/>
      </w:pPr>
      <w:r>
        <w:t>•</w:t>
      </w:r>
      <w:r>
        <w:tab/>
        <w:t xml:space="preserve"> </w:t>
      </w:r>
      <w:proofErr w:type="gramStart"/>
      <w:r>
        <w:t>unskilled</w:t>
      </w:r>
      <w:proofErr w:type="gramEnd"/>
      <w:r>
        <w:t xml:space="preserve"> placements need to be used with caution where there are specific reasons – employers can be supported to provide structured and meaningful STEM placements</w:t>
      </w:r>
    </w:p>
    <w:p w:rsidR="00DA5196" w:rsidRDefault="002A17F2" w:rsidP="00C44574">
      <w:pPr>
        <w:jc w:val="both"/>
      </w:pPr>
      <w:r>
        <w:t>•</w:t>
      </w:r>
      <w:r>
        <w:tab/>
        <w:t xml:space="preserve"> </w:t>
      </w:r>
      <w:proofErr w:type="gramStart"/>
      <w:r>
        <w:t>if</w:t>
      </w:r>
      <w:proofErr w:type="gramEnd"/>
      <w:r>
        <w:t xml:space="preserve"> interesting and structured STEM work placements are available to all then a positive impact on the motivation to learn in STEM subjects can be achieved by all</w:t>
      </w:r>
      <w:r w:rsidR="005E43CC">
        <w:t>.</w:t>
      </w:r>
    </w:p>
    <w:p w:rsidR="00303F1F" w:rsidRDefault="00303F1F" w:rsidP="00C44574">
      <w:pPr>
        <w:jc w:val="both"/>
      </w:pPr>
    </w:p>
    <w:p w:rsidR="00303F1F" w:rsidRPr="009E1D99" w:rsidRDefault="00303F1F" w:rsidP="00303F1F">
      <w:pPr>
        <w:pStyle w:val="NormalWeb"/>
        <w:spacing w:before="0" w:beforeAutospacing="0" w:after="0" w:afterAutospacing="0" w:line="360" w:lineRule="atLeast"/>
        <w:textAlignment w:val="baseline"/>
        <w:rPr>
          <w:rFonts w:asciiTheme="minorHAnsi" w:hAnsiTheme="minorHAnsi" w:cstheme="minorHAnsi"/>
          <w:sz w:val="22"/>
          <w:szCs w:val="22"/>
        </w:rPr>
      </w:pPr>
      <w:bookmarkStart w:id="0" w:name="_GoBack"/>
      <w:r w:rsidRPr="009E1D99">
        <w:rPr>
          <w:rFonts w:asciiTheme="minorHAnsi" w:hAnsiTheme="minorHAnsi" w:cstheme="minorHAnsi"/>
          <w:sz w:val="22"/>
          <w:szCs w:val="22"/>
        </w:rPr>
        <w:t>This case study is one of several in the report</w:t>
      </w:r>
      <w:r w:rsidRPr="009E1D99">
        <w:rPr>
          <w:rFonts w:asciiTheme="minorHAnsi" w:hAnsiTheme="minorHAnsi" w:cstheme="minorHAnsi"/>
          <w:sz w:val="22"/>
          <w:szCs w:val="22"/>
          <w:bdr w:val="none" w:sz="0" w:space="0" w:color="auto" w:frame="1"/>
        </w:rPr>
        <w:t xml:space="preserve"> "</w:t>
      </w:r>
      <w:r w:rsidRPr="009E1D99">
        <w:rPr>
          <w:rStyle w:val="Emphasis"/>
          <w:rFonts w:asciiTheme="minorHAnsi" w:hAnsiTheme="minorHAnsi" w:cstheme="minorHAnsi"/>
          <w:sz w:val="22"/>
          <w:szCs w:val="22"/>
          <w:bdr w:val="none" w:sz="0" w:space="0" w:color="auto" w:frame="1"/>
        </w:rPr>
        <w:t>STEM Subject Choice and</w:t>
      </w:r>
      <w:r w:rsidRPr="009E1D99">
        <w:rPr>
          <w:rStyle w:val="Emphasis"/>
          <w:rFonts w:asciiTheme="minorHAnsi" w:hAnsiTheme="minorHAnsi" w:cstheme="minorHAnsi"/>
          <w:sz w:val="22"/>
          <w:szCs w:val="22"/>
        </w:rPr>
        <w:t> Careers Lessons Learned (Part 1)"</w:t>
      </w:r>
      <w:r w:rsidRPr="009E1D99">
        <w:rPr>
          <w:rStyle w:val="apple-converted-space"/>
          <w:rFonts w:asciiTheme="minorHAnsi" w:hAnsiTheme="minorHAnsi" w:cstheme="minorHAnsi"/>
          <w:i/>
          <w:iCs/>
          <w:sz w:val="22"/>
          <w:szCs w:val="22"/>
        </w:rPr>
        <w:t> </w:t>
      </w:r>
      <w:r w:rsidRPr="009E1D99">
        <w:rPr>
          <w:rFonts w:asciiTheme="minorHAnsi" w:hAnsiTheme="minorHAnsi" w:cstheme="minorHAnsi"/>
          <w:sz w:val="22"/>
          <w:szCs w:val="22"/>
        </w:rPr>
        <w:t>published by The Centre fo</w:t>
      </w:r>
      <w:r w:rsidRPr="009E1D99">
        <w:rPr>
          <w:rFonts w:asciiTheme="minorHAnsi" w:hAnsiTheme="minorHAnsi" w:cstheme="minorHAnsi"/>
          <w:sz w:val="22"/>
          <w:szCs w:val="22"/>
        </w:rPr>
        <w:t>r Science Education and Babcock.</w:t>
      </w:r>
    </w:p>
    <w:bookmarkEnd w:id="0"/>
    <w:p w:rsidR="00303F1F" w:rsidRDefault="00303F1F" w:rsidP="00C44574">
      <w:pPr>
        <w:jc w:val="both"/>
      </w:pPr>
    </w:p>
    <w:sectPr w:rsidR="00303F1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17F2"/>
    <w:rsid w:val="000529E5"/>
    <w:rsid w:val="000E0482"/>
    <w:rsid w:val="00263983"/>
    <w:rsid w:val="002A17F2"/>
    <w:rsid w:val="00303F1F"/>
    <w:rsid w:val="005E43CC"/>
    <w:rsid w:val="00697CB4"/>
    <w:rsid w:val="009E1D99"/>
    <w:rsid w:val="00C44574"/>
    <w:rsid w:val="00E344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03F1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303F1F"/>
    <w:rPr>
      <w:i/>
      <w:iCs/>
    </w:rPr>
  </w:style>
  <w:style w:type="character" w:customStyle="1" w:styleId="apple-converted-space">
    <w:name w:val="apple-converted-space"/>
    <w:basedOn w:val="DefaultParagraphFont"/>
    <w:rsid w:val="00303F1F"/>
  </w:style>
  <w:style w:type="character" w:styleId="Hyperlink">
    <w:name w:val="Hyperlink"/>
    <w:basedOn w:val="DefaultParagraphFont"/>
    <w:uiPriority w:val="99"/>
    <w:semiHidden/>
    <w:unhideWhenUsed/>
    <w:rsid w:val="00303F1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03F1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303F1F"/>
    <w:rPr>
      <w:i/>
      <w:iCs/>
    </w:rPr>
  </w:style>
  <w:style w:type="character" w:customStyle="1" w:styleId="apple-converted-space">
    <w:name w:val="apple-converted-space"/>
    <w:basedOn w:val="DefaultParagraphFont"/>
    <w:rsid w:val="00303F1F"/>
  </w:style>
  <w:style w:type="character" w:styleId="Hyperlink">
    <w:name w:val="Hyperlink"/>
    <w:basedOn w:val="DefaultParagraphFont"/>
    <w:uiPriority w:val="99"/>
    <w:semiHidden/>
    <w:unhideWhenUsed/>
    <w:rsid w:val="00303F1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4678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3066</TotalTime>
  <Pages>2</Pages>
  <Words>850</Words>
  <Characters>4850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5689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dc:creator>
  <cp:lastModifiedBy>Ian</cp:lastModifiedBy>
  <cp:revision>11</cp:revision>
  <dcterms:created xsi:type="dcterms:W3CDTF">2011-03-31T13:22:00Z</dcterms:created>
  <dcterms:modified xsi:type="dcterms:W3CDTF">2011-04-14T22:11:00Z</dcterms:modified>
</cp:coreProperties>
</file>