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099C" w:rsidRPr="0023099C" w:rsidRDefault="0023099C" w:rsidP="0023099C">
      <w:pPr>
        <w:rPr>
          <w:rFonts w:ascii="Calibri" w:eastAsia="Calibri" w:hAnsi="Calibri" w:cs="Times New Roman"/>
          <w:noProof/>
        </w:rPr>
      </w:pPr>
      <w:bookmarkStart w:id="0" w:name="_GoBack"/>
      <w:bookmarkEnd w:id="0"/>
      <w:r w:rsidRPr="0023099C">
        <w:rPr>
          <w:rFonts w:ascii="Calibri" w:eastAsia="Calibri" w:hAnsi="Calibri" w:cs="Times New Roman"/>
          <w:noProof/>
        </w:rPr>
        <w:drawing>
          <wp:inline distT="0" distB="0" distL="0" distR="0" wp14:anchorId="3AA75479" wp14:editId="40608857">
            <wp:extent cx="782782" cy="644582"/>
            <wp:effectExtent l="0" t="0" r="0" b="3175"/>
            <wp:docPr id="31" name="Picture 31" descr="N:\Projects\ESRC Pathfinder Brazil India\logos\esrc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Projects\ESRC Pathfinder Brazil India\logos\esrclogo.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82974" cy="644740"/>
                    </a:xfrm>
                    <a:prstGeom prst="rect">
                      <a:avLst/>
                    </a:prstGeom>
                    <a:noFill/>
                    <a:ln>
                      <a:noFill/>
                    </a:ln>
                  </pic:spPr>
                </pic:pic>
              </a:graphicData>
            </a:graphic>
          </wp:inline>
        </w:drawing>
      </w:r>
      <w:r w:rsidRPr="0023099C">
        <w:rPr>
          <w:rFonts w:ascii="Calibri" w:eastAsia="Calibri" w:hAnsi="Calibri" w:cs="Times New Roman"/>
          <w:noProof/>
        </w:rPr>
        <w:t xml:space="preserve">                                                               </w:t>
      </w:r>
      <w:r>
        <w:rPr>
          <w:rFonts w:ascii="Calibri" w:eastAsia="Calibri" w:hAnsi="Calibri" w:cs="Times New Roman"/>
          <w:noProof/>
        </w:rPr>
        <w:tab/>
      </w:r>
      <w:r>
        <w:rPr>
          <w:rFonts w:ascii="Calibri" w:eastAsia="Calibri" w:hAnsi="Calibri" w:cs="Times New Roman"/>
          <w:noProof/>
        </w:rPr>
        <w:tab/>
      </w:r>
      <w:r>
        <w:rPr>
          <w:rFonts w:ascii="Calibri" w:eastAsia="Calibri" w:hAnsi="Calibri" w:cs="Times New Roman"/>
          <w:noProof/>
        </w:rPr>
        <w:tab/>
      </w:r>
      <w:r w:rsidRPr="0023099C">
        <w:rPr>
          <w:rFonts w:ascii="Calibri" w:eastAsia="Calibri" w:hAnsi="Calibri" w:cs="Times New Roman"/>
          <w:noProof/>
        </w:rPr>
        <w:t xml:space="preserve">     </w:t>
      </w:r>
      <w:r w:rsidRPr="0023099C">
        <w:rPr>
          <w:rFonts w:ascii="Calibri" w:eastAsia="Calibri" w:hAnsi="Calibri" w:cs="Times New Roman"/>
          <w:noProof/>
        </w:rPr>
        <w:drawing>
          <wp:inline distT="0" distB="0" distL="0" distR="0" wp14:anchorId="525B380A" wp14:editId="1081A796">
            <wp:extent cx="1590999" cy="630382"/>
            <wp:effectExtent l="0" t="0" r="0" b="0"/>
            <wp:docPr id="28" name="Picture 28" descr="N:\Projects\ESRC Pathfinder Brazil India\logos\IER Logo 2009 (with text) 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Projects\ESRC Pathfinder Brazil India\logos\IER Logo 2009 (with text) Small.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606" cy="631415"/>
                    </a:xfrm>
                    <a:prstGeom prst="rect">
                      <a:avLst/>
                    </a:prstGeom>
                    <a:noFill/>
                    <a:ln>
                      <a:noFill/>
                    </a:ln>
                  </pic:spPr>
                </pic:pic>
              </a:graphicData>
            </a:graphic>
          </wp:inline>
        </w:drawing>
      </w:r>
    </w:p>
    <w:p w:rsidR="0023099C" w:rsidRPr="002E24F2" w:rsidRDefault="0023099C" w:rsidP="0023099C">
      <w:pPr>
        <w:spacing w:after="0"/>
        <w:jc w:val="center"/>
      </w:pPr>
      <w:r w:rsidRPr="002E24F2">
        <w:t xml:space="preserve">ESRC Pathfinder Programme on Collaborative Analysis of </w:t>
      </w:r>
      <w:proofErr w:type="spellStart"/>
      <w:r w:rsidRPr="002E24F2">
        <w:t>Microdata</w:t>
      </w:r>
      <w:proofErr w:type="spellEnd"/>
      <w:r w:rsidRPr="002E24F2">
        <w:t xml:space="preserve"> Resources: Brazil and India </w:t>
      </w:r>
    </w:p>
    <w:p w:rsidR="0023099C" w:rsidRDefault="0023099C" w:rsidP="0023099C">
      <w:pPr>
        <w:spacing w:after="0"/>
        <w:jc w:val="center"/>
        <w:rPr>
          <w:b/>
          <w:sz w:val="24"/>
          <w:szCs w:val="24"/>
        </w:rPr>
      </w:pPr>
      <w:r w:rsidRPr="002E24F2">
        <w:rPr>
          <w:b/>
          <w:sz w:val="24"/>
          <w:szCs w:val="24"/>
        </w:rPr>
        <w:t>Assessing the impact of higher education expansion on economic restructuring, occupational change and access to opportunities in Brazil and India</w:t>
      </w:r>
    </w:p>
    <w:p w:rsidR="0023099C" w:rsidRDefault="0023099C" w:rsidP="0023099C">
      <w:pPr>
        <w:spacing w:after="0"/>
        <w:jc w:val="center"/>
        <w:rPr>
          <w:b/>
          <w:sz w:val="24"/>
          <w:szCs w:val="24"/>
        </w:rPr>
      </w:pPr>
    </w:p>
    <w:p w:rsidR="0023099C" w:rsidRPr="002E24F2" w:rsidRDefault="0023099C" w:rsidP="0023099C">
      <w:pPr>
        <w:spacing w:after="0"/>
        <w:jc w:val="center"/>
        <w:rPr>
          <w:b/>
          <w:sz w:val="24"/>
          <w:szCs w:val="24"/>
        </w:rPr>
      </w:pPr>
    </w:p>
    <w:p w:rsidR="0023099C" w:rsidRPr="00E76964" w:rsidRDefault="0023099C" w:rsidP="0023099C">
      <w:pPr>
        <w:jc w:val="center"/>
        <w:rPr>
          <w:b/>
          <w:sz w:val="40"/>
          <w:szCs w:val="40"/>
        </w:rPr>
      </w:pPr>
    </w:p>
    <w:p w:rsidR="0023099C" w:rsidRPr="00456ED8" w:rsidRDefault="0023099C" w:rsidP="0023099C">
      <w:pPr>
        <w:jc w:val="center"/>
        <w:rPr>
          <w:b/>
          <w:sz w:val="48"/>
          <w:szCs w:val="48"/>
        </w:rPr>
      </w:pPr>
      <w:r w:rsidRPr="00456ED8">
        <w:rPr>
          <w:b/>
          <w:sz w:val="48"/>
          <w:szCs w:val="48"/>
        </w:rPr>
        <w:t xml:space="preserve">Higher education, intergenerational mobility </w:t>
      </w:r>
    </w:p>
    <w:p w:rsidR="0023099C" w:rsidRPr="00456ED8" w:rsidRDefault="0023099C" w:rsidP="0023099C">
      <w:pPr>
        <w:jc w:val="center"/>
        <w:rPr>
          <w:b/>
          <w:sz w:val="48"/>
          <w:szCs w:val="48"/>
        </w:rPr>
      </w:pPr>
      <w:proofErr w:type="gramStart"/>
      <w:r w:rsidRPr="00456ED8">
        <w:rPr>
          <w:b/>
          <w:sz w:val="48"/>
          <w:szCs w:val="48"/>
        </w:rPr>
        <w:t>and</w:t>
      </w:r>
      <w:proofErr w:type="gramEnd"/>
      <w:r w:rsidRPr="00456ED8">
        <w:rPr>
          <w:b/>
          <w:sz w:val="48"/>
          <w:szCs w:val="48"/>
        </w:rPr>
        <w:t xml:space="preserve"> earnings: the case of the UK</w:t>
      </w:r>
    </w:p>
    <w:p w:rsidR="0023099C" w:rsidRDefault="0023099C" w:rsidP="0023099C">
      <w:pPr>
        <w:jc w:val="center"/>
        <w:rPr>
          <w:b/>
          <w:bCs/>
          <w:sz w:val="40"/>
          <w:szCs w:val="40"/>
        </w:rPr>
      </w:pPr>
    </w:p>
    <w:p w:rsidR="0023099C" w:rsidRDefault="0023099C" w:rsidP="0023099C">
      <w:pPr>
        <w:jc w:val="center"/>
        <w:rPr>
          <w:b/>
          <w:sz w:val="32"/>
          <w:szCs w:val="32"/>
        </w:rPr>
      </w:pPr>
    </w:p>
    <w:p w:rsidR="0023099C" w:rsidRPr="00456ED8" w:rsidRDefault="0023099C" w:rsidP="0023099C">
      <w:pPr>
        <w:spacing w:after="0"/>
        <w:jc w:val="center"/>
        <w:rPr>
          <w:b/>
          <w:sz w:val="28"/>
          <w:szCs w:val="28"/>
        </w:rPr>
      </w:pPr>
      <w:r w:rsidRPr="00456ED8">
        <w:rPr>
          <w:b/>
          <w:sz w:val="28"/>
          <w:szCs w:val="28"/>
        </w:rPr>
        <w:t>Peter Elias and Kate Purcell</w:t>
      </w:r>
    </w:p>
    <w:p w:rsidR="0023099C" w:rsidRDefault="0023099C" w:rsidP="0023099C">
      <w:pPr>
        <w:spacing w:after="0"/>
        <w:jc w:val="center"/>
        <w:rPr>
          <w:b/>
          <w:sz w:val="28"/>
          <w:szCs w:val="28"/>
        </w:rPr>
      </w:pPr>
    </w:p>
    <w:p w:rsidR="0023099C" w:rsidRPr="00456ED8" w:rsidRDefault="0023099C" w:rsidP="0023099C">
      <w:pPr>
        <w:spacing w:after="0"/>
        <w:jc w:val="center"/>
        <w:rPr>
          <w:sz w:val="24"/>
          <w:szCs w:val="24"/>
        </w:rPr>
      </w:pPr>
      <w:r>
        <w:rPr>
          <w:sz w:val="24"/>
          <w:szCs w:val="24"/>
        </w:rPr>
        <w:t xml:space="preserve">IER, </w:t>
      </w:r>
      <w:r w:rsidRPr="00456ED8">
        <w:rPr>
          <w:sz w:val="24"/>
          <w:szCs w:val="24"/>
        </w:rPr>
        <w:t>University of Warwick</w:t>
      </w:r>
    </w:p>
    <w:p w:rsidR="0023099C" w:rsidRDefault="00C242DB" w:rsidP="0023099C">
      <w:pPr>
        <w:spacing w:after="0"/>
        <w:jc w:val="center"/>
        <w:rPr>
          <w:sz w:val="24"/>
          <w:szCs w:val="24"/>
        </w:rPr>
      </w:pPr>
      <w:hyperlink r:id="rId10" w:history="1">
        <w:r w:rsidR="0023099C" w:rsidRPr="0009560D">
          <w:rPr>
            <w:rStyle w:val="Hyperlink"/>
            <w:sz w:val="24"/>
            <w:szCs w:val="24"/>
          </w:rPr>
          <w:t>peter.elias@warwick.ac.uk</w:t>
        </w:r>
      </w:hyperlink>
      <w:r w:rsidR="0023099C">
        <w:rPr>
          <w:sz w:val="24"/>
          <w:szCs w:val="24"/>
        </w:rPr>
        <w:t xml:space="preserve"> and </w:t>
      </w:r>
      <w:hyperlink r:id="rId11" w:history="1">
        <w:r w:rsidR="0023099C" w:rsidRPr="003830CD">
          <w:rPr>
            <w:rStyle w:val="Hyperlink"/>
            <w:sz w:val="24"/>
            <w:szCs w:val="24"/>
          </w:rPr>
          <w:t>kate.purcell@warwick.ac.uk</w:t>
        </w:r>
      </w:hyperlink>
    </w:p>
    <w:p w:rsidR="0023099C" w:rsidRDefault="0023099C" w:rsidP="0023099C">
      <w:pPr>
        <w:spacing w:after="0"/>
        <w:jc w:val="center"/>
        <w:rPr>
          <w:sz w:val="24"/>
          <w:szCs w:val="24"/>
        </w:rPr>
      </w:pPr>
    </w:p>
    <w:p w:rsidR="0023099C" w:rsidRDefault="0023099C" w:rsidP="0023099C">
      <w:pPr>
        <w:jc w:val="center"/>
        <w:rPr>
          <w:sz w:val="24"/>
          <w:szCs w:val="24"/>
        </w:rPr>
      </w:pPr>
    </w:p>
    <w:p w:rsidR="0023099C" w:rsidRDefault="0023099C" w:rsidP="0023099C">
      <w:pPr>
        <w:jc w:val="center"/>
        <w:rPr>
          <w:sz w:val="24"/>
          <w:szCs w:val="24"/>
        </w:rPr>
      </w:pPr>
      <w:r>
        <w:rPr>
          <w:b/>
          <w:noProof/>
          <w:sz w:val="32"/>
          <w:szCs w:val="32"/>
        </w:rPr>
        <mc:AlternateContent>
          <mc:Choice Requires="wps">
            <w:drawing>
              <wp:anchor distT="0" distB="0" distL="114300" distR="114300" simplePos="0" relativeHeight="251659264" behindDoc="0" locked="0" layoutInCell="1" allowOverlap="1">
                <wp:simplePos x="0" y="0"/>
                <wp:positionH relativeFrom="column">
                  <wp:posOffset>1833880</wp:posOffset>
                </wp:positionH>
                <wp:positionV relativeFrom="paragraph">
                  <wp:posOffset>333375</wp:posOffset>
                </wp:positionV>
                <wp:extent cx="2394585" cy="662305"/>
                <wp:effectExtent l="5080" t="9525" r="12700" b="13970"/>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4585" cy="662305"/>
                        </a:xfrm>
                        <a:prstGeom prst="rect">
                          <a:avLst/>
                        </a:prstGeom>
                        <a:solidFill>
                          <a:srgbClr val="FFFFFF"/>
                        </a:solidFill>
                        <a:ln w="9525">
                          <a:solidFill>
                            <a:srgbClr val="000000"/>
                          </a:solidFill>
                          <a:miter lim="800000"/>
                          <a:headEnd/>
                          <a:tailEnd/>
                        </a:ln>
                      </wps:spPr>
                      <wps:txbx>
                        <w:txbxContent>
                          <w:p w:rsidR="0023099C" w:rsidRPr="009A22C8" w:rsidRDefault="0023099C" w:rsidP="0023099C">
                            <w:pPr>
                              <w:spacing w:after="0" w:line="240" w:lineRule="auto"/>
                              <w:jc w:val="center"/>
                            </w:pPr>
                            <w:r w:rsidRPr="009A22C8">
                              <w:t>WORKING PAPER:</w:t>
                            </w:r>
                          </w:p>
                          <w:p w:rsidR="0023099C" w:rsidRPr="009A22C8" w:rsidRDefault="0023099C" w:rsidP="0023099C">
                            <w:pPr>
                              <w:spacing w:after="0" w:line="240" w:lineRule="auto"/>
                              <w:jc w:val="center"/>
                            </w:pPr>
                            <w:r w:rsidRPr="009A22C8">
                              <w:t xml:space="preserve"> PLEASE CHECK WITH AUTHOR</w:t>
                            </w:r>
                            <w:r>
                              <w:t>S</w:t>
                            </w:r>
                            <w:r w:rsidRPr="009A22C8">
                              <w:t xml:space="preserve"> </w:t>
                            </w:r>
                          </w:p>
                          <w:p w:rsidR="0023099C" w:rsidRPr="009A22C8" w:rsidRDefault="0023099C" w:rsidP="0023099C">
                            <w:pPr>
                              <w:spacing w:after="0" w:line="240" w:lineRule="auto"/>
                              <w:jc w:val="center"/>
                            </w:pPr>
                            <w:r w:rsidRPr="009A22C8">
                              <w:t>PRIOR TO CITATION</w:t>
                            </w:r>
                          </w:p>
                          <w:p w:rsidR="0023099C" w:rsidRPr="009A14AD" w:rsidRDefault="0023099C" w:rsidP="0023099C"/>
                          <w:p w:rsidR="0023099C" w:rsidRDefault="0023099C" w:rsidP="0023099C"/>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2" o:spid="_x0000_s1026" type="#_x0000_t202" style="position:absolute;left:0;text-align:left;margin-left:144.4pt;margin-top:26.25pt;width:188.55pt;height:52.15pt;z-index:25165926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">
                <v:textbox>
                  <w:txbxContent>
                    <w:p w:rsidR="0023099C" w:rsidRPr="009A22C8" w:rsidRDefault="0023099C" w:rsidP="0023099C">
                      <w:pPr>
                        <w:spacing w:after="0" w:line="240" w:lineRule="auto"/>
                        <w:jc w:val="center"/>
                      </w:pPr>
                      <w:r w:rsidRPr="009A22C8">
                        <w:t>WORKING PAPER:</w:t>
                      </w:r>
                    </w:p>
                    <w:p w:rsidR="0023099C" w:rsidRPr="009A22C8" w:rsidRDefault="0023099C" w:rsidP="0023099C">
                      <w:pPr>
                        <w:spacing w:after="0" w:line="240" w:lineRule="auto"/>
                        <w:jc w:val="center"/>
                      </w:pPr>
                      <w:r w:rsidRPr="009A22C8">
                        <w:t xml:space="preserve"> PLEASE CHECK WITH AUTHOR</w:t>
                      </w:r>
                      <w:r>
                        <w:t>S</w:t>
                      </w:r>
                      <w:r w:rsidRPr="009A22C8">
                        <w:t xml:space="preserve"> </w:t>
                      </w:r>
                    </w:p>
                    <w:p w:rsidR="0023099C" w:rsidRPr="009A22C8" w:rsidRDefault="0023099C" w:rsidP="0023099C">
                      <w:pPr>
                        <w:spacing w:after="0" w:line="240" w:lineRule="auto"/>
                        <w:jc w:val="center"/>
                      </w:pPr>
                      <w:r w:rsidRPr="009A22C8">
                        <w:t>PRIOR TO CITATION</w:t>
                      </w:r>
                    </w:p>
                    <w:p w:rsidR="0023099C" w:rsidRPr="009A14AD" w:rsidRDefault="0023099C" w:rsidP="0023099C"/>
                    <w:p w:rsidR="0023099C" w:rsidRDefault="0023099C" w:rsidP="0023099C"/>
                  </w:txbxContent>
                </v:textbox>
              </v:shape>
            </w:pict>
          </mc:Fallback>
        </mc:AlternateContent>
      </w:r>
      <w:r>
        <w:rPr>
          <w:sz w:val="24"/>
          <w:szCs w:val="24"/>
        </w:rPr>
        <w:t>December</w:t>
      </w:r>
      <w:r w:rsidRPr="002E24F2">
        <w:rPr>
          <w:sz w:val="24"/>
          <w:szCs w:val="24"/>
        </w:rPr>
        <w:t xml:space="preserve"> 2011</w:t>
      </w:r>
    </w:p>
    <w:p w:rsidR="0023099C" w:rsidRDefault="0023099C" w:rsidP="0023099C">
      <w:pPr>
        <w:jc w:val="center"/>
        <w:rPr>
          <w:sz w:val="24"/>
          <w:szCs w:val="24"/>
        </w:rPr>
      </w:pPr>
    </w:p>
    <w:p w:rsidR="0023099C" w:rsidRDefault="0023099C" w:rsidP="0023099C">
      <w:pPr>
        <w:jc w:val="center"/>
        <w:rPr>
          <w:sz w:val="24"/>
          <w:szCs w:val="24"/>
        </w:rPr>
      </w:pPr>
    </w:p>
    <w:p w:rsidR="0023099C" w:rsidRDefault="0023099C" w:rsidP="0023099C">
      <w:pPr>
        <w:jc w:val="center"/>
        <w:rPr>
          <w:sz w:val="24"/>
          <w:szCs w:val="24"/>
        </w:rPr>
      </w:pPr>
    </w:p>
    <w:p w:rsidR="0023099C" w:rsidRDefault="0023099C" w:rsidP="0023099C">
      <w:pPr>
        <w:jc w:val="center"/>
        <w:rPr>
          <w:sz w:val="24"/>
          <w:szCs w:val="24"/>
        </w:rPr>
      </w:pPr>
    </w:p>
    <w:p w:rsidR="0023099C" w:rsidRDefault="0023099C" w:rsidP="0023099C">
      <w:pPr>
        <w:rPr>
          <w:noProof/>
        </w:rPr>
        <w:sectPr w:rsidR="0023099C" w:rsidSect="0023099C">
          <w:footerReference w:type="default" r:id="rId12"/>
          <w:pgSz w:w="11906" w:h="16838"/>
          <w:pgMar w:top="1440" w:right="849" w:bottom="1440" w:left="1440" w:header="708" w:footer="708" w:gutter="0"/>
          <w:cols w:space="708"/>
          <w:titlePg/>
          <w:docGrid w:linePitch="360"/>
        </w:sectPr>
      </w:pPr>
      <w:r>
        <w:rPr>
          <w:b/>
          <w:noProof/>
        </w:rPr>
        <w:t xml:space="preserve">  </w:t>
      </w:r>
      <w:r>
        <w:rPr>
          <w:noProof/>
        </w:rPr>
        <w:drawing>
          <wp:inline distT="0" distB="0" distL="0" distR="0">
            <wp:extent cx="1045845" cy="845185"/>
            <wp:effectExtent l="0" t="0" r="1905" b="0"/>
            <wp:docPr id="26" name="Picture 26" descr="Description: C:\Users\PaulaZ\AppData\Local\Microsoft\Windows\Temporary Internet Files\Content.Outlook\ZZY4FWYO\logocebrapnomeverd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Description: C:\Users\PaulaZ\AppData\Local\Microsoft\Windows\Temporary Internet Files\Content.Outlook\ZZY4FWYO\logocebrapnomeverde1.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45845" cy="845185"/>
                    </a:xfrm>
                    <a:prstGeom prst="rect">
                      <a:avLst/>
                    </a:prstGeom>
                    <a:noFill/>
                    <a:ln>
                      <a:noFill/>
                    </a:ln>
                  </pic:spPr>
                </pic:pic>
              </a:graphicData>
            </a:graphic>
          </wp:inline>
        </w:drawing>
      </w:r>
      <w:r>
        <w:rPr>
          <w:b/>
          <w:noProof/>
        </w:rPr>
        <w:t xml:space="preserve">                  </w:t>
      </w:r>
      <w:r>
        <w:rPr>
          <w:noProof/>
        </w:rPr>
        <w:drawing>
          <wp:inline distT="0" distB="0" distL="0" distR="0">
            <wp:extent cx="1524000" cy="852170"/>
            <wp:effectExtent l="0" t="0" r="0" b="5080"/>
            <wp:docPr id="25" name="Picture 25" descr="Description: Logo CEM em alta resolução.jpg small website vers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Logo CEM em alta resolução.jpg small website version.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0" cy="852170"/>
                    </a:xfrm>
                    <a:prstGeom prst="rect">
                      <a:avLst/>
                    </a:prstGeom>
                    <a:noFill/>
                    <a:ln>
                      <a:noFill/>
                    </a:ln>
                  </pic:spPr>
                </pic:pic>
              </a:graphicData>
            </a:graphic>
          </wp:inline>
        </w:drawing>
      </w:r>
      <w:r>
        <w:rPr>
          <w:noProof/>
        </w:rPr>
        <w:t xml:space="preserve">     </w:t>
      </w:r>
      <w:r>
        <w:rPr>
          <w:b/>
          <w:noProof/>
        </w:rPr>
        <w:drawing>
          <wp:inline distT="0" distB="0" distL="0" distR="0">
            <wp:extent cx="1586230" cy="817245"/>
            <wp:effectExtent l="0" t="0" r="0" b="1905"/>
            <wp:docPr id="15" name="Picture 15" descr="https://www.irma.ac.in/images/left_logo_irma.gif">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irma.ac.in/images/left_logo_irma.gif">
                      <a:hlinkClick r:id="rId15"/>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86230" cy="817245"/>
                    </a:xfrm>
                    <a:prstGeom prst="rect">
                      <a:avLst/>
                    </a:prstGeom>
                    <a:noFill/>
                    <a:ln>
                      <a:noFill/>
                    </a:ln>
                  </pic:spPr>
                </pic:pic>
              </a:graphicData>
            </a:graphic>
          </wp:inline>
        </w:drawing>
      </w:r>
      <w:r>
        <w:t xml:space="preserve">    </w:t>
      </w:r>
      <w:r>
        <w:rPr>
          <w:noProof/>
        </w:rPr>
        <w:t xml:space="preserve">     </w:t>
      </w:r>
      <w:r>
        <w:rPr>
          <w:b/>
          <w:noProof/>
        </w:rPr>
        <w:drawing>
          <wp:inline distT="0" distB="0" distL="0" distR="0">
            <wp:extent cx="789940" cy="852170"/>
            <wp:effectExtent l="0" t="0" r="0" b="5080"/>
            <wp:docPr id="4" name="Picture 4" descr="Observer Research Foundation">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file_pic" descr="Observer Research Foundation">
                      <a:hlinkClick r:id="rId17"/>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89940" cy="852170"/>
                    </a:xfrm>
                    <a:prstGeom prst="rect">
                      <a:avLst/>
                    </a:prstGeom>
                    <a:noFill/>
                    <a:ln>
                      <a:noFill/>
                    </a:ln>
                  </pic:spPr>
                </pic:pic>
              </a:graphicData>
            </a:graphic>
          </wp:inline>
        </w:drawing>
      </w:r>
    </w:p>
    <w:p w:rsidR="00501B58" w:rsidRDefault="00501B58" w:rsidP="00501B58">
      <w:pPr>
        <w:rPr>
          <w:b/>
          <w:sz w:val="28"/>
          <w:szCs w:val="28"/>
        </w:rPr>
      </w:pPr>
      <w:r w:rsidRPr="00A72AAA">
        <w:rPr>
          <w:b/>
          <w:sz w:val="28"/>
          <w:szCs w:val="28"/>
        </w:rPr>
        <w:lastRenderedPageBreak/>
        <w:t xml:space="preserve">Higher </w:t>
      </w:r>
      <w:r>
        <w:rPr>
          <w:b/>
          <w:sz w:val="28"/>
          <w:szCs w:val="28"/>
        </w:rPr>
        <w:t>e</w:t>
      </w:r>
      <w:r w:rsidRPr="00A72AAA">
        <w:rPr>
          <w:b/>
          <w:sz w:val="28"/>
          <w:szCs w:val="28"/>
        </w:rPr>
        <w:t xml:space="preserve">ducation, </w:t>
      </w:r>
      <w:r>
        <w:rPr>
          <w:b/>
          <w:sz w:val="28"/>
          <w:szCs w:val="28"/>
        </w:rPr>
        <w:t>i</w:t>
      </w:r>
      <w:r w:rsidRPr="00A72AAA">
        <w:rPr>
          <w:b/>
          <w:sz w:val="28"/>
          <w:szCs w:val="28"/>
        </w:rPr>
        <w:t xml:space="preserve">ntergenerational </w:t>
      </w:r>
      <w:r>
        <w:rPr>
          <w:b/>
          <w:sz w:val="28"/>
          <w:szCs w:val="28"/>
        </w:rPr>
        <w:t>m</w:t>
      </w:r>
      <w:r w:rsidRPr="00A72AAA">
        <w:rPr>
          <w:b/>
          <w:sz w:val="28"/>
          <w:szCs w:val="28"/>
        </w:rPr>
        <w:t xml:space="preserve">obility and </w:t>
      </w:r>
      <w:r>
        <w:rPr>
          <w:b/>
          <w:sz w:val="28"/>
          <w:szCs w:val="28"/>
        </w:rPr>
        <w:t>e</w:t>
      </w:r>
      <w:r w:rsidRPr="00A72AAA">
        <w:rPr>
          <w:b/>
          <w:sz w:val="28"/>
          <w:szCs w:val="28"/>
        </w:rPr>
        <w:t>arnings: the case of the UK</w:t>
      </w:r>
    </w:p>
    <w:p w:rsidR="0023099C" w:rsidRDefault="0023099C" w:rsidP="00501B58">
      <w:pPr>
        <w:ind w:left="993" w:right="804"/>
        <w:rPr>
          <w:sz w:val="24"/>
          <w:szCs w:val="24"/>
        </w:rPr>
      </w:pPr>
    </w:p>
    <w:p w:rsidR="00501B58" w:rsidRPr="0031539B" w:rsidRDefault="00501B58" w:rsidP="00501B58">
      <w:pPr>
        <w:ind w:left="993" w:right="804"/>
        <w:rPr>
          <w:sz w:val="24"/>
          <w:szCs w:val="24"/>
        </w:rPr>
      </w:pPr>
      <w:r w:rsidRPr="0031539B">
        <w:rPr>
          <w:sz w:val="24"/>
          <w:szCs w:val="24"/>
        </w:rPr>
        <w:t>Abstract</w:t>
      </w:r>
    </w:p>
    <w:p w:rsidR="00501B58" w:rsidRPr="0031539B" w:rsidRDefault="00501B58" w:rsidP="00501B58">
      <w:pPr>
        <w:ind w:left="993" w:right="804"/>
        <w:jc w:val="both"/>
        <w:rPr>
          <w:sz w:val="20"/>
          <w:szCs w:val="20"/>
        </w:rPr>
      </w:pPr>
      <w:r w:rsidRPr="0031539B">
        <w:rPr>
          <w:sz w:val="20"/>
          <w:szCs w:val="20"/>
        </w:rPr>
        <w:t>Over the past 20 years the UK has moved from an elite system of higher education, in which only 15 per cent of the population gained access to degree-level education, to one in which close to half the population of young people now pursue higher education courses leading to a degree.  While policy makers continue to suggest that access to higher education can be used as an instrument of social engineering, particularly via its potential to improve earnings and promote inter-generational mobility, economists and sociologists provide research findings which raise important questions and indicate the poverty of existing data resources to pursue this issue.  This paper contributes to this debate through an analysis of survey data which show the impact of this expansion on the distribution of earnings and makes use of newly available data in the UK to explore the relationship between intergenerational social mobility and higher education.</w:t>
      </w:r>
    </w:p>
    <w:p w:rsidR="0023099C" w:rsidRDefault="0023099C" w:rsidP="00191788">
      <w:pPr>
        <w:rPr>
          <w:b/>
        </w:rPr>
      </w:pPr>
    </w:p>
    <w:p w:rsidR="00191788" w:rsidRDefault="00191788" w:rsidP="00191788">
      <w:pPr>
        <w:rPr>
          <w:b/>
        </w:rPr>
      </w:pPr>
      <w:r>
        <w:rPr>
          <w:b/>
        </w:rPr>
        <w:t>Introduction</w:t>
      </w:r>
    </w:p>
    <w:p w:rsidR="00B75859" w:rsidRDefault="00191788" w:rsidP="00191788">
      <w:r>
        <w:t>Commencing in the late 1980s, the UK transformed its higher education sector from one which catered for a small and elite group of entrants to a s</w:t>
      </w:r>
      <w:r w:rsidR="00B75859">
        <w:t>ystem of mass higher education, offering a diverse range of educational experience and vocational skills.  However, this transition has spawned a growing number of scholarly articles</w:t>
      </w:r>
      <w:r w:rsidR="00B75859">
        <w:rPr>
          <w:rStyle w:val="FootnoteReference"/>
        </w:rPr>
        <w:footnoteReference w:id="1"/>
      </w:r>
      <w:r w:rsidR="00B75859">
        <w:t xml:space="preserve"> referencing the ‘</w:t>
      </w:r>
      <w:proofErr w:type="spellStart"/>
      <w:r w:rsidR="00B75859">
        <w:t>overeducation</w:t>
      </w:r>
      <w:proofErr w:type="spellEnd"/>
      <w:r w:rsidR="00B75859">
        <w:t>’ phenomenon in the United Kingdom, reflecting and in turn informing vigorous debate among educational policy makers of different political persuasions about the current scale of higher education and its future development.</w:t>
      </w:r>
    </w:p>
    <w:p w:rsidR="00191788" w:rsidRDefault="00B75859" w:rsidP="00191788">
      <w:r>
        <w:t>Most of the studies of this phenomenon have adopted what might be termed a ‘supply-side’ approach – examining the impact on the earnings of graduates of various measure of ‘</w:t>
      </w:r>
      <w:proofErr w:type="spellStart"/>
      <w:r>
        <w:t>overeducation</w:t>
      </w:r>
      <w:proofErr w:type="spellEnd"/>
      <w:r>
        <w:t xml:space="preserve">’, including information reported by graduates about the extent to which they feel overqualified for the jobs they hold.  This paper examines recent evidence about the changing industrial and occupational structure </w:t>
      </w:r>
      <w:r w:rsidR="00A72AAA">
        <w:t>of</w:t>
      </w:r>
      <w:r>
        <w:t xml:space="preserve"> the UK labour market</w:t>
      </w:r>
      <w:r w:rsidR="00127495">
        <w:t>,</w:t>
      </w:r>
      <w:r>
        <w:t xml:space="preserve"> detailing the ways in which graduates have been absorbed within the labour market.  We </w:t>
      </w:r>
      <w:r w:rsidR="00127495">
        <w:t>analyse</w:t>
      </w:r>
      <w:r>
        <w:t xml:space="preserve"> the relative earnings of graduates, placing particular emphasis on </w:t>
      </w:r>
      <w:r w:rsidR="00127495">
        <w:t xml:space="preserve">their </w:t>
      </w:r>
      <w:r>
        <w:t xml:space="preserve">position within </w:t>
      </w:r>
      <w:r w:rsidR="0019484E">
        <w:t xml:space="preserve">the </w:t>
      </w:r>
      <w:r w:rsidR="00127495">
        <w:t xml:space="preserve">national </w:t>
      </w:r>
      <w:r w:rsidR="0019484E">
        <w:t xml:space="preserve">distribution of earnings.  </w:t>
      </w:r>
      <w:r w:rsidR="00A72AAA">
        <w:t xml:space="preserve">We seek to determine how the graduate earnings premium has changed over the last fifteen years.  Who are the gainers and losers and does it make a difference according to the type of higher education route </w:t>
      </w:r>
      <w:proofErr w:type="gramStart"/>
      <w:r w:rsidR="00A72AAA">
        <w:t>pursued</w:t>
      </w:r>
      <w:proofErr w:type="gramEnd"/>
      <w:r w:rsidR="00A72AAA">
        <w:t xml:space="preserve">?  </w:t>
      </w:r>
      <w:r w:rsidR="0019484E">
        <w:t xml:space="preserve">Finally, we turn our attention to the intergenerational impacts of the expansion of higher education.  The previous </w:t>
      </w:r>
      <w:r w:rsidR="0019484E">
        <w:rPr>
          <w:i/>
        </w:rPr>
        <w:t>elite</w:t>
      </w:r>
      <w:r w:rsidR="0019484E">
        <w:t xml:space="preserve"> system of higher education served to maintain a relatively small but economically and socially privileged class within UK society.  Has expansion created the opportunity for a more egalitarian structure to evolve</w:t>
      </w:r>
      <w:r w:rsidR="008A0F7D">
        <w:t xml:space="preserve"> by widening access to higher education to those groups which are less economically and socially privileged</w:t>
      </w:r>
      <w:r w:rsidR="0019484E">
        <w:t>?</w:t>
      </w:r>
    </w:p>
    <w:p w:rsidR="0023099C" w:rsidRDefault="0023099C">
      <w:pPr>
        <w:rPr>
          <w:b/>
        </w:rPr>
      </w:pPr>
    </w:p>
    <w:p w:rsidR="0019484E" w:rsidRDefault="0019484E" w:rsidP="00191788">
      <w:pPr>
        <w:rPr>
          <w:b/>
        </w:rPr>
      </w:pPr>
      <w:r>
        <w:rPr>
          <w:b/>
        </w:rPr>
        <w:t>The changing nature of UK employment, 1992-2010</w:t>
      </w:r>
    </w:p>
    <w:p w:rsidR="0019484E" w:rsidRDefault="0019484E" w:rsidP="00191788">
      <w:r>
        <w:t>Over the eighteen year period, from 1992 to 2010</w:t>
      </w:r>
      <w:r>
        <w:rPr>
          <w:rStyle w:val="FootnoteReference"/>
        </w:rPr>
        <w:footnoteReference w:id="2"/>
      </w:r>
      <w:r>
        <w:t xml:space="preserve"> total employment in the UK grew from 24.7 million </w:t>
      </w:r>
      <w:r w:rsidR="00901D5C">
        <w:t>people</w:t>
      </w:r>
      <w:r>
        <w:t xml:space="preserve"> to 28.5 million.  This growth of 15 per cent outstrips the population growth of 8.6 per cent over this same period, with the employment ratio</w:t>
      </w:r>
      <w:r>
        <w:rPr>
          <w:rStyle w:val="FootnoteReference"/>
        </w:rPr>
        <w:footnoteReference w:id="3"/>
      </w:r>
      <w:r>
        <w:t xml:space="preserve"> rising </w:t>
      </w:r>
      <w:r w:rsidRPr="0031539B">
        <w:t xml:space="preserve">from </w:t>
      </w:r>
      <w:r w:rsidR="0031539B">
        <w:t>44</w:t>
      </w:r>
      <w:r w:rsidRPr="0031539B">
        <w:t xml:space="preserve"> per cent</w:t>
      </w:r>
      <w:r>
        <w:t xml:space="preserve"> to an all-time high of </w:t>
      </w:r>
      <w:r w:rsidR="0031539B">
        <w:t>47</w:t>
      </w:r>
      <w:r>
        <w:t xml:space="preserve"> per cent by 2010.</w:t>
      </w:r>
    </w:p>
    <w:p w:rsidR="0023031A" w:rsidRPr="0023031A" w:rsidRDefault="0023031A" w:rsidP="00191788">
      <w:pPr>
        <w:rPr>
          <w:b/>
        </w:rPr>
      </w:pPr>
      <w:r>
        <w:rPr>
          <w:b/>
        </w:rPr>
        <w:t xml:space="preserve">Figure 1: </w:t>
      </w:r>
      <w:r>
        <w:rPr>
          <w:b/>
        </w:rPr>
        <w:tab/>
        <w:t xml:space="preserve">Employment trends in the UK, 1992-2010 by broad occupational groups </w:t>
      </w:r>
    </w:p>
    <w:p w:rsidR="00EA4F1F" w:rsidRDefault="0023031A" w:rsidP="006F031B">
      <w:pPr>
        <w:ind w:left="567"/>
      </w:pPr>
      <w:r w:rsidRPr="0023031A">
        <w:rPr>
          <w:noProof/>
        </w:rPr>
        <w:drawing>
          <wp:inline distT="0" distB="0" distL="0" distR="0" wp14:anchorId="3CD8B680" wp14:editId="60DE182D">
            <wp:extent cx="4537401" cy="1853514"/>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01D5C" w:rsidRPr="00901D5C" w:rsidRDefault="00901D5C" w:rsidP="00901D5C">
      <w:pPr>
        <w:spacing w:after="120" w:line="240" w:lineRule="auto"/>
        <w:ind w:left="567"/>
        <w:rPr>
          <w:sz w:val="16"/>
          <w:szCs w:val="16"/>
        </w:rPr>
      </w:pPr>
      <w:r w:rsidRPr="00901D5C">
        <w:rPr>
          <w:sz w:val="16"/>
          <w:szCs w:val="16"/>
        </w:rPr>
        <w:t>Source: Labour Force Surveys, second quarter each year, 1992 - 2010</w:t>
      </w:r>
    </w:p>
    <w:p w:rsidR="0019484E" w:rsidRDefault="0019484E" w:rsidP="00191788">
      <w:r>
        <w:t xml:space="preserve">Figure 1 reveals how this increase in employment has been concentrated within higher level occupations.  Using the first three categories of the UK Standard Occupational Classification as a proxy for </w:t>
      </w:r>
      <w:r w:rsidR="00CE3575">
        <w:t xml:space="preserve">the </w:t>
      </w:r>
      <w:r>
        <w:t>employment of people with jobs in what is often termed the ‘knowledge economy’, it can be seen that total employment in managerial, professional</w:t>
      </w:r>
      <w:r w:rsidR="00A72AAA">
        <w:t>, technical</w:t>
      </w:r>
      <w:r>
        <w:t xml:space="preserve"> and associate profession</w:t>
      </w:r>
      <w:r w:rsidR="00CE3575">
        <w:t>al</w:t>
      </w:r>
      <w:r>
        <w:t xml:space="preserve"> jobs has accounted for virtually all of the net growth in employment, with employment in other occupational categories remaining relatively constant throughout this period.  Interestingly, the impact of the 2008 recession is apparent within these aggregate statistics.  The steady growth in high level jobs that is in evidence </w:t>
      </w:r>
      <w:r w:rsidR="00211D6F" w:rsidRPr="00211D6F">
        <w:t xml:space="preserve">in these occupational categories </w:t>
      </w:r>
      <w:r>
        <w:t>from 1992 to 2008 levels off over the remaining two year period.  However, in all other occupational categories there is a decline in employment from 2008 to 2010</w:t>
      </w:r>
      <w:r w:rsidR="00555588">
        <w:t>.</w:t>
      </w:r>
    </w:p>
    <w:p w:rsidR="00555588" w:rsidRDefault="00555588" w:rsidP="00191788">
      <w:r>
        <w:t xml:space="preserve">Employment growth and occupational restructuring on this scale would not have been possible without an associated increase in the </w:t>
      </w:r>
      <w:r w:rsidR="00211D6F">
        <w:t xml:space="preserve">demand for people with </w:t>
      </w:r>
      <w:r>
        <w:t>high-level qualifications.  Government policies, enacted via successive measures introduced from the late 1980s onwards and relating</w:t>
      </w:r>
      <w:r w:rsidR="00211D6F">
        <w:t xml:space="preserve"> to the control and funding of higher education i</w:t>
      </w:r>
      <w:r>
        <w:t>nstitutions provided the necessary impetus.</w:t>
      </w:r>
      <w:r w:rsidR="00211D6F">
        <w:t xml:space="preserve"> </w:t>
      </w:r>
      <w:r>
        <w:t xml:space="preserve"> Figure 2 shows the growth in participation in higher education </w:t>
      </w:r>
      <w:r w:rsidR="00211D6F">
        <w:t>by</w:t>
      </w:r>
      <w:r>
        <w:t xml:space="preserve"> young people through the early 1990s</w:t>
      </w:r>
      <w:r w:rsidR="00211D6F">
        <w:t xml:space="preserve"> - </w:t>
      </w:r>
      <w:r>
        <w:t xml:space="preserve">the period of transition within the higher education sector from a system catering for a relatively small </w:t>
      </w:r>
      <w:r w:rsidR="002202AC">
        <w:t xml:space="preserve">and </w:t>
      </w:r>
      <w:r>
        <w:t xml:space="preserve">elite </w:t>
      </w:r>
      <w:r w:rsidR="002202AC">
        <w:t xml:space="preserve">section of the UK population </w:t>
      </w:r>
      <w:r>
        <w:t>to mass higher education.</w:t>
      </w:r>
    </w:p>
    <w:p w:rsidR="00501B58" w:rsidRDefault="00501B58">
      <w:pPr>
        <w:rPr>
          <w:b/>
        </w:rPr>
      </w:pPr>
      <w:r>
        <w:rPr>
          <w:b/>
        </w:rPr>
        <w:br w:type="page"/>
      </w:r>
    </w:p>
    <w:p w:rsidR="00EA4F1F" w:rsidRPr="00DD193B" w:rsidRDefault="00EA4F1F" w:rsidP="0031539B">
      <w:pPr>
        <w:spacing w:line="240" w:lineRule="auto"/>
        <w:ind w:left="1440" w:hanging="1440"/>
        <w:rPr>
          <w:b/>
        </w:rPr>
      </w:pPr>
      <w:r w:rsidRPr="00DD193B">
        <w:rPr>
          <w:b/>
        </w:rPr>
        <w:lastRenderedPageBreak/>
        <w:t>Figure 2:</w:t>
      </w:r>
      <w:r w:rsidRPr="00DD193B">
        <w:rPr>
          <w:b/>
        </w:rPr>
        <w:tab/>
        <w:t>Participation by young people in Higher Education, Age Participation Index (API) Great Britain, 1961 to 2005</w:t>
      </w:r>
    </w:p>
    <w:p w:rsidR="004137C3" w:rsidRDefault="00DD193B" w:rsidP="00211D6F">
      <w:pPr>
        <w:ind w:left="1440" w:hanging="447"/>
      </w:pPr>
      <w:r w:rsidRPr="00DD193B">
        <w:rPr>
          <w:noProof/>
        </w:rPr>
        <w:drawing>
          <wp:inline distT="0" distB="0" distL="0" distR="0" wp14:anchorId="2F9BC464" wp14:editId="05C9EFF2">
            <wp:extent cx="4428662" cy="2056164"/>
            <wp:effectExtent l="0" t="0" r="0" b="127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01D5C" w:rsidRPr="004137C3" w:rsidRDefault="004137C3" w:rsidP="00211D6F">
      <w:pPr>
        <w:ind w:left="1440" w:hanging="447"/>
        <w:rPr>
          <w:sz w:val="16"/>
          <w:szCs w:val="16"/>
        </w:rPr>
      </w:pPr>
      <w:r w:rsidRPr="004137C3">
        <w:rPr>
          <w:sz w:val="16"/>
          <w:szCs w:val="16"/>
        </w:rPr>
        <w:t xml:space="preserve">Source: </w:t>
      </w:r>
      <w:hyperlink r:id="rId21" w:history="1">
        <w:r w:rsidRPr="004137C3">
          <w:rPr>
            <w:rStyle w:val="Hyperlink"/>
            <w:sz w:val="16"/>
            <w:szCs w:val="16"/>
          </w:rPr>
          <w:t>http://stats.bis.gov.uk/UKSA/he/sa20110331.htm</w:t>
        </w:r>
      </w:hyperlink>
    </w:p>
    <w:p w:rsidR="004137C3" w:rsidRDefault="004137C3" w:rsidP="00211D6F">
      <w:pPr>
        <w:ind w:left="1440" w:hanging="447"/>
      </w:pPr>
    </w:p>
    <w:p w:rsidR="00EA4F1F" w:rsidRDefault="00EA4F1F" w:rsidP="00EA4F1F">
      <w:r>
        <w:t>Th</w:t>
      </w:r>
      <w:r w:rsidR="002202AC">
        <w:t>e</w:t>
      </w:r>
      <w:r>
        <w:t xml:space="preserve"> expansion of participation in higher education in the UK commenced in 1989/90, with a sharp rise in participation rates for young people through the early half of this decade and </w:t>
      </w:r>
      <w:r w:rsidR="008E0D70">
        <w:t>followed by a</w:t>
      </w:r>
      <w:r>
        <w:t xml:space="preserve"> continuing, albeit slower</w:t>
      </w:r>
      <w:r w:rsidR="008E0D70">
        <w:t>,</w:t>
      </w:r>
      <w:r>
        <w:t xml:space="preserve"> rate of increase from 1999 onwards.  The </w:t>
      </w:r>
      <w:r w:rsidR="002202AC">
        <w:t xml:space="preserve">rapid </w:t>
      </w:r>
      <w:r>
        <w:t xml:space="preserve">increase in </w:t>
      </w:r>
      <w:r w:rsidR="008E0D70">
        <w:t xml:space="preserve">the rate of </w:t>
      </w:r>
      <w:r>
        <w:t xml:space="preserve">participation arises not only because of the increased flow of young people </w:t>
      </w:r>
      <w:r w:rsidR="008E0D70">
        <w:t xml:space="preserve">into </w:t>
      </w:r>
      <w:r>
        <w:t xml:space="preserve">higher education institutions, but also because of </w:t>
      </w:r>
      <w:r w:rsidR="008E0D70">
        <w:t xml:space="preserve">a </w:t>
      </w:r>
      <w:r>
        <w:t xml:space="preserve">decline in the population of young people </w:t>
      </w:r>
      <w:r w:rsidR="003B069B">
        <w:t>prior to</w:t>
      </w:r>
      <w:r>
        <w:t xml:space="preserve"> this period.  While the population of the UK increased by almost 9 per cent between 1994/95 and 2009/10, the population of 22-34 year olds fell by 8 per cent</w:t>
      </w:r>
      <w:r w:rsidR="00F22B67">
        <w:t>.</w:t>
      </w:r>
    </w:p>
    <w:p w:rsidR="00F22B67" w:rsidRDefault="00F22B67" w:rsidP="00EA4F1F">
      <w:r>
        <w:t>For most young people in the UK, entry into higher education takes place at ages 18 or 19</w:t>
      </w:r>
      <w:r>
        <w:rPr>
          <w:rStyle w:val="FootnoteReference"/>
        </w:rPr>
        <w:footnoteReference w:id="4"/>
      </w:r>
      <w:r>
        <w:t xml:space="preserve">.  Undergraduate degree courses are typically of three to four year’s duration.  Thus, the increase in participation seen through the early 1990s is likely to have given rise to a steady increase in the proportion of young graduates in the labour market from 1994 onwards.  For this reason we </w:t>
      </w:r>
      <w:r w:rsidR="008E0D70">
        <w:t xml:space="preserve">examine changes in the labour market which took place between two </w:t>
      </w:r>
      <w:r>
        <w:t>time periods which span the period in which the sharpest increase in the proportion of graduates in the labour market is likely to have occurred – the period from 1994/95</w:t>
      </w:r>
      <w:r w:rsidR="008E0D70">
        <w:rPr>
          <w:rStyle w:val="FootnoteReference"/>
        </w:rPr>
        <w:footnoteReference w:id="5"/>
      </w:r>
      <w:r>
        <w:t xml:space="preserve"> to the latest period for which</w:t>
      </w:r>
      <w:r w:rsidR="003F282E">
        <w:t xml:space="preserve"> data are available to us, 2009/10.  We focus upon young people (ages 22-34) in these two periods, given that this is the age range in which </w:t>
      </w:r>
      <w:r w:rsidR="008E0D70">
        <w:t xml:space="preserve">the </w:t>
      </w:r>
      <w:r w:rsidR="003F282E">
        <w:t xml:space="preserve">increase in highly qualified people </w:t>
      </w:r>
      <w:r w:rsidR="008E0D70">
        <w:t xml:space="preserve">is likely to be </w:t>
      </w:r>
      <w:r w:rsidR="003F282E">
        <w:t>concentrated.</w:t>
      </w:r>
    </w:p>
    <w:p w:rsidR="00DD193B" w:rsidRDefault="00DD193B" w:rsidP="00EA4F1F">
      <w:pPr>
        <w:rPr>
          <w:b/>
        </w:rPr>
      </w:pPr>
    </w:p>
    <w:p w:rsidR="003F282E" w:rsidRDefault="003F282E" w:rsidP="00EA4F1F">
      <w:pPr>
        <w:rPr>
          <w:b/>
        </w:rPr>
      </w:pPr>
      <w:r>
        <w:rPr>
          <w:b/>
        </w:rPr>
        <w:t>Unravelling the growth in employment: industries</w:t>
      </w:r>
      <w:r w:rsidR="008E0D70">
        <w:rPr>
          <w:b/>
        </w:rPr>
        <w:t>,</w:t>
      </w:r>
      <w:r>
        <w:rPr>
          <w:b/>
        </w:rPr>
        <w:t xml:space="preserve"> occupations and high level qualifications</w:t>
      </w:r>
    </w:p>
    <w:p w:rsidR="003B069B" w:rsidRDefault="003F282E" w:rsidP="003B069B">
      <w:r>
        <w:t xml:space="preserve">Our interest in the </w:t>
      </w:r>
      <w:proofErr w:type="spellStart"/>
      <w:r>
        <w:t>sectoral</w:t>
      </w:r>
      <w:proofErr w:type="spellEnd"/>
      <w:r>
        <w:t xml:space="preserve"> changes displayed in Figure 1 relates to the capacity within the UK economy to absorb the significant increase in graduates.  </w:t>
      </w:r>
      <w:r w:rsidR="003B069B">
        <w:t xml:space="preserve">Table 1 details the increase in employment in the UK over the period 1994/95 to 2009/10 by broad industry sectors.  This reveals the remarkable diversity in the pattern of change over these fifteen years.  While employment has </w:t>
      </w:r>
      <w:r w:rsidR="003B069B">
        <w:lastRenderedPageBreak/>
        <w:t>grown by 10 per cent overall, this varies from a decline of</w:t>
      </w:r>
      <w:r w:rsidR="003B069B" w:rsidRPr="00C04611">
        <w:t xml:space="preserve"> </w:t>
      </w:r>
      <w:r w:rsidR="003B069B">
        <w:t xml:space="preserve">almost 40 per cent in manufacturing to a growth of over 60 per cent in ‘other business activities’.  The latter category includes management consulting, legal and accounting services, scientific research and development, software development, </w:t>
      </w:r>
      <w:r w:rsidR="003B069B" w:rsidRPr="00A72AAA">
        <w:rPr>
          <w:i/>
        </w:rPr>
        <w:t>etc</w:t>
      </w:r>
      <w:r w:rsidR="003B069B">
        <w:t xml:space="preserve">.  These changes are not reflected directly within the 22-34 year age group.  In part this is a consequence of the declining population in this age range, but it also reflects the recruitment preferences of various sectors.  For example, in public administration and defence, the employment of young people fell by over 14 per cent, whereas in education it grew by 64 per cent.  Clearly, public administration has recruited older workers compared with the education sector.  </w:t>
      </w:r>
    </w:p>
    <w:p w:rsidR="003F282E" w:rsidRDefault="003F282E" w:rsidP="00EA4F1F">
      <w:r>
        <w:t xml:space="preserve">The four right-hand columns of </w:t>
      </w:r>
      <w:r w:rsidR="008E0D70">
        <w:t>Table</w:t>
      </w:r>
      <w:r>
        <w:t xml:space="preserve"> 1 show how extensive th</w:t>
      </w:r>
      <w:r w:rsidR="00E553E2">
        <w:t>e increase in the employment of graduates</w:t>
      </w:r>
      <w:r>
        <w:t xml:space="preserve"> </w:t>
      </w:r>
      <w:r w:rsidR="00E553E2">
        <w:t>h</w:t>
      </w:r>
      <w:r>
        <w:t>as been, with the number of employed graduates aged 22-34 growing by 94 per cent</w:t>
      </w:r>
      <w:r w:rsidR="008E0D70">
        <w:t xml:space="preserve"> between 1994/5 and 2009/10</w:t>
      </w:r>
      <w:r w:rsidR="005D0059">
        <w:t>.  The</w:t>
      </w:r>
      <w:r>
        <w:t xml:space="preserve"> </w:t>
      </w:r>
      <w:proofErr w:type="spellStart"/>
      <w:r>
        <w:t>sectoral</w:t>
      </w:r>
      <w:proofErr w:type="spellEnd"/>
      <w:r>
        <w:t xml:space="preserve"> distribution of this growth is interesting in that it shows how the manufacturing sector has provided little opportunity to accommodate the increased supply of graduates.  While the proportion of graduates in the manufacturing sector has risen, this is a consequence of the decline in employment in the sector.  Overall, the manufacturing sector now provides jobs for slightly fewer young graduates than was the situation fifteen years ago.</w:t>
      </w:r>
    </w:p>
    <w:p w:rsidR="00A72AAA" w:rsidRDefault="003F282E" w:rsidP="00A72AAA">
      <w:r>
        <w:t xml:space="preserve">To examine </w:t>
      </w:r>
      <w:r w:rsidR="005D0059">
        <w:t xml:space="preserve">in more detail </w:t>
      </w:r>
      <w:r>
        <w:t xml:space="preserve">the nature of these </w:t>
      </w:r>
      <w:proofErr w:type="spellStart"/>
      <w:r w:rsidR="005D0059">
        <w:t>sectoral</w:t>
      </w:r>
      <w:proofErr w:type="spellEnd"/>
      <w:r w:rsidR="005D0059">
        <w:t xml:space="preserve"> changes in employment</w:t>
      </w:r>
      <w:r>
        <w:t>, we make use of a classification of occupations designed specifically to indicate the scope that an occupation provides for a graduate to use his/her skills and knowledge acquired via higher education.</w:t>
      </w:r>
      <w:r w:rsidR="005D0059">
        <w:t xml:space="preserve">  </w:t>
      </w:r>
      <w:r>
        <w:t>This classification defines a subset of occupations as ‘non-graduate jobs’.  These are occupations for which we have previously determined that the constituent tasks provide little scope for a graduate to use the skills, knowledge and expertise acquired through higher education</w:t>
      </w:r>
      <w:r w:rsidR="00E553E2">
        <w:rPr>
          <w:rStyle w:val="FootnoteReference"/>
        </w:rPr>
        <w:footnoteReference w:id="6"/>
      </w:r>
      <w:r>
        <w:t xml:space="preserve"> (Elias and Purcell, 2004).  In each time period we show the proportion of young graduates in the group of occupations we define as non-graduate jobs.  </w:t>
      </w:r>
      <w:r w:rsidR="005D0059">
        <w:t>For young graduates across all sectors</w:t>
      </w:r>
      <w:r>
        <w:t xml:space="preserve"> this proportion has grown from 18 per cent to 26 per cent, but the </w:t>
      </w:r>
      <w:proofErr w:type="spellStart"/>
      <w:r>
        <w:t>sectoral</w:t>
      </w:r>
      <w:proofErr w:type="spellEnd"/>
      <w:r>
        <w:t xml:space="preserve"> distribution of this </w:t>
      </w:r>
      <w:r w:rsidR="005D0059">
        <w:t>increase</w:t>
      </w:r>
      <w:r>
        <w:t xml:space="preserve"> indicates the extent to which non-graduate employment is </w:t>
      </w:r>
      <w:r w:rsidR="00F664B3">
        <w:t xml:space="preserve">concentrated </w:t>
      </w:r>
      <w:r w:rsidR="00A72AAA">
        <w:t>with</w:t>
      </w:r>
      <w:r w:rsidR="00F664B3">
        <w:t>in</w:t>
      </w:r>
      <w:r w:rsidR="00A72AAA">
        <w:t xml:space="preserve"> the wholesale/retail trade sector, hotels and restaurants and land transport activities.</w:t>
      </w:r>
      <w:r w:rsidR="00F664B3">
        <w:t xml:space="preserve">  </w:t>
      </w:r>
      <w:r w:rsidR="00A72AAA">
        <w:t>Sectors with the lowest proportions of graduates in non-graduate jobs include education and health and social work.  The sectors displaying the sharpest increase in non-graduate employment are agriculture, wholesale/retail trade and land transport.  However, in terms of the volume of young graduates absorbed into non-graduate jobs, the sheer size of the hotels and restaurants sector means that this sector in the major employer of graduates in non-graduate jobs</w:t>
      </w:r>
      <w:r w:rsidR="00F664B3">
        <w:t>.</w:t>
      </w:r>
    </w:p>
    <w:p w:rsidR="00A72AAA" w:rsidRDefault="00A72AAA" w:rsidP="00A72AAA">
      <w:r>
        <w:t xml:space="preserve">Tables 2 and 3 present this same </w:t>
      </w:r>
      <w:proofErr w:type="spellStart"/>
      <w:r>
        <w:t>sectoral</w:t>
      </w:r>
      <w:proofErr w:type="spellEnd"/>
      <w:r>
        <w:t xml:space="preserve"> information in different ways.  Table 2 defines sectors according to their ‘graduate intensity’ in 1994/95.  Each of 60 sectors (see appendix</w:t>
      </w:r>
      <w:r w:rsidR="00F664B3">
        <w:t xml:space="preserve"> 1</w:t>
      </w:r>
      <w:r>
        <w:t>) has been classified according to the proportion of graduates recorded in that sector in 1994/95.  This analysis shows that greatest increases in graduate employment have taken place in those sectors which had the lowest proportions of graduates in 1994/95.  However, part of this reflects the increase in the proportion of graduates in non-graduate jobs in such sectors.</w:t>
      </w:r>
    </w:p>
    <w:p w:rsidR="00A72AAA" w:rsidRDefault="00A72AAA" w:rsidP="00EA4F1F">
      <w:r>
        <w:t xml:space="preserve">Table 3 uses information from the 2009 UK Innovation </w:t>
      </w:r>
      <w:r w:rsidR="00B96235">
        <w:t xml:space="preserve">Survey to classify sectors as low, medium or high innovation sectors (see appendix 1).  Again we note that it is the low innovation sectors which have absorbed high </w:t>
      </w:r>
      <w:r w:rsidR="00F664B3">
        <w:t>nu</w:t>
      </w:r>
      <w:r w:rsidR="00B96235">
        <w:t>mbers of graduates, with many being recorded as in non-graduate jobs.</w:t>
      </w:r>
      <w:r w:rsidR="00F664B3">
        <w:t xml:space="preserve">  </w:t>
      </w:r>
    </w:p>
    <w:p w:rsidR="0023031A" w:rsidRDefault="0023031A" w:rsidP="00EA4F1F">
      <w:pPr>
        <w:sectPr w:rsidR="0023031A" w:rsidSect="00901D5C">
          <w:pgSz w:w="11906" w:h="16838"/>
          <w:pgMar w:top="1135" w:right="1440" w:bottom="1440" w:left="1440" w:header="708" w:footer="708" w:gutter="0"/>
          <w:pgNumType w:start="1"/>
          <w:cols w:space="708"/>
          <w:docGrid w:linePitch="360"/>
        </w:sectPr>
      </w:pPr>
    </w:p>
    <w:p w:rsidR="0023031A" w:rsidRPr="0023031A" w:rsidRDefault="0023031A" w:rsidP="0023031A">
      <w:pPr>
        <w:ind w:left="1440" w:hanging="1440"/>
        <w:rPr>
          <w:b/>
        </w:rPr>
      </w:pPr>
      <w:r>
        <w:rPr>
          <w:b/>
        </w:rPr>
        <w:lastRenderedPageBreak/>
        <w:t>Table 1:</w:t>
      </w:r>
      <w:r>
        <w:rPr>
          <w:b/>
        </w:rPr>
        <w:tab/>
        <w:t xml:space="preserve">Trends in employment by industry </w:t>
      </w:r>
      <w:r w:rsidR="00D53462">
        <w:rPr>
          <w:b/>
        </w:rPr>
        <w:t>sectors,</w:t>
      </w:r>
      <w:r>
        <w:rPr>
          <w:b/>
        </w:rPr>
        <w:t xml:space="preserve"> age groups, qualification and </w:t>
      </w:r>
      <w:r w:rsidR="00D53462">
        <w:rPr>
          <w:b/>
        </w:rPr>
        <w:t>occupation (graduate vs. non-graduate jobs)</w:t>
      </w:r>
    </w:p>
    <w:tbl>
      <w:tblPr>
        <w:tblW w:w="14440" w:type="dxa"/>
        <w:tblInd w:w="93" w:type="dxa"/>
        <w:tblLook w:val="04A0" w:firstRow="1" w:lastRow="0" w:firstColumn="1" w:lastColumn="0" w:noHBand="0" w:noVBand="1"/>
      </w:tblPr>
      <w:tblGrid>
        <w:gridCol w:w="3134"/>
        <w:gridCol w:w="1356"/>
        <w:gridCol w:w="1226"/>
        <w:gridCol w:w="266"/>
        <w:gridCol w:w="1356"/>
        <w:gridCol w:w="1205"/>
        <w:gridCol w:w="266"/>
        <w:gridCol w:w="1356"/>
        <w:gridCol w:w="1190"/>
        <w:gridCol w:w="1526"/>
        <w:gridCol w:w="1559"/>
      </w:tblGrid>
      <w:tr w:rsidR="0023031A" w:rsidRPr="00AE70BF" w:rsidTr="0023031A">
        <w:trPr>
          <w:trHeight w:val="456"/>
        </w:trPr>
        <w:tc>
          <w:tcPr>
            <w:tcW w:w="3134" w:type="dxa"/>
            <w:tcBorders>
              <w:top w:val="single" w:sz="8" w:space="0" w:color="auto"/>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 </w:t>
            </w:r>
          </w:p>
        </w:tc>
        <w:tc>
          <w:tcPr>
            <w:tcW w:w="2582" w:type="dxa"/>
            <w:gridSpan w:val="2"/>
            <w:tcBorders>
              <w:top w:val="single" w:sz="8" w:space="0" w:color="auto"/>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All employed</w:t>
            </w:r>
          </w:p>
        </w:tc>
        <w:tc>
          <w:tcPr>
            <w:tcW w:w="266" w:type="dxa"/>
            <w:tcBorders>
              <w:top w:val="single" w:sz="8" w:space="0" w:color="auto"/>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p>
        </w:tc>
        <w:tc>
          <w:tcPr>
            <w:tcW w:w="2561" w:type="dxa"/>
            <w:gridSpan w:val="2"/>
            <w:tcBorders>
              <w:top w:val="single" w:sz="8" w:space="0" w:color="auto"/>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Employed young people</w:t>
            </w:r>
          </w:p>
        </w:tc>
        <w:tc>
          <w:tcPr>
            <w:tcW w:w="266" w:type="dxa"/>
            <w:tcBorders>
              <w:top w:val="single" w:sz="8" w:space="0" w:color="auto"/>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p>
        </w:tc>
        <w:tc>
          <w:tcPr>
            <w:tcW w:w="5631" w:type="dxa"/>
            <w:gridSpan w:val="4"/>
            <w:tcBorders>
              <w:top w:val="single" w:sz="8" w:space="0" w:color="auto"/>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Employed young people with a degree</w:t>
            </w:r>
          </w:p>
        </w:tc>
      </w:tr>
      <w:tr w:rsidR="0023031A" w:rsidRPr="00AE70BF" w:rsidTr="0023031A">
        <w:trPr>
          <w:trHeight w:val="864"/>
        </w:trPr>
        <w:tc>
          <w:tcPr>
            <w:tcW w:w="3134" w:type="dxa"/>
            <w:tcBorders>
              <w:top w:val="nil"/>
              <w:left w:val="nil"/>
              <w:bottom w:val="single" w:sz="8" w:space="0" w:color="auto"/>
              <w:right w:val="nil"/>
            </w:tcBorders>
            <w:shd w:val="clear" w:color="auto" w:fill="auto"/>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 </w:t>
            </w:r>
          </w:p>
        </w:tc>
        <w:tc>
          <w:tcPr>
            <w:tcW w:w="1356" w:type="dxa"/>
            <w:tcBorders>
              <w:top w:val="single" w:sz="4" w:space="0" w:color="auto"/>
              <w:left w:val="nil"/>
              <w:bottom w:val="single" w:sz="8" w:space="0" w:color="auto"/>
              <w:right w:val="nil"/>
            </w:tcBorders>
            <w:shd w:val="clear" w:color="auto" w:fill="auto"/>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Employment 1994-95 (thousands)</w:t>
            </w:r>
          </w:p>
        </w:tc>
        <w:tc>
          <w:tcPr>
            <w:tcW w:w="1226" w:type="dxa"/>
            <w:tcBorders>
              <w:top w:val="single" w:sz="4" w:space="0" w:color="auto"/>
              <w:left w:val="nil"/>
              <w:bottom w:val="single" w:sz="8" w:space="0" w:color="auto"/>
              <w:right w:val="nil"/>
            </w:tcBorders>
            <w:shd w:val="clear" w:color="auto" w:fill="auto"/>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 change ‘94/</w:t>
            </w:r>
            <w:r w:rsidR="00D53462">
              <w:rPr>
                <w:rFonts w:ascii="Calibri" w:eastAsia="Times New Roman" w:hAnsi="Calibri" w:cs="Calibri"/>
                <w:color w:val="000000"/>
                <w:sz w:val="20"/>
                <w:szCs w:val="20"/>
              </w:rPr>
              <w:t>’9</w:t>
            </w:r>
            <w:r w:rsidRPr="00AE70BF">
              <w:rPr>
                <w:rFonts w:ascii="Calibri" w:eastAsia="Times New Roman" w:hAnsi="Calibri" w:cs="Calibri"/>
                <w:color w:val="000000"/>
                <w:sz w:val="20"/>
                <w:szCs w:val="20"/>
              </w:rPr>
              <w:t>5 – ‘09/10</w:t>
            </w:r>
          </w:p>
        </w:tc>
        <w:tc>
          <w:tcPr>
            <w:tcW w:w="266" w:type="dxa"/>
            <w:tcBorders>
              <w:top w:val="nil"/>
              <w:left w:val="nil"/>
              <w:bottom w:val="single" w:sz="8" w:space="0" w:color="auto"/>
              <w:right w:val="nil"/>
            </w:tcBorders>
            <w:shd w:val="clear" w:color="auto" w:fill="auto"/>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p>
        </w:tc>
        <w:tc>
          <w:tcPr>
            <w:tcW w:w="1356" w:type="dxa"/>
            <w:tcBorders>
              <w:top w:val="single" w:sz="4" w:space="0" w:color="auto"/>
              <w:left w:val="nil"/>
              <w:bottom w:val="single" w:sz="8" w:space="0" w:color="auto"/>
              <w:right w:val="nil"/>
            </w:tcBorders>
            <w:shd w:val="clear" w:color="auto" w:fill="auto"/>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Employment 1994-95 (thousands)</w:t>
            </w:r>
          </w:p>
        </w:tc>
        <w:tc>
          <w:tcPr>
            <w:tcW w:w="1205" w:type="dxa"/>
            <w:tcBorders>
              <w:top w:val="single" w:sz="4" w:space="0" w:color="auto"/>
              <w:left w:val="nil"/>
              <w:bottom w:val="single" w:sz="8" w:space="0" w:color="auto"/>
              <w:right w:val="nil"/>
            </w:tcBorders>
            <w:shd w:val="clear" w:color="auto" w:fill="auto"/>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 change ‘94/</w:t>
            </w:r>
            <w:r w:rsidR="00D53462">
              <w:rPr>
                <w:rFonts w:ascii="Calibri" w:eastAsia="Times New Roman" w:hAnsi="Calibri" w:cs="Calibri"/>
                <w:color w:val="000000"/>
                <w:sz w:val="20"/>
                <w:szCs w:val="20"/>
              </w:rPr>
              <w:t>’9</w:t>
            </w:r>
            <w:r w:rsidRPr="00AE70BF">
              <w:rPr>
                <w:rFonts w:ascii="Calibri" w:eastAsia="Times New Roman" w:hAnsi="Calibri" w:cs="Calibri"/>
                <w:color w:val="000000"/>
                <w:sz w:val="20"/>
                <w:szCs w:val="20"/>
              </w:rPr>
              <w:t>5 – ‘09/10</w:t>
            </w:r>
          </w:p>
        </w:tc>
        <w:tc>
          <w:tcPr>
            <w:tcW w:w="266" w:type="dxa"/>
            <w:tcBorders>
              <w:top w:val="nil"/>
              <w:left w:val="nil"/>
              <w:bottom w:val="single" w:sz="8" w:space="0" w:color="auto"/>
              <w:right w:val="nil"/>
            </w:tcBorders>
            <w:shd w:val="clear" w:color="auto" w:fill="auto"/>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p>
        </w:tc>
        <w:tc>
          <w:tcPr>
            <w:tcW w:w="1356" w:type="dxa"/>
            <w:tcBorders>
              <w:top w:val="single" w:sz="4" w:space="0" w:color="auto"/>
              <w:left w:val="nil"/>
              <w:bottom w:val="single" w:sz="8" w:space="0" w:color="auto"/>
              <w:right w:val="nil"/>
            </w:tcBorders>
            <w:shd w:val="clear" w:color="auto" w:fill="auto"/>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Employment 1994-95 (thousands)</w:t>
            </w:r>
          </w:p>
        </w:tc>
        <w:tc>
          <w:tcPr>
            <w:tcW w:w="1190" w:type="dxa"/>
            <w:tcBorders>
              <w:top w:val="single" w:sz="4" w:space="0" w:color="auto"/>
              <w:left w:val="nil"/>
              <w:bottom w:val="single" w:sz="8" w:space="0" w:color="auto"/>
              <w:right w:val="nil"/>
            </w:tcBorders>
            <w:shd w:val="clear" w:color="auto" w:fill="auto"/>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 change '94/</w:t>
            </w:r>
            <w:r w:rsidR="00D53462">
              <w:rPr>
                <w:rFonts w:ascii="Calibri" w:eastAsia="Times New Roman" w:hAnsi="Calibri" w:cs="Calibri"/>
                <w:color w:val="000000"/>
                <w:sz w:val="20"/>
                <w:szCs w:val="20"/>
              </w:rPr>
              <w:t>’9</w:t>
            </w:r>
            <w:r w:rsidRPr="00AE70BF">
              <w:rPr>
                <w:rFonts w:ascii="Calibri" w:eastAsia="Times New Roman" w:hAnsi="Calibri" w:cs="Calibri"/>
                <w:color w:val="000000"/>
                <w:sz w:val="20"/>
                <w:szCs w:val="20"/>
              </w:rPr>
              <w:t>5 - '09/10</w:t>
            </w:r>
          </w:p>
        </w:tc>
        <w:tc>
          <w:tcPr>
            <w:tcW w:w="1526" w:type="dxa"/>
            <w:tcBorders>
              <w:top w:val="single" w:sz="4" w:space="0" w:color="auto"/>
              <w:left w:val="nil"/>
              <w:bottom w:val="single" w:sz="8" w:space="0" w:color="auto"/>
              <w:right w:val="nil"/>
            </w:tcBorders>
            <w:shd w:val="clear" w:color="auto" w:fill="auto"/>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 in non-graduate jobs in 1994/5</w:t>
            </w:r>
          </w:p>
        </w:tc>
        <w:tc>
          <w:tcPr>
            <w:tcW w:w="1559" w:type="dxa"/>
            <w:tcBorders>
              <w:top w:val="single" w:sz="4" w:space="0" w:color="auto"/>
              <w:left w:val="nil"/>
              <w:bottom w:val="single" w:sz="8" w:space="0" w:color="auto"/>
              <w:right w:val="nil"/>
            </w:tcBorders>
            <w:shd w:val="clear" w:color="auto" w:fill="auto"/>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 in non-graduate jobs in 2009/10</w:t>
            </w:r>
          </w:p>
        </w:tc>
      </w:tr>
      <w:tr w:rsidR="0023031A" w:rsidRPr="00AE70BF" w:rsidTr="0023031A">
        <w:trPr>
          <w:trHeight w:val="288"/>
        </w:trPr>
        <w:tc>
          <w:tcPr>
            <w:tcW w:w="3134" w:type="dxa"/>
            <w:tcBorders>
              <w:top w:val="single" w:sz="8" w:space="0" w:color="auto"/>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Agriculture/fishing</w:t>
            </w:r>
          </w:p>
        </w:tc>
        <w:tc>
          <w:tcPr>
            <w:tcW w:w="1356" w:type="dxa"/>
            <w:tcBorders>
              <w:top w:val="single" w:sz="8" w:space="0" w:color="auto"/>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475.8</w:t>
            </w:r>
          </w:p>
        </w:tc>
        <w:tc>
          <w:tcPr>
            <w:tcW w:w="1226" w:type="dxa"/>
            <w:tcBorders>
              <w:top w:val="single" w:sz="8" w:space="0" w:color="auto"/>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-5.2</w:t>
            </w:r>
          </w:p>
        </w:tc>
        <w:tc>
          <w:tcPr>
            <w:tcW w:w="266" w:type="dxa"/>
            <w:tcBorders>
              <w:top w:val="single" w:sz="8" w:space="0" w:color="auto"/>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single" w:sz="8" w:space="0" w:color="auto"/>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120.9</w:t>
            </w:r>
          </w:p>
        </w:tc>
        <w:tc>
          <w:tcPr>
            <w:tcW w:w="1205" w:type="dxa"/>
            <w:tcBorders>
              <w:top w:val="single" w:sz="8" w:space="0" w:color="auto"/>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-22.1</w:t>
            </w:r>
          </w:p>
        </w:tc>
        <w:tc>
          <w:tcPr>
            <w:tcW w:w="266" w:type="dxa"/>
            <w:tcBorders>
              <w:top w:val="single" w:sz="8" w:space="0" w:color="auto"/>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single" w:sz="8" w:space="0" w:color="auto"/>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5.2</w:t>
            </w:r>
          </w:p>
        </w:tc>
        <w:tc>
          <w:tcPr>
            <w:tcW w:w="1190" w:type="dxa"/>
            <w:tcBorders>
              <w:top w:val="single" w:sz="8" w:space="0" w:color="auto"/>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110.0</w:t>
            </w:r>
          </w:p>
        </w:tc>
        <w:tc>
          <w:tcPr>
            <w:tcW w:w="1526" w:type="dxa"/>
            <w:tcBorders>
              <w:top w:val="single" w:sz="8" w:space="0" w:color="auto"/>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53.6</w:t>
            </w:r>
          </w:p>
        </w:tc>
        <w:tc>
          <w:tcPr>
            <w:tcW w:w="1559" w:type="dxa"/>
            <w:tcBorders>
              <w:top w:val="single" w:sz="8" w:space="0" w:color="auto"/>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73.8</w:t>
            </w:r>
          </w:p>
        </w:tc>
      </w:tr>
      <w:tr w:rsidR="0023031A" w:rsidRPr="00AE70BF" w:rsidTr="0023031A">
        <w:trPr>
          <w:trHeight w:val="288"/>
        </w:trPr>
        <w:tc>
          <w:tcPr>
            <w:tcW w:w="3134"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Mining and quarrying</w:t>
            </w: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108.0</w:t>
            </w:r>
          </w:p>
        </w:tc>
        <w:tc>
          <w:tcPr>
            <w:tcW w:w="12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7.1</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34.7</w:t>
            </w:r>
          </w:p>
        </w:tc>
        <w:tc>
          <w:tcPr>
            <w:tcW w:w="1205" w:type="dxa"/>
            <w:tcBorders>
              <w:top w:val="nil"/>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-11.0</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5.1</w:t>
            </w:r>
          </w:p>
        </w:tc>
        <w:tc>
          <w:tcPr>
            <w:tcW w:w="1190"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116.1</w:t>
            </w:r>
          </w:p>
        </w:tc>
        <w:tc>
          <w:tcPr>
            <w:tcW w:w="15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21.1</w:t>
            </w:r>
          </w:p>
        </w:tc>
        <w:tc>
          <w:tcPr>
            <w:tcW w:w="1559"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20.4</w:t>
            </w:r>
          </w:p>
        </w:tc>
      </w:tr>
      <w:tr w:rsidR="0023031A" w:rsidRPr="00AE70BF" w:rsidTr="0023031A">
        <w:trPr>
          <w:trHeight w:val="288"/>
        </w:trPr>
        <w:tc>
          <w:tcPr>
            <w:tcW w:w="3134"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Manufacturing</w:t>
            </w: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4,762.9</w:t>
            </w:r>
          </w:p>
        </w:tc>
        <w:tc>
          <w:tcPr>
            <w:tcW w:w="12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-38.2</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1,680.4</w:t>
            </w:r>
          </w:p>
        </w:tc>
        <w:tc>
          <w:tcPr>
            <w:tcW w:w="1205" w:type="dxa"/>
            <w:tcBorders>
              <w:top w:val="nil"/>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-51.1</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212.1</w:t>
            </w:r>
          </w:p>
        </w:tc>
        <w:tc>
          <w:tcPr>
            <w:tcW w:w="1190"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- 3.0</w:t>
            </w:r>
          </w:p>
        </w:tc>
        <w:tc>
          <w:tcPr>
            <w:tcW w:w="15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18.5</w:t>
            </w:r>
          </w:p>
        </w:tc>
        <w:tc>
          <w:tcPr>
            <w:tcW w:w="1559"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22.8</w:t>
            </w:r>
          </w:p>
        </w:tc>
      </w:tr>
      <w:tr w:rsidR="0023031A" w:rsidRPr="00AE70BF" w:rsidTr="0023031A">
        <w:trPr>
          <w:trHeight w:val="288"/>
        </w:trPr>
        <w:tc>
          <w:tcPr>
            <w:tcW w:w="3134"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Electricity, gas and water</w:t>
            </w: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212.9</w:t>
            </w:r>
          </w:p>
        </w:tc>
        <w:tc>
          <w:tcPr>
            <w:tcW w:w="12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0.0</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69.8</w:t>
            </w:r>
          </w:p>
        </w:tc>
        <w:tc>
          <w:tcPr>
            <w:tcW w:w="1205" w:type="dxa"/>
            <w:tcBorders>
              <w:top w:val="nil"/>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-11.3</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16.5</w:t>
            </w:r>
          </w:p>
        </w:tc>
        <w:tc>
          <w:tcPr>
            <w:tcW w:w="1190"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7.4</w:t>
            </w:r>
          </w:p>
        </w:tc>
        <w:tc>
          <w:tcPr>
            <w:tcW w:w="15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15.4</w:t>
            </w:r>
          </w:p>
        </w:tc>
        <w:tc>
          <w:tcPr>
            <w:tcW w:w="1559"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26.5</w:t>
            </w:r>
          </w:p>
        </w:tc>
      </w:tr>
      <w:tr w:rsidR="0023031A" w:rsidRPr="00AE70BF" w:rsidTr="0023031A">
        <w:trPr>
          <w:trHeight w:val="288"/>
        </w:trPr>
        <w:tc>
          <w:tcPr>
            <w:tcW w:w="3134"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Construction</w:t>
            </w: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1,744.3</w:t>
            </w:r>
          </w:p>
        </w:tc>
        <w:tc>
          <w:tcPr>
            <w:tcW w:w="12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22.0</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584.2</w:t>
            </w:r>
          </w:p>
        </w:tc>
        <w:tc>
          <w:tcPr>
            <w:tcW w:w="1205" w:type="dxa"/>
            <w:tcBorders>
              <w:top w:val="nil"/>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3.7</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34.5</w:t>
            </w:r>
          </w:p>
        </w:tc>
        <w:tc>
          <w:tcPr>
            <w:tcW w:w="1190"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127.4</w:t>
            </w:r>
          </w:p>
        </w:tc>
        <w:tc>
          <w:tcPr>
            <w:tcW w:w="15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17.9</w:t>
            </w:r>
          </w:p>
        </w:tc>
        <w:tc>
          <w:tcPr>
            <w:tcW w:w="1559"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27.6</w:t>
            </w:r>
          </w:p>
        </w:tc>
      </w:tr>
      <w:tr w:rsidR="0023031A" w:rsidRPr="00AE70BF" w:rsidTr="0023031A">
        <w:trPr>
          <w:trHeight w:val="288"/>
        </w:trPr>
        <w:tc>
          <w:tcPr>
            <w:tcW w:w="3134"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Wholesale/retail trade</w:t>
            </w: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3,891.0</w:t>
            </w:r>
          </w:p>
        </w:tc>
        <w:tc>
          <w:tcPr>
            <w:tcW w:w="12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-0.4</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1,285.4</w:t>
            </w:r>
          </w:p>
        </w:tc>
        <w:tc>
          <w:tcPr>
            <w:tcW w:w="1205" w:type="dxa"/>
            <w:tcBorders>
              <w:top w:val="nil"/>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-11.7</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103.3</w:t>
            </w:r>
          </w:p>
        </w:tc>
        <w:tc>
          <w:tcPr>
            <w:tcW w:w="1190"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137.6</w:t>
            </w:r>
          </w:p>
        </w:tc>
        <w:tc>
          <w:tcPr>
            <w:tcW w:w="15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34.8</w:t>
            </w:r>
          </w:p>
        </w:tc>
        <w:tc>
          <w:tcPr>
            <w:tcW w:w="1559"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54.8</w:t>
            </w:r>
          </w:p>
        </w:tc>
      </w:tr>
      <w:tr w:rsidR="0023031A" w:rsidRPr="00AE70BF" w:rsidTr="0023031A">
        <w:trPr>
          <w:trHeight w:val="288"/>
        </w:trPr>
        <w:tc>
          <w:tcPr>
            <w:tcW w:w="3134"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Hotels and restaurants</w:t>
            </w: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1,101.6</w:t>
            </w:r>
          </w:p>
        </w:tc>
        <w:tc>
          <w:tcPr>
            <w:tcW w:w="12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24.0</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342.6</w:t>
            </w:r>
          </w:p>
        </w:tc>
        <w:tc>
          <w:tcPr>
            <w:tcW w:w="1205" w:type="dxa"/>
            <w:tcBorders>
              <w:top w:val="nil"/>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41.4</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22.8</w:t>
            </w:r>
          </w:p>
        </w:tc>
        <w:tc>
          <w:tcPr>
            <w:tcW w:w="1190"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301.1</w:t>
            </w:r>
          </w:p>
        </w:tc>
        <w:tc>
          <w:tcPr>
            <w:tcW w:w="15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74.5</w:t>
            </w:r>
          </w:p>
        </w:tc>
        <w:tc>
          <w:tcPr>
            <w:tcW w:w="1559"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80.6</w:t>
            </w:r>
          </w:p>
        </w:tc>
      </w:tr>
      <w:tr w:rsidR="0023031A" w:rsidRPr="00AE70BF" w:rsidTr="0023031A">
        <w:trPr>
          <w:trHeight w:val="288"/>
        </w:trPr>
        <w:tc>
          <w:tcPr>
            <w:tcW w:w="3134"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Land transport</w:t>
            </w: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600.4</w:t>
            </w:r>
          </w:p>
        </w:tc>
        <w:tc>
          <w:tcPr>
            <w:tcW w:w="12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13.7</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184.6</w:t>
            </w:r>
          </w:p>
        </w:tc>
        <w:tc>
          <w:tcPr>
            <w:tcW w:w="1205" w:type="dxa"/>
            <w:tcBorders>
              <w:top w:val="nil"/>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-32.6</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9.5</w:t>
            </w:r>
          </w:p>
        </w:tc>
        <w:tc>
          <w:tcPr>
            <w:tcW w:w="1190"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64.5</w:t>
            </w:r>
          </w:p>
        </w:tc>
        <w:tc>
          <w:tcPr>
            <w:tcW w:w="15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39.5</w:t>
            </w:r>
          </w:p>
        </w:tc>
        <w:tc>
          <w:tcPr>
            <w:tcW w:w="1559"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65.9</w:t>
            </w:r>
          </w:p>
        </w:tc>
      </w:tr>
      <w:tr w:rsidR="0023031A" w:rsidRPr="00AE70BF" w:rsidTr="0023031A">
        <w:trPr>
          <w:trHeight w:val="288"/>
        </w:trPr>
        <w:tc>
          <w:tcPr>
            <w:tcW w:w="3134"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ind w:left="191" w:hanging="191"/>
              <w:rPr>
                <w:rFonts w:ascii="Calibri" w:eastAsia="Times New Roman" w:hAnsi="Calibri" w:cs="Calibri"/>
                <w:color w:val="000000"/>
                <w:sz w:val="20"/>
                <w:szCs w:val="20"/>
              </w:rPr>
            </w:pPr>
            <w:r w:rsidRPr="00AE70BF">
              <w:rPr>
                <w:rFonts w:ascii="Calibri" w:eastAsia="Times New Roman" w:hAnsi="Calibri" w:cs="Calibri"/>
                <w:color w:val="000000"/>
                <w:sz w:val="20"/>
                <w:szCs w:val="20"/>
              </w:rPr>
              <w:t>Water and air transport and related</w:t>
            </w: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971.9</w:t>
            </w:r>
          </w:p>
        </w:tc>
        <w:tc>
          <w:tcPr>
            <w:tcW w:w="12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8.0</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370.5</w:t>
            </w:r>
          </w:p>
        </w:tc>
        <w:tc>
          <w:tcPr>
            <w:tcW w:w="1205" w:type="dxa"/>
            <w:tcBorders>
              <w:top w:val="nil"/>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-11.8</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35.9</w:t>
            </w:r>
          </w:p>
        </w:tc>
        <w:tc>
          <w:tcPr>
            <w:tcW w:w="1190"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171.9</w:t>
            </w:r>
          </w:p>
        </w:tc>
        <w:tc>
          <w:tcPr>
            <w:tcW w:w="15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39.9</w:t>
            </w:r>
          </w:p>
        </w:tc>
        <w:tc>
          <w:tcPr>
            <w:tcW w:w="1559"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37.4</w:t>
            </w:r>
          </w:p>
        </w:tc>
      </w:tr>
      <w:tr w:rsidR="0023031A" w:rsidRPr="00AE70BF" w:rsidTr="0023031A">
        <w:trPr>
          <w:trHeight w:val="288"/>
        </w:trPr>
        <w:tc>
          <w:tcPr>
            <w:tcW w:w="3134"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Financial intermediation</w:t>
            </w: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1,121.6</w:t>
            </w:r>
          </w:p>
        </w:tc>
        <w:tc>
          <w:tcPr>
            <w:tcW w:w="12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-0.8</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547.9</w:t>
            </w:r>
          </w:p>
        </w:tc>
        <w:tc>
          <w:tcPr>
            <w:tcW w:w="1205" w:type="dxa"/>
            <w:tcBorders>
              <w:top w:val="nil"/>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-24.1</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105.1</w:t>
            </w:r>
          </w:p>
        </w:tc>
        <w:tc>
          <w:tcPr>
            <w:tcW w:w="1190"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83.3</w:t>
            </w:r>
          </w:p>
        </w:tc>
        <w:tc>
          <w:tcPr>
            <w:tcW w:w="15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24.9</w:t>
            </w:r>
          </w:p>
        </w:tc>
        <w:tc>
          <w:tcPr>
            <w:tcW w:w="1559"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25.3</w:t>
            </w:r>
          </w:p>
        </w:tc>
      </w:tr>
      <w:tr w:rsidR="0023031A" w:rsidRPr="00AE70BF" w:rsidTr="0023031A">
        <w:trPr>
          <w:trHeight w:val="288"/>
        </w:trPr>
        <w:tc>
          <w:tcPr>
            <w:tcW w:w="3134"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Real estate</w:t>
            </w: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313.6</w:t>
            </w:r>
          </w:p>
        </w:tc>
        <w:tc>
          <w:tcPr>
            <w:tcW w:w="12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25.4</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106.7</w:t>
            </w:r>
          </w:p>
        </w:tc>
        <w:tc>
          <w:tcPr>
            <w:tcW w:w="1205" w:type="dxa"/>
            <w:tcBorders>
              <w:top w:val="nil"/>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1.7</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27.2</w:t>
            </w:r>
          </w:p>
        </w:tc>
        <w:tc>
          <w:tcPr>
            <w:tcW w:w="1190"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53.1</w:t>
            </w:r>
          </w:p>
        </w:tc>
        <w:tc>
          <w:tcPr>
            <w:tcW w:w="15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16.1</w:t>
            </w:r>
          </w:p>
        </w:tc>
        <w:tc>
          <w:tcPr>
            <w:tcW w:w="1559"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27.8</w:t>
            </w:r>
          </w:p>
        </w:tc>
      </w:tr>
      <w:tr w:rsidR="0023031A" w:rsidRPr="00AE70BF" w:rsidTr="0023031A">
        <w:trPr>
          <w:trHeight w:val="288"/>
        </w:trPr>
        <w:tc>
          <w:tcPr>
            <w:tcW w:w="3134"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Equipment rentals</w:t>
            </w: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113.7</w:t>
            </w:r>
          </w:p>
        </w:tc>
        <w:tc>
          <w:tcPr>
            <w:tcW w:w="12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-7.0</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44.7</w:t>
            </w:r>
          </w:p>
        </w:tc>
        <w:tc>
          <w:tcPr>
            <w:tcW w:w="1205" w:type="dxa"/>
            <w:tcBorders>
              <w:top w:val="nil"/>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-31.3</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3.8</w:t>
            </w:r>
          </w:p>
        </w:tc>
        <w:tc>
          <w:tcPr>
            <w:tcW w:w="1190"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64.1</w:t>
            </w:r>
          </w:p>
        </w:tc>
        <w:tc>
          <w:tcPr>
            <w:tcW w:w="15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32.9</w:t>
            </w:r>
          </w:p>
        </w:tc>
        <w:tc>
          <w:tcPr>
            <w:tcW w:w="1559"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42.4</w:t>
            </w:r>
          </w:p>
        </w:tc>
      </w:tr>
      <w:tr w:rsidR="0023031A" w:rsidRPr="00AE70BF" w:rsidTr="0023031A">
        <w:trPr>
          <w:trHeight w:val="288"/>
        </w:trPr>
        <w:tc>
          <w:tcPr>
            <w:tcW w:w="3134"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ind w:left="191" w:hanging="191"/>
              <w:rPr>
                <w:rFonts w:ascii="Calibri" w:eastAsia="Times New Roman" w:hAnsi="Calibri" w:cs="Calibri"/>
                <w:color w:val="000000"/>
                <w:sz w:val="20"/>
                <w:szCs w:val="20"/>
              </w:rPr>
            </w:pPr>
            <w:r w:rsidRPr="00AE70BF">
              <w:rPr>
                <w:rFonts w:ascii="Calibri" w:eastAsia="Times New Roman" w:hAnsi="Calibri" w:cs="Calibri"/>
                <w:color w:val="000000"/>
                <w:sz w:val="20"/>
                <w:szCs w:val="20"/>
              </w:rPr>
              <w:t>Other business activities (</w:t>
            </w:r>
            <w:proofErr w:type="spellStart"/>
            <w:r w:rsidRPr="00AE70BF">
              <w:rPr>
                <w:rFonts w:ascii="Calibri" w:eastAsia="Times New Roman" w:hAnsi="Calibri" w:cs="Calibri"/>
                <w:color w:val="000000"/>
                <w:sz w:val="20"/>
                <w:szCs w:val="20"/>
              </w:rPr>
              <w:t>inc.</w:t>
            </w:r>
            <w:proofErr w:type="spellEnd"/>
            <w:r w:rsidRPr="00AE70BF">
              <w:rPr>
                <w:rFonts w:ascii="Calibri" w:eastAsia="Times New Roman" w:hAnsi="Calibri" w:cs="Calibri"/>
                <w:color w:val="000000"/>
                <w:sz w:val="20"/>
                <w:szCs w:val="20"/>
              </w:rPr>
              <w:t xml:space="preserve"> research)</w:t>
            </w: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1,882.2</w:t>
            </w:r>
          </w:p>
        </w:tc>
        <w:tc>
          <w:tcPr>
            <w:tcW w:w="12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61.5</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702.2</w:t>
            </w:r>
          </w:p>
        </w:tc>
        <w:tc>
          <w:tcPr>
            <w:tcW w:w="1205" w:type="dxa"/>
            <w:tcBorders>
              <w:top w:val="nil"/>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41.4</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261.8</w:t>
            </w:r>
          </w:p>
        </w:tc>
        <w:tc>
          <w:tcPr>
            <w:tcW w:w="1190"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93.7</w:t>
            </w:r>
          </w:p>
        </w:tc>
        <w:tc>
          <w:tcPr>
            <w:tcW w:w="15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10.7</w:t>
            </w:r>
          </w:p>
        </w:tc>
        <w:tc>
          <w:tcPr>
            <w:tcW w:w="1559"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12.7</w:t>
            </w:r>
          </w:p>
        </w:tc>
      </w:tr>
      <w:tr w:rsidR="0023031A" w:rsidRPr="00AE70BF" w:rsidTr="0023031A">
        <w:trPr>
          <w:trHeight w:val="288"/>
        </w:trPr>
        <w:tc>
          <w:tcPr>
            <w:tcW w:w="3134"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Public admin and defence</w:t>
            </w: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1,555.3</w:t>
            </w:r>
          </w:p>
        </w:tc>
        <w:tc>
          <w:tcPr>
            <w:tcW w:w="12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17.7</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597.7</w:t>
            </w:r>
          </w:p>
        </w:tc>
        <w:tc>
          <w:tcPr>
            <w:tcW w:w="1205" w:type="dxa"/>
            <w:tcBorders>
              <w:top w:val="nil"/>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-14.4</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104.3</w:t>
            </w:r>
          </w:p>
        </w:tc>
        <w:tc>
          <w:tcPr>
            <w:tcW w:w="1190"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115.4</w:t>
            </w:r>
          </w:p>
        </w:tc>
        <w:tc>
          <w:tcPr>
            <w:tcW w:w="15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25.4</w:t>
            </w:r>
          </w:p>
        </w:tc>
        <w:tc>
          <w:tcPr>
            <w:tcW w:w="1559"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26.9</w:t>
            </w:r>
          </w:p>
        </w:tc>
      </w:tr>
      <w:tr w:rsidR="0023031A" w:rsidRPr="00AE70BF" w:rsidTr="0023031A">
        <w:trPr>
          <w:trHeight w:val="288"/>
        </w:trPr>
        <w:tc>
          <w:tcPr>
            <w:tcW w:w="3134"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Education</w:t>
            </w: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1,845.0</w:t>
            </w:r>
          </w:p>
        </w:tc>
        <w:tc>
          <w:tcPr>
            <w:tcW w:w="12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46.8</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407.4</w:t>
            </w:r>
          </w:p>
        </w:tc>
        <w:tc>
          <w:tcPr>
            <w:tcW w:w="1205" w:type="dxa"/>
            <w:tcBorders>
              <w:top w:val="nil"/>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64.3</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233.9</w:t>
            </w:r>
          </w:p>
        </w:tc>
        <w:tc>
          <w:tcPr>
            <w:tcW w:w="1190"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97.1</w:t>
            </w:r>
          </w:p>
        </w:tc>
        <w:tc>
          <w:tcPr>
            <w:tcW w:w="15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4.7</w:t>
            </w:r>
          </w:p>
        </w:tc>
        <w:tc>
          <w:tcPr>
            <w:tcW w:w="1559"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13.1</w:t>
            </w:r>
          </w:p>
        </w:tc>
      </w:tr>
      <w:tr w:rsidR="0023031A" w:rsidRPr="00AE70BF" w:rsidTr="0023031A">
        <w:trPr>
          <w:trHeight w:val="288"/>
        </w:trPr>
        <w:tc>
          <w:tcPr>
            <w:tcW w:w="3134"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Health and social work</w:t>
            </w: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2,668.9</w:t>
            </w:r>
          </w:p>
        </w:tc>
        <w:tc>
          <w:tcPr>
            <w:tcW w:w="12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36.0</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835.2</w:t>
            </w:r>
          </w:p>
        </w:tc>
        <w:tc>
          <w:tcPr>
            <w:tcW w:w="1205" w:type="dxa"/>
            <w:tcBorders>
              <w:top w:val="nil"/>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10.7</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149.8</w:t>
            </w:r>
          </w:p>
        </w:tc>
        <w:tc>
          <w:tcPr>
            <w:tcW w:w="1190"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136.9</w:t>
            </w:r>
          </w:p>
        </w:tc>
        <w:tc>
          <w:tcPr>
            <w:tcW w:w="15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12.1</w:t>
            </w:r>
          </w:p>
        </w:tc>
        <w:tc>
          <w:tcPr>
            <w:tcW w:w="1559"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19.7</w:t>
            </w:r>
          </w:p>
        </w:tc>
      </w:tr>
      <w:tr w:rsidR="0023031A" w:rsidRPr="00AE70BF" w:rsidTr="0023031A">
        <w:trPr>
          <w:trHeight w:val="288"/>
        </w:trPr>
        <w:tc>
          <w:tcPr>
            <w:tcW w:w="3134"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Other activities</w:t>
            </w: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1,476.6</w:t>
            </w:r>
          </w:p>
        </w:tc>
        <w:tc>
          <w:tcPr>
            <w:tcW w:w="12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13.7</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456.7</w:t>
            </w:r>
          </w:p>
        </w:tc>
        <w:tc>
          <w:tcPr>
            <w:tcW w:w="1205" w:type="dxa"/>
            <w:tcBorders>
              <w:top w:val="nil"/>
              <w:left w:val="nil"/>
              <w:bottom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11.9</w:t>
            </w:r>
          </w:p>
        </w:tc>
        <w:tc>
          <w:tcPr>
            <w:tcW w:w="26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82.6</w:t>
            </w:r>
          </w:p>
        </w:tc>
        <w:tc>
          <w:tcPr>
            <w:tcW w:w="1190"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120.3</w:t>
            </w:r>
          </w:p>
        </w:tc>
        <w:tc>
          <w:tcPr>
            <w:tcW w:w="1526"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24.5</w:t>
            </w:r>
          </w:p>
        </w:tc>
        <w:tc>
          <w:tcPr>
            <w:tcW w:w="1559" w:type="dxa"/>
            <w:tcBorders>
              <w:top w:val="nil"/>
              <w:left w:val="nil"/>
              <w:bottom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31.5</w:t>
            </w:r>
          </w:p>
        </w:tc>
      </w:tr>
      <w:tr w:rsidR="0023031A" w:rsidRPr="00AE70BF" w:rsidTr="0023031A">
        <w:trPr>
          <w:trHeight w:val="288"/>
        </w:trPr>
        <w:tc>
          <w:tcPr>
            <w:tcW w:w="3134" w:type="dxa"/>
            <w:tcBorders>
              <w:top w:val="nil"/>
              <w:left w:val="nil"/>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p>
        </w:tc>
        <w:tc>
          <w:tcPr>
            <w:tcW w:w="1356" w:type="dxa"/>
            <w:tcBorders>
              <w:top w:val="nil"/>
              <w:left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226" w:type="dxa"/>
            <w:tcBorders>
              <w:top w:val="nil"/>
              <w:left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266" w:type="dxa"/>
            <w:tcBorders>
              <w:top w:val="nil"/>
              <w:left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205" w:type="dxa"/>
            <w:tcBorders>
              <w:top w:val="nil"/>
              <w:left w:val="nil"/>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p>
        </w:tc>
        <w:tc>
          <w:tcPr>
            <w:tcW w:w="266" w:type="dxa"/>
            <w:tcBorders>
              <w:top w:val="nil"/>
              <w:left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190" w:type="dxa"/>
            <w:tcBorders>
              <w:top w:val="nil"/>
              <w:left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526" w:type="dxa"/>
            <w:tcBorders>
              <w:top w:val="nil"/>
              <w:left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559" w:type="dxa"/>
            <w:tcBorders>
              <w:top w:val="nil"/>
              <w:left w:val="nil"/>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r>
      <w:tr w:rsidR="0023031A" w:rsidRPr="00AE70BF" w:rsidTr="0023031A">
        <w:trPr>
          <w:trHeight w:val="288"/>
        </w:trPr>
        <w:tc>
          <w:tcPr>
            <w:tcW w:w="3134" w:type="dxa"/>
            <w:tcBorders>
              <w:top w:val="nil"/>
              <w:left w:val="nil"/>
              <w:bottom w:val="single" w:sz="8" w:space="0" w:color="auto"/>
              <w:right w:val="nil"/>
            </w:tcBorders>
            <w:shd w:val="clear" w:color="auto" w:fill="auto"/>
            <w:noWrap/>
            <w:vAlign w:val="bottom"/>
            <w:hideMark/>
          </w:tcPr>
          <w:p w:rsidR="0023031A" w:rsidRPr="00AE70BF" w:rsidRDefault="0023031A" w:rsidP="0023031A">
            <w:pPr>
              <w:spacing w:after="0" w:line="240" w:lineRule="auto"/>
              <w:rPr>
                <w:rFonts w:ascii="Calibri" w:eastAsia="Times New Roman" w:hAnsi="Calibri" w:cs="Calibri"/>
                <w:color w:val="000000"/>
                <w:sz w:val="20"/>
                <w:szCs w:val="20"/>
              </w:rPr>
            </w:pPr>
            <w:r w:rsidRPr="00AE70BF">
              <w:rPr>
                <w:rFonts w:ascii="Calibri" w:eastAsia="Times New Roman" w:hAnsi="Calibri" w:cs="Calibri"/>
                <w:color w:val="000000"/>
                <w:sz w:val="20"/>
                <w:szCs w:val="20"/>
              </w:rPr>
              <w:t>Total</w:t>
            </w:r>
          </w:p>
        </w:tc>
        <w:tc>
          <w:tcPr>
            <w:tcW w:w="1356" w:type="dxa"/>
            <w:tcBorders>
              <w:top w:val="nil"/>
              <w:left w:val="nil"/>
              <w:bottom w:val="single" w:sz="8" w:space="0" w:color="auto"/>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24,845.7</w:t>
            </w:r>
          </w:p>
        </w:tc>
        <w:tc>
          <w:tcPr>
            <w:tcW w:w="1226" w:type="dxa"/>
            <w:tcBorders>
              <w:top w:val="nil"/>
              <w:left w:val="nil"/>
              <w:bottom w:val="single" w:sz="8" w:space="0" w:color="auto"/>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10.0</w:t>
            </w:r>
          </w:p>
        </w:tc>
        <w:tc>
          <w:tcPr>
            <w:tcW w:w="266" w:type="dxa"/>
            <w:tcBorders>
              <w:top w:val="nil"/>
              <w:left w:val="nil"/>
              <w:bottom w:val="single" w:sz="8" w:space="0" w:color="auto"/>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single" w:sz="8" w:space="0" w:color="auto"/>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8,371.6</w:t>
            </w:r>
          </w:p>
        </w:tc>
        <w:tc>
          <w:tcPr>
            <w:tcW w:w="1205" w:type="dxa"/>
            <w:tcBorders>
              <w:top w:val="nil"/>
              <w:left w:val="nil"/>
              <w:bottom w:val="single" w:sz="8" w:space="0" w:color="auto"/>
              <w:right w:val="nil"/>
            </w:tcBorders>
            <w:shd w:val="clear" w:color="auto" w:fill="auto"/>
            <w:noWrap/>
            <w:vAlign w:val="bottom"/>
            <w:hideMark/>
          </w:tcPr>
          <w:p w:rsidR="0023031A" w:rsidRPr="00AE70BF" w:rsidRDefault="0023031A" w:rsidP="00D53462">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-6.2</w:t>
            </w:r>
          </w:p>
        </w:tc>
        <w:tc>
          <w:tcPr>
            <w:tcW w:w="266" w:type="dxa"/>
            <w:tcBorders>
              <w:top w:val="nil"/>
              <w:left w:val="nil"/>
              <w:bottom w:val="single" w:sz="8" w:space="0" w:color="auto"/>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p>
        </w:tc>
        <w:tc>
          <w:tcPr>
            <w:tcW w:w="1356" w:type="dxa"/>
            <w:tcBorders>
              <w:top w:val="nil"/>
              <w:left w:val="nil"/>
              <w:bottom w:val="single" w:sz="8" w:space="0" w:color="auto"/>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1,413.4</w:t>
            </w:r>
          </w:p>
        </w:tc>
        <w:tc>
          <w:tcPr>
            <w:tcW w:w="1190" w:type="dxa"/>
            <w:tcBorders>
              <w:top w:val="nil"/>
              <w:left w:val="nil"/>
              <w:bottom w:val="single" w:sz="8" w:space="0" w:color="auto"/>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94.2</w:t>
            </w:r>
          </w:p>
        </w:tc>
        <w:tc>
          <w:tcPr>
            <w:tcW w:w="1526" w:type="dxa"/>
            <w:tcBorders>
              <w:top w:val="nil"/>
              <w:left w:val="nil"/>
              <w:bottom w:val="single" w:sz="8" w:space="0" w:color="auto"/>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18.3</w:t>
            </w:r>
          </w:p>
        </w:tc>
        <w:tc>
          <w:tcPr>
            <w:tcW w:w="1559" w:type="dxa"/>
            <w:tcBorders>
              <w:top w:val="nil"/>
              <w:left w:val="nil"/>
              <w:bottom w:val="single" w:sz="8" w:space="0" w:color="auto"/>
              <w:right w:val="nil"/>
            </w:tcBorders>
            <w:shd w:val="clear" w:color="auto" w:fill="auto"/>
            <w:noWrap/>
            <w:vAlign w:val="bottom"/>
            <w:hideMark/>
          </w:tcPr>
          <w:p w:rsidR="0023031A" w:rsidRPr="00AE70BF" w:rsidRDefault="0023031A" w:rsidP="0023031A">
            <w:pPr>
              <w:spacing w:after="0" w:line="240" w:lineRule="auto"/>
              <w:jc w:val="center"/>
              <w:rPr>
                <w:rFonts w:ascii="Calibri" w:eastAsia="Times New Roman" w:hAnsi="Calibri" w:cs="Calibri"/>
                <w:color w:val="000000"/>
                <w:sz w:val="20"/>
                <w:szCs w:val="20"/>
              </w:rPr>
            </w:pPr>
            <w:r w:rsidRPr="00AE70BF">
              <w:rPr>
                <w:rFonts w:ascii="Calibri" w:eastAsia="Times New Roman" w:hAnsi="Calibri" w:cs="Calibri"/>
                <w:color w:val="000000"/>
                <w:sz w:val="20"/>
                <w:szCs w:val="20"/>
              </w:rPr>
              <w:t>26.0</w:t>
            </w:r>
          </w:p>
        </w:tc>
      </w:tr>
    </w:tbl>
    <w:p w:rsidR="00231863" w:rsidRPr="004137C3" w:rsidRDefault="00231863" w:rsidP="00231863">
      <w:pPr>
        <w:rPr>
          <w:sz w:val="16"/>
          <w:szCs w:val="16"/>
        </w:rPr>
      </w:pPr>
      <w:r w:rsidRPr="004137C3">
        <w:rPr>
          <w:sz w:val="16"/>
          <w:szCs w:val="16"/>
        </w:rPr>
        <w:t>Source: Labour Force Surveys, composite files for 1994/95 and 2009/10</w:t>
      </w:r>
    </w:p>
    <w:p w:rsidR="0023031A" w:rsidRDefault="0023031A" w:rsidP="0023031A"/>
    <w:p w:rsidR="0023031A" w:rsidRDefault="0023031A" w:rsidP="00EA4F1F"/>
    <w:p w:rsidR="0023031A" w:rsidRPr="0023031A" w:rsidRDefault="0023031A" w:rsidP="00D53462">
      <w:pPr>
        <w:spacing w:line="240" w:lineRule="auto"/>
        <w:ind w:left="1418" w:hanging="1418"/>
        <w:rPr>
          <w:b/>
        </w:rPr>
      </w:pPr>
      <w:r>
        <w:rPr>
          <w:b/>
        </w:rPr>
        <w:lastRenderedPageBreak/>
        <w:t>Table 2:</w:t>
      </w:r>
      <w:r>
        <w:rPr>
          <w:b/>
        </w:rPr>
        <w:tab/>
        <w:t>Trends in employment by industry sectors (classified by graduate intensity)</w:t>
      </w:r>
      <w:r w:rsidR="00D53462">
        <w:rPr>
          <w:b/>
        </w:rPr>
        <w:t>, age groups, qualification and occupation (graduate vs. non-graduate jobs)</w:t>
      </w:r>
    </w:p>
    <w:tbl>
      <w:tblPr>
        <w:tblW w:w="13112" w:type="dxa"/>
        <w:tblInd w:w="675" w:type="dxa"/>
        <w:tblLook w:val="04A0" w:firstRow="1" w:lastRow="0" w:firstColumn="1" w:lastColumn="0" w:noHBand="0" w:noVBand="1"/>
      </w:tblPr>
      <w:tblGrid>
        <w:gridCol w:w="1460"/>
        <w:gridCol w:w="1356"/>
        <w:gridCol w:w="1226"/>
        <w:gridCol w:w="266"/>
        <w:gridCol w:w="1356"/>
        <w:gridCol w:w="1155"/>
        <w:gridCol w:w="300"/>
        <w:gridCol w:w="1356"/>
        <w:gridCol w:w="1179"/>
        <w:gridCol w:w="1757"/>
        <w:gridCol w:w="1701"/>
      </w:tblGrid>
      <w:tr w:rsidR="0023031A" w:rsidRPr="00712718" w:rsidTr="00D53462">
        <w:trPr>
          <w:trHeight w:val="300"/>
        </w:trPr>
        <w:tc>
          <w:tcPr>
            <w:tcW w:w="1460" w:type="dxa"/>
            <w:tcBorders>
              <w:top w:val="single" w:sz="8" w:space="0" w:color="auto"/>
              <w:left w:val="nil"/>
              <w:bottom w:val="nil"/>
              <w:right w:val="nil"/>
            </w:tcBorders>
            <w:shd w:val="clear" w:color="auto" w:fill="auto"/>
            <w:noWrap/>
            <w:vAlign w:val="center"/>
            <w:hideMark/>
          </w:tcPr>
          <w:p w:rsidR="0023031A" w:rsidRPr="00712718" w:rsidRDefault="0023031A" w:rsidP="0023031A">
            <w:pPr>
              <w:spacing w:after="0" w:line="240" w:lineRule="auto"/>
              <w:rPr>
                <w:rFonts w:ascii="Calibri" w:eastAsia="Times New Roman" w:hAnsi="Calibri" w:cs="Calibri"/>
                <w:color w:val="000000"/>
              </w:rPr>
            </w:pPr>
          </w:p>
        </w:tc>
        <w:tc>
          <w:tcPr>
            <w:tcW w:w="2582" w:type="dxa"/>
            <w:gridSpan w:val="2"/>
            <w:tcBorders>
              <w:top w:val="single" w:sz="8" w:space="0" w:color="auto"/>
              <w:left w:val="nil"/>
              <w:bottom w:val="single" w:sz="8" w:space="0" w:color="auto"/>
              <w:right w:val="nil"/>
            </w:tcBorders>
            <w:shd w:val="clear" w:color="auto" w:fill="auto"/>
            <w:noWrap/>
            <w:vAlign w:val="center"/>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All employed</w:t>
            </w:r>
          </w:p>
        </w:tc>
        <w:tc>
          <w:tcPr>
            <w:tcW w:w="266" w:type="dxa"/>
            <w:tcBorders>
              <w:top w:val="single" w:sz="8" w:space="0" w:color="auto"/>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r w:rsidRPr="00712718">
              <w:rPr>
                <w:rFonts w:ascii="Calibri" w:eastAsia="Times New Roman" w:hAnsi="Calibri" w:cs="Calibri"/>
                <w:color w:val="000000"/>
              </w:rPr>
              <w:t> </w:t>
            </w:r>
          </w:p>
        </w:tc>
        <w:tc>
          <w:tcPr>
            <w:tcW w:w="2511" w:type="dxa"/>
            <w:gridSpan w:val="2"/>
            <w:tcBorders>
              <w:top w:val="single" w:sz="8" w:space="0" w:color="auto"/>
              <w:left w:val="nil"/>
              <w:bottom w:val="single" w:sz="8" w:space="0" w:color="auto"/>
              <w:right w:val="nil"/>
            </w:tcBorders>
            <w:shd w:val="clear" w:color="auto" w:fill="auto"/>
            <w:noWrap/>
            <w:vAlign w:val="center"/>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Employed young people</w:t>
            </w:r>
          </w:p>
        </w:tc>
        <w:tc>
          <w:tcPr>
            <w:tcW w:w="300" w:type="dxa"/>
            <w:tcBorders>
              <w:top w:val="single" w:sz="8" w:space="0" w:color="auto"/>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r w:rsidRPr="00712718">
              <w:rPr>
                <w:rFonts w:ascii="Calibri" w:eastAsia="Times New Roman" w:hAnsi="Calibri" w:cs="Calibri"/>
                <w:color w:val="000000"/>
              </w:rPr>
              <w:t> </w:t>
            </w:r>
          </w:p>
        </w:tc>
        <w:tc>
          <w:tcPr>
            <w:tcW w:w="5993" w:type="dxa"/>
            <w:gridSpan w:val="4"/>
            <w:tcBorders>
              <w:top w:val="single" w:sz="8" w:space="0" w:color="auto"/>
              <w:left w:val="nil"/>
              <w:bottom w:val="single" w:sz="8" w:space="0" w:color="auto"/>
              <w:right w:val="nil"/>
            </w:tcBorders>
            <w:shd w:val="clear" w:color="auto" w:fill="auto"/>
            <w:noWrap/>
            <w:vAlign w:val="center"/>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Employed young people with a degree</w:t>
            </w:r>
          </w:p>
        </w:tc>
      </w:tr>
      <w:tr w:rsidR="0023031A" w:rsidRPr="00712718" w:rsidTr="00D53462">
        <w:trPr>
          <w:trHeight w:val="846"/>
        </w:trPr>
        <w:tc>
          <w:tcPr>
            <w:tcW w:w="1460" w:type="dxa"/>
            <w:tcBorders>
              <w:top w:val="nil"/>
              <w:left w:val="nil"/>
              <w:bottom w:val="single" w:sz="8" w:space="0" w:color="auto"/>
              <w:right w:val="nil"/>
            </w:tcBorders>
            <w:shd w:val="clear" w:color="auto" w:fill="auto"/>
            <w:vAlign w:val="center"/>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bottom w:val="single" w:sz="8" w:space="0" w:color="auto"/>
              <w:right w:val="nil"/>
            </w:tcBorders>
            <w:shd w:val="clear" w:color="auto" w:fill="auto"/>
            <w:vAlign w:val="center"/>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Employment 1994-95 (thousands)</w:t>
            </w:r>
          </w:p>
        </w:tc>
        <w:tc>
          <w:tcPr>
            <w:tcW w:w="1226" w:type="dxa"/>
            <w:tcBorders>
              <w:top w:val="nil"/>
              <w:left w:val="nil"/>
              <w:bottom w:val="single" w:sz="8" w:space="0" w:color="auto"/>
              <w:right w:val="nil"/>
            </w:tcBorders>
            <w:shd w:val="clear" w:color="auto" w:fill="auto"/>
            <w:vAlign w:val="center"/>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 change ‘94/5 – ‘09/10</w:t>
            </w:r>
          </w:p>
        </w:tc>
        <w:tc>
          <w:tcPr>
            <w:tcW w:w="266" w:type="dxa"/>
            <w:tcBorders>
              <w:top w:val="nil"/>
              <w:left w:val="nil"/>
              <w:bottom w:val="single" w:sz="8" w:space="0" w:color="auto"/>
              <w:right w:val="nil"/>
            </w:tcBorders>
            <w:shd w:val="clear" w:color="auto" w:fill="auto"/>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bottom w:val="single" w:sz="8" w:space="0" w:color="auto"/>
              <w:right w:val="nil"/>
            </w:tcBorders>
            <w:shd w:val="clear" w:color="auto" w:fill="auto"/>
            <w:vAlign w:val="center"/>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Employment 1994-95 (thousands)</w:t>
            </w:r>
          </w:p>
        </w:tc>
        <w:tc>
          <w:tcPr>
            <w:tcW w:w="1155" w:type="dxa"/>
            <w:tcBorders>
              <w:top w:val="nil"/>
              <w:left w:val="nil"/>
              <w:bottom w:val="single" w:sz="8" w:space="0" w:color="auto"/>
              <w:right w:val="nil"/>
            </w:tcBorders>
            <w:shd w:val="clear" w:color="auto" w:fill="auto"/>
            <w:vAlign w:val="center"/>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 change ‘94/5 – ‘09/10</w:t>
            </w:r>
          </w:p>
        </w:tc>
        <w:tc>
          <w:tcPr>
            <w:tcW w:w="300" w:type="dxa"/>
            <w:tcBorders>
              <w:top w:val="nil"/>
              <w:left w:val="nil"/>
              <w:bottom w:val="single" w:sz="8" w:space="0" w:color="auto"/>
              <w:right w:val="nil"/>
            </w:tcBorders>
            <w:shd w:val="clear" w:color="auto" w:fill="auto"/>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bottom w:val="single" w:sz="8" w:space="0" w:color="auto"/>
              <w:right w:val="nil"/>
            </w:tcBorders>
            <w:shd w:val="clear" w:color="auto" w:fill="auto"/>
            <w:vAlign w:val="center"/>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Employment 1994-95 (thousands)</w:t>
            </w:r>
          </w:p>
        </w:tc>
        <w:tc>
          <w:tcPr>
            <w:tcW w:w="1179" w:type="dxa"/>
            <w:tcBorders>
              <w:top w:val="nil"/>
              <w:left w:val="nil"/>
              <w:bottom w:val="single" w:sz="8" w:space="0" w:color="auto"/>
              <w:right w:val="nil"/>
            </w:tcBorders>
            <w:shd w:val="clear" w:color="auto" w:fill="auto"/>
            <w:vAlign w:val="center"/>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 change '94/5 - '09/10</w:t>
            </w:r>
          </w:p>
        </w:tc>
        <w:tc>
          <w:tcPr>
            <w:tcW w:w="1757" w:type="dxa"/>
            <w:tcBorders>
              <w:top w:val="nil"/>
              <w:left w:val="nil"/>
              <w:bottom w:val="single" w:sz="8" w:space="0" w:color="auto"/>
              <w:right w:val="nil"/>
            </w:tcBorders>
            <w:shd w:val="clear" w:color="auto" w:fill="auto"/>
            <w:vAlign w:val="center"/>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 in non-graduate jobs in 1994/5</w:t>
            </w:r>
          </w:p>
        </w:tc>
        <w:tc>
          <w:tcPr>
            <w:tcW w:w="1701" w:type="dxa"/>
            <w:tcBorders>
              <w:top w:val="nil"/>
              <w:left w:val="nil"/>
              <w:bottom w:val="single" w:sz="8" w:space="0" w:color="auto"/>
              <w:right w:val="nil"/>
            </w:tcBorders>
            <w:shd w:val="clear" w:color="auto" w:fill="auto"/>
            <w:vAlign w:val="center"/>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 in non-graduate jobs in 2009/10</w:t>
            </w:r>
          </w:p>
        </w:tc>
      </w:tr>
      <w:tr w:rsidR="0023031A" w:rsidRPr="00712718" w:rsidTr="00D53462">
        <w:trPr>
          <w:trHeight w:val="288"/>
        </w:trPr>
        <w:tc>
          <w:tcPr>
            <w:tcW w:w="1460"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r w:rsidRPr="00712718">
              <w:rPr>
                <w:rFonts w:ascii="Calibri" w:eastAsia="Times New Roman" w:hAnsi="Calibri" w:cs="Calibri"/>
                <w:color w:val="000000"/>
              </w:rPr>
              <w:t>less than 5%</w:t>
            </w: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3</w:t>
            </w:r>
            <w:r>
              <w:rPr>
                <w:rFonts w:ascii="Calibri" w:eastAsia="Times New Roman" w:hAnsi="Calibri" w:cs="Calibri"/>
                <w:color w:val="000000"/>
              </w:rPr>
              <w:t>,</w:t>
            </w:r>
            <w:r w:rsidRPr="00712718">
              <w:rPr>
                <w:rFonts w:ascii="Calibri" w:eastAsia="Times New Roman" w:hAnsi="Calibri" w:cs="Calibri"/>
                <w:color w:val="000000"/>
              </w:rPr>
              <w:t>863.5</w:t>
            </w:r>
          </w:p>
        </w:tc>
        <w:tc>
          <w:tcPr>
            <w:tcW w:w="122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-1.9</w:t>
            </w:r>
          </w:p>
        </w:tc>
        <w:tc>
          <w:tcPr>
            <w:tcW w:w="26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w:t>
            </w:r>
            <w:r>
              <w:rPr>
                <w:rFonts w:ascii="Calibri" w:eastAsia="Times New Roman" w:hAnsi="Calibri" w:cs="Calibri"/>
                <w:color w:val="000000"/>
              </w:rPr>
              <w:t>,</w:t>
            </w:r>
            <w:r w:rsidRPr="00712718">
              <w:rPr>
                <w:rFonts w:ascii="Calibri" w:eastAsia="Times New Roman" w:hAnsi="Calibri" w:cs="Calibri"/>
                <w:color w:val="000000"/>
              </w:rPr>
              <w:t>206.9</w:t>
            </w:r>
          </w:p>
        </w:tc>
        <w:tc>
          <w:tcPr>
            <w:tcW w:w="1155"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-10.5</w:t>
            </w:r>
          </w:p>
        </w:tc>
        <w:tc>
          <w:tcPr>
            <w:tcW w:w="300"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59.23</w:t>
            </w:r>
          </w:p>
        </w:tc>
        <w:tc>
          <w:tcPr>
            <w:tcW w:w="1179"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165.3</w:t>
            </w:r>
          </w:p>
        </w:tc>
        <w:tc>
          <w:tcPr>
            <w:tcW w:w="1757"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54.4</w:t>
            </w:r>
          </w:p>
        </w:tc>
        <w:tc>
          <w:tcPr>
            <w:tcW w:w="1701"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72.6</w:t>
            </w:r>
          </w:p>
        </w:tc>
      </w:tr>
      <w:tr w:rsidR="0023031A" w:rsidRPr="00712718" w:rsidTr="00D53462">
        <w:trPr>
          <w:trHeight w:val="288"/>
        </w:trPr>
        <w:tc>
          <w:tcPr>
            <w:tcW w:w="1460"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r w:rsidRPr="00712718">
              <w:rPr>
                <w:rFonts w:ascii="Calibri" w:eastAsia="Times New Roman" w:hAnsi="Calibri" w:cs="Calibri"/>
                <w:color w:val="000000"/>
              </w:rPr>
              <w:t>&gt;5 but &lt; 10%</w:t>
            </w: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8</w:t>
            </w:r>
            <w:r>
              <w:rPr>
                <w:rFonts w:ascii="Calibri" w:eastAsia="Times New Roman" w:hAnsi="Calibri" w:cs="Calibri"/>
                <w:color w:val="000000"/>
              </w:rPr>
              <w:t>,</w:t>
            </w:r>
            <w:r w:rsidRPr="00712718">
              <w:rPr>
                <w:rFonts w:ascii="Calibri" w:eastAsia="Times New Roman" w:hAnsi="Calibri" w:cs="Calibri"/>
                <w:color w:val="000000"/>
              </w:rPr>
              <w:t>594.4</w:t>
            </w:r>
          </w:p>
        </w:tc>
        <w:tc>
          <w:tcPr>
            <w:tcW w:w="122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-5.2</w:t>
            </w:r>
          </w:p>
        </w:tc>
        <w:tc>
          <w:tcPr>
            <w:tcW w:w="26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2</w:t>
            </w:r>
            <w:r>
              <w:rPr>
                <w:rFonts w:ascii="Calibri" w:eastAsia="Times New Roman" w:hAnsi="Calibri" w:cs="Calibri"/>
                <w:color w:val="000000"/>
              </w:rPr>
              <w:t>,</w:t>
            </w:r>
            <w:r w:rsidRPr="00712718">
              <w:rPr>
                <w:rFonts w:ascii="Calibri" w:eastAsia="Times New Roman" w:hAnsi="Calibri" w:cs="Calibri"/>
                <w:color w:val="000000"/>
              </w:rPr>
              <w:t>916.7</w:t>
            </w:r>
          </w:p>
        </w:tc>
        <w:tc>
          <w:tcPr>
            <w:tcW w:w="1155"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-19.4</w:t>
            </w:r>
          </w:p>
        </w:tc>
        <w:tc>
          <w:tcPr>
            <w:tcW w:w="300"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239.70</w:t>
            </w:r>
          </w:p>
        </w:tc>
        <w:tc>
          <w:tcPr>
            <w:tcW w:w="1179"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100.5</w:t>
            </w:r>
          </w:p>
        </w:tc>
        <w:tc>
          <w:tcPr>
            <w:tcW w:w="1757"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29.9</w:t>
            </w:r>
          </w:p>
        </w:tc>
        <w:tc>
          <w:tcPr>
            <w:tcW w:w="1701"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43.5</w:t>
            </w:r>
          </w:p>
        </w:tc>
      </w:tr>
      <w:tr w:rsidR="0023031A" w:rsidRPr="00712718" w:rsidTr="00D53462">
        <w:trPr>
          <w:trHeight w:val="288"/>
        </w:trPr>
        <w:tc>
          <w:tcPr>
            <w:tcW w:w="1460"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r w:rsidRPr="00712718">
              <w:rPr>
                <w:rFonts w:ascii="Calibri" w:eastAsia="Times New Roman" w:hAnsi="Calibri" w:cs="Calibri"/>
                <w:color w:val="000000"/>
              </w:rPr>
              <w:t>&gt;10 but &lt;15%</w:t>
            </w: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3</w:t>
            </w:r>
            <w:r>
              <w:rPr>
                <w:rFonts w:ascii="Calibri" w:eastAsia="Times New Roman" w:hAnsi="Calibri" w:cs="Calibri"/>
                <w:color w:val="000000"/>
              </w:rPr>
              <w:t>,</w:t>
            </w:r>
            <w:r w:rsidRPr="00712718">
              <w:rPr>
                <w:rFonts w:ascii="Calibri" w:eastAsia="Times New Roman" w:hAnsi="Calibri" w:cs="Calibri"/>
                <w:color w:val="000000"/>
              </w:rPr>
              <w:t>827.8</w:t>
            </w:r>
          </w:p>
        </w:tc>
        <w:tc>
          <w:tcPr>
            <w:tcW w:w="122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15.0</w:t>
            </w:r>
          </w:p>
        </w:tc>
        <w:tc>
          <w:tcPr>
            <w:tcW w:w="26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w:t>
            </w:r>
            <w:r>
              <w:rPr>
                <w:rFonts w:ascii="Calibri" w:eastAsia="Times New Roman" w:hAnsi="Calibri" w:cs="Calibri"/>
                <w:color w:val="000000"/>
              </w:rPr>
              <w:t>,</w:t>
            </w:r>
            <w:r w:rsidRPr="00712718">
              <w:rPr>
                <w:rFonts w:ascii="Calibri" w:eastAsia="Times New Roman" w:hAnsi="Calibri" w:cs="Calibri"/>
                <w:color w:val="000000"/>
              </w:rPr>
              <w:t>256.1</w:t>
            </w:r>
          </w:p>
        </w:tc>
        <w:tc>
          <w:tcPr>
            <w:tcW w:w="1155"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-9.2</w:t>
            </w:r>
          </w:p>
        </w:tc>
        <w:tc>
          <w:tcPr>
            <w:tcW w:w="300"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220.10</w:t>
            </w:r>
          </w:p>
        </w:tc>
        <w:tc>
          <w:tcPr>
            <w:tcW w:w="1179"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96.2</w:t>
            </w:r>
          </w:p>
        </w:tc>
        <w:tc>
          <w:tcPr>
            <w:tcW w:w="1757"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14.1</w:t>
            </w:r>
          </w:p>
        </w:tc>
        <w:tc>
          <w:tcPr>
            <w:tcW w:w="1701"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18.8</w:t>
            </w:r>
          </w:p>
        </w:tc>
      </w:tr>
      <w:tr w:rsidR="0023031A" w:rsidRPr="00712718" w:rsidTr="00D53462">
        <w:trPr>
          <w:trHeight w:val="288"/>
        </w:trPr>
        <w:tc>
          <w:tcPr>
            <w:tcW w:w="1460"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r w:rsidRPr="00712718">
              <w:rPr>
                <w:rFonts w:ascii="Calibri" w:eastAsia="Times New Roman" w:hAnsi="Calibri" w:cs="Calibri"/>
                <w:color w:val="000000"/>
              </w:rPr>
              <w:t>&gt;15 but &lt;20%</w:t>
            </w: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3</w:t>
            </w:r>
            <w:r>
              <w:rPr>
                <w:rFonts w:ascii="Calibri" w:eastAsia="Times New Roman" w:hAnsi="Calibri" w:cs="Calibri"/>
                <w:color w:val="000000"/>
              </w:rPr>
              <w:t>,</w:t>
            </w:r>
            <w:r w:rsidRPr="00712718">
              <w:rPr>
                <w:rFonts w:ascii="Calibri" w:eastAsia="Times New Roman" w:hAnsi="Calibri" w:cs="Calibri"/>
                <w:color w:val="000000"/>
              </w:rPr>
              <w:t>033.3</w:t>
            </w:r>
          </w:p>
        </w:tc>
        <w:tc>
          <w:tcPr>
            <w:tcW w:w="122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9.7</w:t>
            </w:r>
          </w:p>
        </w:tc>
        <w:tc>
          <w:tcPr>
            <w:tcW w:w="26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w:t>
            </w:r>
            <w:r>
              <w:rPr>
                <w:rFonts w:ascii="Calibri" w:eastAsia="Times New Roman" w:hAnsi="Calibri" w:cs="Calibri"/>
                <w:color w:val="000000"/>
              </w:rPr>
              <w:t>,</w:t>
            </w:r>
            <w:r w:rsidRPr="00712718">
              <w:rPr>
                <w:rFonts w:ascii="Calibri" w:eastAsia="Times New Roman" w:hAnsi="Calibri" w:cs="Calibri"/>
                <w:color w:val="000000"/>
              </w:rPr>
              <w:t>275.3</w:t>
            </w:r>
          </w:p>
        </w:tc>
        <w:tc>
          <w:tcPr>
            <w:tcW w:w="1155"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-17.9</w:t>
            </w:r>
          </w:p>
        </w:tc>
        <w:tc>
          <w:tcPr>
            <w:tcW w:w="300"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235.25</w:t>
            </w:r>
          </w:p>
        </w:tc>
        <w:tc>
          <w:tcPr>
            <w:tcW w:w="1179"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93.7</w:t>
            </w:r>
          </w:p>
        </w:tc>
        <w:tc>
          <w:tcPr>
            <w:tcW w:w="1757"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25.1</w:t>
            </w:r>
          </w:p>
        </w:tc>
        <w:tc>
          <w:tcPr>
            <w:tcW w:w="1701"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26.6</w:t>
            </w:r>
          </w:p>
        </w:tc>
      </w:tr>
      <w:tr w:rsidR="0023031A" w:rsidRPr="00712718" w:rsidTr="00D53462">
        <w:trPr>
          <w:trHeight w:val="288"/>
        </w:trPr>
        <w:tc>
          <w:tcPr>
            <w:tcW w:w="1460"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r w:rsidRPr="00712718">
              <w:rPr>
                <w:rFonts w:ascii="Calibri" w:eastAsia="Times New Roman" w:hAnsi="Calibri" w:cs="Calibri"/>
                <w:color w:val="000000"/>
              </w:rPr>
              <w:t>&gt;20 but &lt;25%</w:t>
            </w: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w:t>
            </w:r>
            <w:r>
              <w:rPr>
                <w:rFonts w:ascii="Calibri" w:eastAsia="Times New Roman" w:hAnsi="Calibri" w:cs="Calibri"/>
                <w:color w:val="000000"/>
              </w:rPr>
              <w:t>,</w:t>
            </w:r>
            <w:r w:rsidRPr="00712718">
              <w:rPr>
                <w:rFonts w:ascii="Calibri" w:eastAsia="Times New Roman" w:hAnsi="Calibri" w:cs="Calibri"/>
                <w:color w:val="000000"/>
              </w:rPr>
              <w:t>399.7</w:t>
            </w:r>
          </w:p>
        </w:tc>
        <w:tc>
          <w:tcPr>
            <w:tcW w:w="122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9.4</w:t>
            </w:r>
          </w:p>
        </w:tc>
        <w:tc>
          <w:tcPr>
            <w:tcW w:w="26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480.3</w:t>
            </w:r>
          </w:p>
        </w:tc>
        <w:tc>
          <w:tcPr>
            <w:tcW w:w="1155"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-3.4</w:t>
            </w:r>
          </w:p>
        </w:tc>
        <w:tc>
          <w:tcPr>
            <w:tcW w:w="300"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126.49</w:t>
            </w:r>
          </w:p>
        </w:tc>
        <w:tc>
          <w:tcPr>
            <w:tcW w:w="1179"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53.4</w:t>
            </w:r>
          </w:p>
        </w:tc>
        <w:tc>
          <w:tcPr>
            <w:tcW w:w="1757"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16.6</w:t>
            </w:r>
          </w:p>
        </w:tc>
        <w:tc>
          <w:tcPr>
            <w:tcW w:w="1701"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27.4</w:t>
            </w:r>
          </w:p>
        </w:tc>
      </w:tr>
      <w:tr w:rsidR="0023031A" w:rsidRPr="00712718" w:rsidTr="00D53462">
        <w:trPr>
          <w:trHeight w:val="288"/>
        </w:trPr>
        <w:tc>
          <w:tcPr>
            <w:tcW w:w="1460"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r w:rsidRPr="00712718">
              <w:rPr>
                <w:rFonts w:ascii="Calibri" w:eastAsia="Times New Roman" w:hAnsi="Calibri" w:cs="Calibri"/>
                <w:color w:val="000000"/>
              </w:rPr>
              <w:t>&gt;25%</w:t>
            </w: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4</w:t>
            </w:r>
            <w:r>
              <w:rPr>
                <w:rFonts w:ascii="Calibri" w:eastAsia="Times New Roman" w:hAnsi="Calibri" w:cs="Calibri"/>
                <w:color w:val="000000"/>
              </w:rPr>
              <w:t>,</w:t>
            </w:r>
            <w:r w:rsidRPr="00712718">
              <w:rPr>
                <w:rFonts w:ascii="Calibri" w:eastAsia="Times New Roman" w:hAnsi="Calibri" w:cs="Calibri"/>
                <w:color w:val="000000"/>
              </w:rPr>
              <w:t>142.9</w:t>
            </w:r>
          </w:p>
        </w:tc>
        <w:tc>
          <w:tcPr>
            <w:tcW w:w="122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47.9</w:t>
            </w:r>
          </w:p>
        </w:tc>
        <w:tc>
          <w:tcPr>
            <w:tcW w:w="26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w:t>
            </w:r>
            <w:r>
              <w:rPr>
                <w:rFonts w:ascii="Calibri" w:eastAsia="Times New Roman" w:hAnsi="Calibri" w:cs="Calibri"/>
                <w:color w:val="000000"/>
              </w:rPr>
              <w:t>,</w:t>
            </w:r>
            <w:r w:rsidRPr="00712718">
              <w:rPr>
                <w:rFonts w:ascii="Calibri" w:eastAsia="Times New Roman" w:hAnsi="Calibri" w:cs="Calibri"/>
                <w:color w:val="000000"/>
              </w:rPr>
              <w:t>240.4</w:t>
            </w:r>
          </w:p>
        </w:tc>
        <w:tc>
          <w:tcPr>
            <w:tcW w:w="1155"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42.5</w:t>
            </w:r>
          </w:p>
        </w:tc>
        <w:tc>
          <w:tcPr>
            <w:tcW w:w="300"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533.31</w:t>
            </w:r>
          </w:p>
        </w:tc>
        <w:tc>
          <w:tcPr>
            <w:tcW w:w="1179"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92.2</w:t>
            </w:r>
          </w:p>
        </w:tc>
        <w:tc>
          <w:tcPr>
            <w:tcW w:w="1757"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8.1</w:t>
            </w:r>
          </w:p>
        </w:tc>
        <w:tc>
          <w:tcPr>
            <w:tcW w:w="1701" w:type="dxa"/>
            <w:tcBorders>
              <w:top w:val="nil"/>
              <w:left w:val="nil"/>
              <w:bottom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13.2</w:t>
            </w:r>
          </w:p>
        </w:tc>
      </w:tr>
      <w:tr w:rsidR="0023031A" w:rsidRPr="00712718" w:rsidTr="00D53462">
        <w:trPr>
          <w:trHeight w:val="288"/>
        </w:trPr>
        <w:tc>
          <w:tcPr>
            <w:tcW w:w="1460" w:type="dxa"/>
            <w:tcBorders>
              <w:top w:val="nil"/>
              <w:left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p>
        </w:tc>
        <w:tc>
          <w:tcPr>
            <w:tcW w:w="1226" w:type="dxa"/>
            <w:tcBorders>
              <w:top w:val="nil"/>
              <w:left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266" w:type="dxa"/>
            <w:tcBorders>
              <w:top w:val="nil"/>
              <w:left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p>
        </w:tc>
        <w:tc>
          <w:tcPr>
            <w:tcW w:w="1155" w:type="dxa"/>
            <w:tcBorders>
              <w:top w:val="nil"/>
              <w:left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300" w:type="dxa"/>
            <w:tcBorders>
              <w:top w:val="nil"/>
              <w:left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356" w:type="dxa"/>
            <w:tcBorders>
              <w:top w:val="nil"/>
              <w:left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p>
        </w:tc>
        <w:tc>
          <w:tcPr>
            <w:tcW w:w="1179" w:type="dxa"/>
            <w:tcBorders>
              <w:top w:val="nil"/>
              <w:left w:val="nil"/>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p>
        </w:tc>
        <w:tc>
          <w:tcPr>
            <w:tcW w:w="1757" w:type="dxa"/>
            <w:tcBorders>
              <w:top w:val="nil"/>
              <w:left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p>
        </w:tc>
        <w:tc>
          <w:tcPr>
            <w:tcW w:w="1701" w:type="dxa"/>
            <w:tcBorders>
              <w:top w:val="nil"/>
              <w:left w:val="nil"/>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p>
        </w:tc>
      </w:tr>
      <w:tr w:rsidR="0023031A" w:rsidRPr="00712718" w:rsidTr="00D53462">
        <w:trPr>
          <w:trHeight w:val="288"/>
        </w:trPr>
        <w:tc>
          <w:tcPr>
            <w:tcW w:w="1460" w:type="dxa"/>
            <w:tcBorders>
              <w:top w:val="nil"/>
              <w:left w:val="nil"/>
              <w:bottom w:val="single" w:sz="8" w:space="0" w:color="auto"/>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r w:rsidRPr="00712718">
              <w:rPr>
                <w:rFonts w:ascii="Calibri" w:eastAsia="Times New Roman" w:hAnsi="Calibri" w:cs="Calibri"/>
                <w:color w:val="000000"/>
              </w:rPr>
              <w:t>Total</w:t>
            </w:r>
          </w:p>
        </w:tc>
        <w:tc>
          <w:tcPr>
            <w:tcW w:w="1356" w:type="dxa"/>
            <w:tcBorders>
              <w:top w:val="nil"/>
              <w:left w:val="nil"/>
              <w:bottom w:val="single" w:sz="8" w:space="0" w:color="auto"/>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24</w:t>
            </w:r>
            <w:r>
              <w:rPr>
                <w:rFonts w:ascii="Calibri" w:eastAsia="Times New Roman" w:hAnsi="Calibri" w:cs="Calibri"/>
                <w:color w:val="000000"/>
              </w:rPr>
              <w:t>,</w:t>
            </w:r>
            <w:r w:rsidRPr="00712718">
              <w:rPr>
                <w:rFonts w:ascii="Calibri" w:eastAsia="Times New Roman" w:hAnsi="Calibri" w:cs="Calibri"/>
                <w:color w:val="000000"/>
              </w:rPr>
              <w:t>861.6</w:t>
            </w:r>
          </w:p>
        </w:tc>
        <w:tc>
          <w:tcPr>
            <w:tcW w:w="1226" w:type="dxa"/>
            <w:tcBorders>
              <w:top w:val="nil"/>
              <w:left w:val="nil"/>
              <w:bottom w:val="single" w:sz="8" w:space="0" w:color="auto"/>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9.9</w:t>
            </w:r>
          </w:p>
        </w:tc>
        <w:tc>
          <w:tcPr>
            <w:tcW w:w="266" w:type="dxa"/>
            <w:tcBorders>
              <w:top w:val="nil"/>
              <w:left w:val="nil"/>
              <w:bottom w:val="single" w:sz="8" w:space="0" w:color="auto"/>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r w:rsidRPr="00712718">
              <w:rPr>
                <w:rFonts w:ascii="Calibri" w:eastAsia="Times New Roman" w:hAnsi="Calibri" w:cs="Calibri"/>
                <w:color w:val="000000"/>
              </w:rPr>
              <w:t> </w:t>
            </w:r>
          </w:p>
        </w:tc>
        <w:tc>
          <w:tcPr>
            <w:tcW w:w="1356" w:type="dxa"/>
            <w:tcBorders>
              <w:top w:val="nil"/>
              <w:left w:val="nil"/>
              <w:bottom w:val="single" w:sz="8" w:space="0" w:color="auto"/>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8</w:t>
            </w:r>
            <w:r>
              <w:rPr>
                <w:rFonts w:ascii="Calibri" w:eastAsia="Times New Roman" w:hAnsi="Calibri" w:cs="Calibri"/>
                <w:color w:val="000000"/>
              </w:rPr>
              <w:t>,</w:t>
            </w:r>
            <w:r w:rsidRPr="00712718">
              <w:rPr>
                <w:rFonts w:ascii="Calibri" w:eastAsia="Times New Roman" w:hAnsi="Calibri" w:cs="Calibri"/>
                <w:color w:val="000000"/>
              </w:rPr>
              <w:t>375.7</w:t>
            </w:r>
          </w:p>
        </w:tc>
        <w:tc>
          <w:tcPr>
            <w:tcW w:w="1155" w:type="dxa"/>
            <w:tcBorders>
              <w:top w:val="nil"/>
              <w:left w:val="nil"/>
              <w:bottom w:val="single" w:sz="8" w:space="0" w:color="auto"/>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-6.3</w:t>
            </w:r>
          </w:p>
        </w:tc>
        <w:tc>
          <w:tcPr>
            <w:tcW w:w="300" w:type="dxa"/>
            <w:tcBorders>
              <w:top w:val="nil"/>
              <w:left w:val="nil"/>
              <w:bottom w:val="single" w:sz="8" w:space="0" w:color="auto"/>
              <w:right w:val="nil"/>
            </w:tcBorders>
            <w:shd w:val="clear" w:color="auto" w:fill="auto"/>
            <w:noWrap/>
            <w:vAlign w:val="bottom"/>
            <w:hideMark/>
          </w:tcPr>
          <w:p w:rsidR="0023031A" w:rsidRPr="00712718" w:rsidRDefault="0023031A" w:rsidP="0023031A">
            <w:pPr>
              <w:spacing w:after="0" w:line="240" w:lineRule="auto"/>
              <w:rPr>
                <w:rFonts w:ascii="Calibri" w:eastAsia="Times New Roman" w:hAnsi="Calibri" w:cs="Calibri"/>
                <w:color w:val="000000"/>
              </w:rPr>
            </w:pPr>
            <w:r w:rsidRPr="00712718">
              <w:rPr>
                <w:rFonts w:ascii="Calibri" w:eastAsia="Times New Roman" w:hAnsi="Calibri" w:cs="Calibri"/>
                <w:color w:val="000000"/>
              </w:rPr>
              <w:t> </w:t>
            </w:r>
          </w:p>
        </w:tc>
        <w:tc>
          <w:tcPr>
            <w:tcW w:w="1356" w:type="dxa"/>
            <w:tcBorders>
              <w:top w:val="nil"/>
              <w:left w:val="nil"/>
              <w:bottom w:val="single" w:sz="8" w:space="0" w:color="auto"/>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w:t>
            </w:r>
            <w:r>
              <w:rPr>
                <w:rFonts w:ascii="Calibri" w:eastAsia="Times New Roman" w:hAnsi="Calibri" w:cs="Calibri"/>
                <w:color w:val="000000"/>
              </w:rPr>
              <w:t>,</w:t>
            </w:r>
            <w:r w:rsidRPr="00712718">
              <w:rPr>
                <w:rFonts w:ascii="Calibri" w:eastAsia="Times New Roman" w:hAnsi="Calibri" w:cs="Calibri"/>
                <w:color w:val="000000"/>
              </w:rPr>
              <w:t>414.08</w:t>
            </w:r>
          </w:p>
        </w:tc>
        <w:tc>
          <w:tcPr>
            <w:tcW w:w="1179" w:type="dxa"/>
            <w:tcBorders>
              <w:top w:val="nil"/>
              <w:left w:val="nil"/>
              <w:bottom w:val="single" w:sz="8" w:space="0" w:color="auto"/>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94.1</w:t>
            </w:r>
          </w:p>
        </w:tc>
        <w:tc>
          <w:tcPr>
            <w:tcW w:w="1757" w:type="dxa"/>
            <w:tcBorders>
              <w:top w:val="nil"/>
              <w:left w:val="nil"/>
              <w:bottom w:val="single" w:sz="8" w:space="0" w:color="auto"/>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18.3</w:t>
            </w:r>
          </w:p>
        </w:tc>
        <w:tc>
          <w:tcPr>
            <w:tcW w:w="1701" w:type="dxa"/>
            <w:tcBorders>
              <w:top w:val="nil"/>
              <w:left w:val="nil"/>
              <w:bottom w:val="single" w:sz="8" w:space="0" w:color="auto"/>
              <w:right w:val="nil"/>
            </w:tcBorders>
            <w:shd w:val="clear" w:color="auto" w:fill="auto"/>
            <w:noWrap/>
            <w:vAlign w:val="bottom"/>
            <w:hideMark/>
          </w:tcPr>
          <w:p w:rsidR="0023031A" w:rsidRPr="00712718" w:rsidRDefault="0023031A" w:rsidP="0023031A">
            <w:pPr>
              <w:spacing w:after="0" w:line="240" w:lineRule="auto"/>
              <w:jc w:val="center"/>
              <w:rPr>
                <w:rFonts w:ascii="Calibri" w:eastAsia="Times New Roman" w:hAnsi="Calibri" w:cs="Calibri"/>
                <w:color w:val="000000"/>
              </w:rPr>
            </w:pPr>
            <w:r w:rsidRPr="00712718">
              <w:rPr>
                <w:rFonts w:ascii="Calibri" w:eastAsia="Times New Roman" w:hAnsi="Calibri" w:cs="Calibri"/>
                <w:color w:val="000000"/>
              </w:rPr>
              <w:t>26.0</w:t>
            </w:r>
          </w:p>
        </w:tc>
      </w:tr>
    </w:tbl>
    <w:p w:rsidR="00231863" w:rsidRPr="004137C3" w:rsidRDefault="00231863" w:rsidP="00231863">
      <w:pPr>
        <w:ind w:left="567"/>
        <w:rPr>
          <w:sz w:val="16"/>
          <w:szCs w:val="16"/>
        </w:rPr>
      </w:pPr>
      <w:r w:rsidRPr="004137C3">
        <w:rPr>
          <w:sz w:val="16"/>
          <w:szCs w:val="16"/>
        </w:rPr>
        <w:t>Source: Labour Force Surveys, composite files for 1994/95 and 2009/10</w:t>
      </w:r>
    </w:p>
    <w:p w:rsidR="0023031A" w:rsidRPr="0023031A" w:rsidRDefault="0023031A" w:rsidP="00D53462">
      <w:pPr>
        <w:spacing w:line="240" w:lineRule="auto"/>
        <w:ind w:left="1418" w:hanging="1418"/>
        <w:rPr>
          <w:b/>
        </w:rPr>
      </w:pPr>
      <w:r>
        <w:rPr>
          <w:b/>
        </w:rPr>
        <w:t>Table 3:</w:t>
      </w:r>
      <w:r>
        <w:rPr>
          <w:b/>
        </w:rPr>
        <w:tab/>
        <w:t>Trends in employment by industry sectors (classified by innovation activity)</w:t>
      </w:r>
      <w:r w:rsidR="00D53462">
        <w:rPr>
          <w:b/>
        </w:rPr>
        <w:t>, age groups, qualification and occupation (graduate vs. non-graduate jobs)</w:t>
      </w:r>
    </w:p>
    <w:tbl>
      <w:tblPr>
        <w:tblW w:w="13623" w:type="dxa"/>
        <w:tblInd w:w="93" w:type="dxa"/>
        <w:tblLayout w:type="fixed"/>
        <w:tblLook w:val="04A0" w:firstRow="1" w:lastRow="0" w:firstColumn="1" w:lastColumn="0" w:noHBand="0" w:noVBand="1"/>
      </w:tblPr>
      <w:tblGrid>
        <w:gridCol w:w="2142"/>
        <w:gridCol w:w="1417"/>
        <w:gridCol w:w="1072"/>
        <w:gridCol w:w="266"/>
        <w:gridCol w:w="1356"/>
        <w:gridCol w:w="1355"/>
        <w:gridCol w:w="320"/>
        <w:gridCol w:w="1356"/>
        <w:gridCol w:w="1300"/>
        <w:gridCol w:w="1480"/>
        <w:gridCol w:w="1559"/>
      </w:tblGrid>
      <w:tr w:rsidR="0023031A" w:rsidRPr="00C81ACD" w:rsidTr="0023031A">
        <w:trPr>
          <w:trHeight w:val="300"/>
        </w:trPr>
        <w:tc>
          <w:tcPr>
            <w:tcW w:w="2142" w:type="dxa"/>
            <w:tcBorders>
              <w:top w:val="single" w:sz="8" w:space="0" w:color="auto"/>
              <w:left w:val="nil"/>
              <w:bottom w:val="nil"/>
              <w:right w:val="nil"/>
            </w:tcBorders>
            <w:shd w:val="clear" w:color="auto" w:fill="auto"/>
            <w:noWrap/>
            <w:vAlign w:val="center"/>
            <w:hideMark/>
          </w:tcPr>
          <w:p w:rsidR="0023031A" w:rsidRPr="00C81ACD" w:rsidRDefault="0023031A" w:rsidP="0023031A">
            <w:pPr>
              <w:spacing w:after="0" w:line="240" w:lineRule="auto"/>
              <w:rPr>
                <w:rFonts w:ascii="Calibri" w:eastAsia="Times New Roman" w:hAnsi="Calibri" w:cs="Calibri"/>
                <w:color w:val="000000"/>
              </w:rPr>
            </w:pPr>
            <w:r w:rsidRPr="00C81ACD">
              <w:rPr>
                <w:rFonts w:ascii="Calibri" w:eastAsia="Times New Roman" w:hAnsi="Calibri" w:cs="Calibri"/>
                <w:color w:val="000000"/>
              </w:rPr>
              <w:t> </w:t>
            </w:r>
          </w:p>
        </w:tc>
        <w:tc>
          <w:tcPr>
            <w:tcW w:w="2489" w:type="dxa"/>
            <w:gridSpan w:val="2"/>
            <w:tcBorders>
              <w:top w:val="single" w:sz="8" w:space="0" w:color="auto"/>
              <w:left w:val="nil"/>
              <w:bottom w:val="single" w:sz="8" w:space="0" w:color="auto"/>
              <w:right w:val="nil"/>
            </w:tcBorders>
            <w:shd w:val="clear" w:color="auto" w:fill="auto"/>
            <w:noWrap/>
            <w:vAlign w:val="center"/>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All employed</w:t>
            </w:r>
          </w:p>
        </w:tc>
        <w:tc>
          <w:tcPr>
            <w:tcW w:w="266" w:type="dxa"/>
            <w:tcBorders>
              <w:top w:val="single" w:sz="8" w:space="0" w:color="auto"/>
              <w:left w:val="nil"/>
              <w:bottom w:val="nil"/>
              <w:right w:val="nil"/>
            </w:tcBorders>
            <w:shd w:val="clear" w:color="auto" w:fill="auto"/>
            <w:noWrap/>
            <w:vAlign w:val="bottom"/>
            <w:hideMark/>
          </w:tcPr>
          <w:p w:rsidR="0023031A" w:rsidRPr="00C81ACD" w:rsidRDefault="0023031A" w:rsidP="0023031A">
            <w:pPr>
              <w:spacing w:after="0" w:line="240" w:lineRule="auto"/>
              <w:rPr>
                <w:rFonts w:ascii="Calibri" w:eastAsia="Times New Roman" w:hAnsi="Calibri" w:cs="Calibri"/>
                <w:color w:val="000000"/>
              </w:rPr>
            </w:pPr>
            <w:r w:rsidRPr="00C81ACD">
              <w:rPr>
                <w:rFonts w:ascii="Calibri" w:eastAsia="Times New Roman" w:hAnsi="Calibri" w:cs="Calibri"/>
                <w:color w:val="000000"/>
              </w:rPr>
              <w:t> </w:t>
            </w:r>
          </w:p>
        </w:tc>
        <w:tc>
          <w:tcPr>
            <w:tcW w:w="2711" w:type="dxa"/>
            <w:gridSpan w:val="2"/>
            <w:tcBorders>
              <w:top w:val="single" w:sz="8" w:space="0" w:color="auto"/>
              <w:left w:val="nil"/>
              <w:bottom w:val="single" w:sz="8" w:space="0" w:color="auto"/>
              <w:right w:val="nil"/>
            </w:tcBorders>
            <w:shd w:val="clear" w:color="auto" w:fill="auto"/>
            <w:noWrap/>
            <w:vAlign w:val="center"/>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Employed young people</w:t>
            </w:r>
          </w:p>
        </w:tc>
        <w:tc>
          <w:tcPr>
            <w:tcW w:w="320" w:type="dxa"/>
            <w:tcBorders>
              <w:top w:val="single" w:sz="8" w:space="0" w:color="auto"/>
              <w:left w:val="nil"/>
              <w:bottom w:val="nil"/>
              <w:right w:val="nil"/>
            </w:tcBorders>
            <w:shd w:val="clear" w:color="auto" w:fill="auto"/>
            <w:noWrap/>
            <w:vAlign w:val="bottom"/>
            <w:hideMark/>
          </w:tcPr>
          <w:p w:rsidR="0023031A" w:rsidRPr="00C81ACD" w:rsidRDefault="0023031A" w:rsidP="0023031A">
            <w:pPr>
              <w:spacing w:after="0" w:line="240" w:lineRule="auto"/>
              <w:rPr>
                <w:rFonts w:ascii="Calibri" w:eastAsia="Times New Roman" w:hAnsi="Calibri" w:cs="Calibri"/>
                <w:color w:val="000000"/>
              </w:rPr>
            </w:pPr>
            <w:r w:rsidRPr="00C81ACD">
              <w:rPr>
                <w:rFonts w:ascii="Calibri" w:eastAsia="Times New Roman" w:hAnsi="Calibri" w:cs="Calibri"/>
                <w:color w:val="000000"/>
              </w:rPr>
              <w:t> </w:t>
            </w:r>
          </w:p>
        </w:tc>
        <w:tc>
          <w:tcPr>
            <w:tcW w:w="5695" w:type="dxa"/>
            <w:gridSpan w:val="4"/>
            <w:tcBorders>
              <w:top w:val="single" w:sz="8" w:space="0" w:color="auto"/>
              <w:left w:val="nil"/>
              <w:bottom w:val="single" w:sz="8" w:space="0" w:color="auto"/>
              <w:right w:val="nil"/>
            </w:tcBorders>
            <w:shd w:val="clear" w:color="auto" w:fill="auto"/>
            <w:noWrap/>
            <w:vAlign w:val="center"/>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Employed young people with a degree</w:t>
            </w:r>
          </w:p>
        </w:tc>
      </w:tr>
      <w:tr w:rsidR="0023031A" w:rsidRPr="00C81ACD" w:rsidTr="004E4C6C">
        <w:trPr>
          <w:trHeight w:val="856"/>
        </w:trPr>
        <w:tc>
          <w:tcPr>
            <w:tcW w:w="2142" w:type="dxa"/>
            <w:tcBorders>
              <w:top w:val="nil"/>
              <w:left w:val="nil"/>
              <w:bottom w:val="single" w:sz="8" w:space="0" w:color="auto"/>
              <w:right w:val="nil"/>
            </w:tcBorders>
            <w:shd w:val="clear" w:color="auto" w:fill="auto"/>
            <w:vAlign w:val="center"/>
            <w:hideMark/>
          </w:tcPr>
          <w:p w:rsidR="0023031A" w:rsidRPr="00C81ACD" w:rsidRDefault="0023031A" w:rsidP="0023031A">
            <w:pPr>
              <w:spacing w:after="0" w:line="240" w:lineRule="auto"/>
              <w:rPr>
                <w:rFonts w:ascii="Calibri" w:eastAsia="Times New Roman" w:hAnsi="Calibri" w:cs="Calibri"/>
                <w:color w:val="000000"/>
              </w:rPr>
            </w:pPr>
            <w:r w:rsidRPr="00C81ACD">
              <w:rPr>
                <w:rFonts w:ascii="Calibri" w:eastAsia="Times New Roman" w:hAnsi="Calibri" w:cs="Calibri"/>
                <w:color w:val="000000"/>
              </w:rPr>
              <w:t> </w:t>
            </w:r>
          </w:p>
        </w:tc>
        <w:tc>
          <w:tcPr>
            <w:tcW w:w="1417" w:type="dxa"/>
            <w:tcBorders>
              <w:top w:val="nil"/>
              <w:left w:val="nil"/>
              <w:bottom w:val="single" w:sz="8" w:space="0" w:color="auto"/>
              <w:right w:val="nil"/>
            </w:tcBorders>
            <w:shd w:val="clear" w:color="auto" w:fill="auto"/>
            <w:vAlign w:val="center"/>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Employment 1994-95 (thousands)</w:t>
            </w:r>
          </w:p>
        </w:tc>
        <w:tc>
          <w:tcPr>
            <w:tcW w:w="1072" w:type="dxa"/>
            <w:tcBorders>
              <w:top w:val="nil"/>
              <w:left w:val="nil"/>
              <w:bottom w:val="single" w:sz="8" w:space="0" w:color="auto"/>
              <w:right w:val="nil"/>
            </w:tcBorders>
            <w:shd w:val="clear" w:color="auto" w:fill="auto"/>
            <w:vAlign w:val="center"/>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 change ‘94/5 – ‘09/10</w:t>
            </w:r>
          </w:p>
        </w:tc>
        <w:tc>
          <w:tcPr>
            <w:tcW w:w="266" w:type="dxa"/>
            <w:tcBorders>
              <w:top w:val="nil"/>
              <w:left w:val="nil"/>
              <w:bottom w:val="single" w:sz="8" w:space="0" w:color="auto"/>
              <w:right w:val="nil"/>
            </w:tcBorders>
            <w:shd w:val="clear" w:color="auto" w:fill="auto"/>
            <w:vAlign w:val="bottom"/>
            <w:hideMark/>
          </w:tcPr>
          <w:p w:rsidR="0023031A" w:rsidRPr="00C81ACD" w:rsidRDefault="0023031A" w:rsidP="0023031A">
            <w:pPr>
              <w:spacing w:after="0" w:line="240" w:lineRule="auto"/>
              <w:rPr>
                <w:rFonts w:ascii="Calibri" w:eastAsia="Times New Roman" w:hAnsi="Calibri" w:cs="Calibri"/>
                <w:color w:val="000000"/>
              </w:rPr>
            </w:pPr>
          </w:p>
        </w:tc>
        <w:tc>
          <w:tcPr>
            <w:tcW w:w="1356" w:type="dxa"/>
            <w:tcBorders>
              <w:top w:val="nil"/>
              <w:left w:val="nil"/>
              <w:bottom w:val="single" w:sz="8" w:space="0" w:color="auto"/>
              <w:right w:val="nil"/>
            </w:tcBorders>
            <w:shd w:val="clear" w:color="auto" w:fill="auto"/>
            <w:vAlign w:val="center"/>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Employment 1994-95 (thousands)</w:t>
            </w:r>
          </w:p>
        </w:tc>
        <w:tc>
          <w:tcPr>
            <w:tcW w:w="1355" w:type="dxa"/>
            <w:tcBorders>
              <w:top w:val="nil"/>
              <w:left w:val="nil"/>
              <w:bottom w:val="single" w:sz="8" w:space="0" w:color="auto"/>
              <w:right w:val="nil"/>
            </w:tcBorders>
            <w:shd w:val="clear" w:color="auto" w:fill="auto"/>
            <w:vAlign w:val="center"/>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 change ‘94/5 – ‘09/10</w:t>
            </w:r>
          </w:p>
        </w:tc>
        <w:tc>
          <w:tcPr>
            <w:tcW w:w="320" w:type="dxa"/>
            <w:tcBorders>
              <w:top w:val="nil"/>
              <w:left w:val="nil"/>
              <w:bottom w:val="single" w:sz="8" w:space="0" w:color="auto"/>
              <w:right w:val="nil"/>
            </w:tcBorders>
            <w:shd w:val="clear" w:color="auto" w:fill="auto"/>
            <w:vAlign w:val="bottom"/>
            <w:hideMark/>
          </w:tcPr>
          <w:p w:rsidR="0023031A" w:rsidRPr="00C81ACD" w:rsidRDefault="0023031A" w:rsidP="0023031A">
            <w:pPr>
              <w:spacing w:after="0" w:line="240" w:lineRule="auto"/>
              <w:rPr>
                <w:rFonts w:ascii="Calibri" w:eastAsia="Times New Roman" w:hAnsi="Calibri" w:cs="Calibri"/>
                <w:color w:val="000000"/>
              </w:rPr>
            </w:pPr>
          </w:p>
        </w:tc>
        <w:tc>
          <w:tcPr>
            <w:tcW w:w="1356" w:type="dxa"/>
            <w:tcBorders>
              <w:top w:val="nil"/>
              <w:left w:val="nil"/>
              <w:bottom w:val="single" w:sz="8" w:space="0" w:color="auto"/>
              <w:right w:val="nil"/>
            </w:tcBorders>
            <w:shd w:val="clear" w:color="auto" w:fill="auto"/>
            <w:vAlign w:val="center"/>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Employment 1994-95 (thousands)</w:t>
            </w:r>
          </w:p>
        </w:tc>
        <w:tc>
          <w:tcPr>
            <w:tcW w:w="1300" w:type="dxa"/>
            <w:tcBorders>
              <w:top w:val="nil"/>
              <w:left w:val="nil"/>
              <w:bottom w:val="single" w:sz="8" w:space="0" w:color="auto"/>
              <w:right w:val="nil"/>
            </w:tcBorders>
            <w:shd w:val="clear" w:color="auto" w:fill="auto"/>
            <w:vAlign w:val="center"/>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 change '94/5 - '09/10</w:t>
            </w:r>
          </w:p>
        </w:tc>
        <w:tc>
          <w:tcPr>
            <w:tcW w:w="1480" w:type="dxa"/>
            <w:tcBorders>
              <w:top w:val="nil"/>
              <w:left w:val="nil"/>
              <w:bottom w:val="single" w:sz="8" w:space="0" w:color="auto"/>
              <w:right w:val="nil"/>
            </w:tcBorders>
            <w:shd w:val="clear" w:color="auto" w:fill="auto"/>
            <w:vAlign w:val="center"/>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 in non-graduate jobs in 1994/5</w:t>
            </w:r>
          </w:p>
        </w:tc>
        <w:tc>
          <w:tcPr>
            <w:tcW w:w="1559" w:type="dxa"/>
            <w:tcBorders>
              <w:top w:val="nil"/>
              <w:left w:val="nil"/>
              <w:bottom w:val="single" w:sz="8" w:space="0" w:color="auto"/>
              <w:right w:val="nil"/>
            </w:tcBorders>
            <w:shd w:val="clear" w:color="auto" w:fill="auto"/>
            <w:vAlign w:val="center"/>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 in non-graduate jobs in 2009/10</w:t>
            </w:r>
          </w:p>
        </w:tc>
      </w:tr>
      <w:tr w:rsidR="0023031A" w:rsidRPr="00C81ACD" w:rsidTr="0023031A">
        <w:trPr>
          <w:trHeight w:val="576"/>
        </w:trPr>
        <w:tc>
          <w:tcPr>
            <w:tcW w:w="2142" w:type="dxa"/>
            <w:tcBorders>
              <w:top w:val="nil"/>
              <w:left w:val="nil"/>
              <w:bottom w:val="nil"/>
              <w:right w:val="nil"/>
            </w:tcBorders>
            <w:shd w:val="clear" w:color="auto" w:fill="auto"/>
            <w:vAlign w:val="bottom"/>
            <w:hideMark/>
          </w:tcPr>
          <w:p w:rsidR="0023031A" w:rsidRPr="00C81ACD" w:rsidRDefault="0023031A" w:rsidP="0023031A">
            <w:pPr>
              <w:spacing w:after="0" w:line="240" w:lineRule="auto"/>
              <w:ind w:left="333" w:hanging="284"/>
              <w:rPr>
                <w:rFonts w:ascii="Calibri" w:eastAsia="Times New Roman" w:hAnsi="Calibri" w:cs="Calibri"/>
                <w:color w:val="000000"/>
              </w:rPr>
            </w:pPr>
            <w:r w:rsidRPr="00C81ACD">
              <w:rPr>
                <w:rFonts w:ascii="Calibri" w:eastAsia="Times New Roman" w:hAnsi="Calibri" w:cs="Calibri"/>
                <w:color w:val="000000"/>
              </w:rPr>
              <w:t>Low innovation activity sectors</w:t>
            </w:r>
          </w:p>
        </w:tc>
        <w:tc>
          <w:tcPr>
            <w:tcW w:w="1417"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4</w:t>
            </w:r>
            <w:r>
              <w:rPr>
                <w:rFonts w:ascii="Calibri" w:eastAsia="Times New Roman" w:hAnsi="Calibri" w:cs="Calibri"/>
                <w:color w:val="000000"/>
              </w:rPr>
              <w:t>,</w:t>
            </w:r>
            <w:r w:rsidRPr="00C81ACD">
              <w:rPr>
                <w:rFonts w:ascii="Calibri" w:eastAsia="Times New Roman" w:hAnsi="Calibri" w:cs="Calibri"/>
                <w:color w:val="000000"/>
              </w:rPr>
              <w:t>288.3</w:t>
            </w:r>
          </w:p>
        </w:tc>
        <w:tc>
          <w:tcPr>
            <w:tcW w:w="1072"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7.4</w:t>
            </w:r>
          </w:p>
        </w:tc>
        <w:tc>
          <w:tcPr>
            <w:tcW w:w="266"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1</w:t>
            </w:r>
            <w:r>
              <w:rPr>
                <w:rFonts w:ascii="Calibri" w:eastAsia="Times New Roman" w:hAnsi="Calibri" w:cs="Calibri"/>
                <w:color w:val="000000"/>
              </w:rPr>
              <w:t>,</w:t>
            </w:r>
            <w:r w:rsidRPr="00C81ACD">
              <w:rPr>
                <w:rFonts w:ascii="Calibri" w:eastAsia="Times New Roman" w:hAnsi="Calibri" w:cs="Calibri"/>
                <w:color w:val="000000"/>
              </w:rPr>
              <w:t>318.6</w:t>
            </w:r>
          </w:p>
        </w:tc>
        <w:tc>
          <w:tcPr>
            <w:tcW w:w="1355"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5.7</w:t>
            </w:r>
          </w:p>
        </w:tc>
        <w:tc>
          <w:tcPr>
            <w:tcW w:w="320"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104.1</w:t>
            </w:r>
          </w:p>
        </w:tc>
        <w:tc>
          <w:tcPr>
            <w:tcW w:w="1300"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190.7</w:t>
            </w:r>
          </w:p>
        </w:tc>
        <w:tc>
          <w:tcPr>
            <w:tcW w:w="1480"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45.0</w:t>
            </w:r>
          </w:p>
        </w:tc>
        <w:tc>
          <w:tcPr>
            <w:tcW w:w="1559"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65.2</w:t>
            </w:r>
          </w:p>
        </w:tc>
      </w:tr>
      <w:tr w:rsidR="0023031A" w:rsidRPr="00C81ACD" w:rsidTr="0023031A">
        <w:trPr>
          <w:trHeight w:val="576"/>
        </w:trPr>
        <w:tc>
          <w:tcPr>
            <w:tcW w:w="2142" w:type="dxa"/>
            <w:tcBorders>
              <w:top w:val="nil"/>
              <w:left w:val="nil"/>
              <w:bottom w:val="nil"/>
              <w:right w:val="nil"/>
            </w:tcBorders>
            <w:shd w:val="clear" w:color="auto" w:fill="auto"/>
            <w:vAlign w:val="bottom"/>
            <w:hideMark/>
          </w:tcPr>
          <w:p w:rsidR="0023031A" w:rsidRPr="00C81ACD" w:rsidRDefault="0023031A" w:rsidP="0023031A">
            <w:pPr>
              <w:spacing w:after="0" w:line="240" w:lineRule="auto"/>
              <w:ind w:left="333" w:hanging="284"/>
              <w:rPr>
                <w:rFonts w:ascii="Calibri" w:eastAsia="Times New Roman" w:hAnsi="Calibri" w:cs="Calibri"/>
                <w:color w:val="000000"/>
              </w:rPr>
            </w:pPr>
            <w:r w:rsidRPr="00C81ACD">
              <w:rPr>
                <w:rFonts w:ascii="Calibri" w:eastAsia="Times New Roman" w:hAnsi="Calibri" w:cs="Calibri"/>
                <w:color w:val="000000"/>
              </w:rPr>
              <w:t>Medium innovation activity sectors</w:t>
            </w:r>
          </w:p>
        </w:tc>
        <w:tc>
          <w:tcPr>
            <w:tcW w:w="1417"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15</w:t>
            </w:r>
            <w:r>
              <w:rPr>
                <w:rFonts w:ascii="Calibri" w:eastAsia="Times New Roman" w:hAnsi="Calibri" w:cs="Calibri"/>
                <w:color w:val="000000"/>
              </w:rPr>
              <w:t>,</w:t>
            </w:r>
            <w:r w:rsidRPr="00C81ACD">
              <w:rPr>
                <w:rFonts w:ascii="Calibri" w:eastAsia="Times New Roman" w:hAnsi="Calibri" w:cs="Calibri"/>
                <w:color w:val="000000"/>
              </w:rPr>
              <w:t>744.1</w:t>
            </w:r>
          </w:p>
        </w:tc>
        <w:tc>
          <w:tcPr>
            <w:tcW w:w="1072"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13.5</w:t>
            </w:r>
          </w:p>
        </w:tc>
        <w:tc>
          <w:tcPr>
            <w:tcW w:w="266"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5</w:t>
            </w:r>
            <w:r>
              <w:rPr>
                <w:rFonts w:ascii="Calibri" w:eastAsia="Times New Roman" w:hAnsi="Calibri" w:cs="Calibri"/>
                <w:color w:val="000000"/>
              </w:rPr>
              <w:t>,</w:t>
            </w:r>
            <w:r w:rsidRPr="00C81ACD">
              <w:rPr>
                <w:rFonts w:ascii="Calibri" w:eastAsia="Times New Roman" w:hAnsi="Calibri" w:cs="Calibri"/>
                <w:color w:val="000000"/>
              </w:rPr>
              <w:t>302.4</w:t>
            </w:r>
          </w:p>
        </w:tc>
        <w:tc>
          <w:tcPr>
            <w:tcW w:w="1355"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-7.0</w:t>
            </w:r>
          </w:p>
        </w:tc>
        <w:tc>
          <w:tcPr>
            <w:tcW w:w="320"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900.1</w:t>
            </w:r>
          </w:p>
        </w:tc>
        <w:tc>
          <w:tcPr>
            <w:tcW w:w="1300"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98.1</w:t>
            </w:r>
          </w:p>
        </w:tc>
        <w:tc>
          <w:tcPr>
            <w:tcW w:w="1480"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17.2</w:t>
            </w:r>
          </w:p>
        </w:tc>
        <w:tc>
          <w:tcPr>
            <w:tcW w:w="1559"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23.5</w:t>
            </w:r>
          </w:p>
        </w:tc>
      </w:tr>
      <w:tr w:rsidR="0023031A" w:rsidRPr="00C81ACD" w:rsidTr="0023031A">
        <w:trPr>
          <w:trHeight w:val="576"/>
        </w:trPr>
        <w:tc>
          <w:tcPr>
            <w:tcW w:w="2142" w:type="dxa"/>
            <w:tcBorders>
              <w:top w:val="nil"/>
              <w:left w:val="nil"/>
              <w:bottom w:val="nil"/>
              <w:right w:val="nil"/>
            </w:tcBorders>
            <w:shd w:val="clear" w:color="auto" w:fill="auto"/>
            <w:vAlign w:val="bottom"/>
            <w:hideMark/>
          </w:tcPr>
          <w:p w:rsidR="0023031A" w:rsidRPr="00C81ACD" w:rsidRDefault="0023031A" w:rsidP="0023031A">
            <w:pPr>
              <w:spacing w:after="0" w:line="240" w:lineRule="auto"/>
              <w:ind w:left="333" w:hanging="284"/>
              <w:rPr>
                <w:rFonts w:ascii="Calibri" w:eastAsia="Times New Roman" w:hAnsi="Calibri" w:cs="Calibri"/>
                <w:color w:val="000000"/>
              </w:rPr>
            </w:pPr>
            <w:r w:rsidRPr="00C81ACD">
              <w:rPr>
                <w:rFonts w:ascii="Calibri" w:eastAsia="Times New Roman" w:hAnsi="Calibri" w:cs="Calibri"/>
                <w:color w:val="000000"/>
              </w:rPr>
              <w:t>High innovation activity sectors</w:t>
            </w:r>
          </w:p>
        </w:tc>
        <w:tc>
          <w:tcPr>
            <w:tcW w:w="1417"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4</w:t>
            </w:r>
            <w:r>
              <w:rPr>
                <w:rFonts w:ascii="Calibri" w:eastAsia="Times New Roman" w:hAnsi="Calibri" w:cs="Calibri"/>
                <w:color w:val="000000"/>
              </w:rPr>
              <w:t>,</w:t>
            </w:r>
            <w:r w:rsidRPr="00C81ACD">
              <w:rPr>
                <w:rFonts w:ascii="Calibri" w:eastAsia="Times New Roman" w:hAnsi="Calibri" w:cs="Calibri"/>
                <w:color w:val="000000"/>
              </w:rPr>
              <w:t>813.3</w:t>
            </w:r>
          </w:p>
        </w:tc>
        <w:tc>
          <w:tcPr>
            <w:tcW w:w="1072"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0.8</w:t>
            </w:r>
          </w:p>
        </w:tc>
        <w:tc>
          <w:tcPr>
            <w:tcW w:w="266"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1</w:t>
            </w:r>
            <w:r>
              <w:rPr>
                <w:rFonts w:ascii="Calibri" w:eastAsia="Times New Roman" w:hAnsi="Calibri" w:cs="Calibri"/>
                <w:color w:val="000000"/>
              </w:rPr>
              <w:t>,</w:t>
            </w:r>
            <w:r w:rsidRPr="00C81ACD">
              <w:rPr>
                <w:rFonts w:ascii="Calibri" w:eastAsia="Times New Roman" w:hAnsi="Calibri" w:cs="Calibri"/>
                <w:color w:val="000000"/>
              </w:rPr>
              <w:t>750.6</w:t>
            </w:r>
          </w:p>
        </w:tc>
        <w:tc>
          <w:tcPr>
            <w:tcW w:w="1355"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-12.9</w:t>
            </w:r>
          </w:p>
        </w:tc>
        <w:tc>
          <w:tcPr>
            <w:tcW w:w="320"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p>
        </w:tc>
        <w:tc>
          <w:tcPr>
            <w:tcW w:w="1356"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409.2</w:t>
            </w:r>
          </w:p>
        </w:tc>
        <w:tc>
          <w:tcPr>
            <w:tcW w:w="1300"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61.0</w:t>
            </w:r>
          </w:p>
        </w:tc>
        <w:tc>
          <w:tcPr>
            <w:tcW w:w="1480"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13.8</w:t>
            </w:r>
          </w:p>
        </w:tc>
        <w:tc>
          <w:tcPr>
            <w:tcW w:w="1559" w:type="dxa"/>
            <w:tcBorders>
              <w:top w:val="nil"/>
              <w:left w:val="nil"/>
              <w:bottom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14.7</w:t>
            </w:r>
          </w:p>
        </w:tc>
      </w:tr>
      <w:tr w:rsidR="0023031A" w:rsidRPr="00C81ACD" w:rsidTr="004E4C6C">
        <w:trPr>
          <w:trHeight w:val="121"/>
        </w:trPr>
        <w:tc>
          <w:tcPr>
            <w:tcW w:w="2142" w:type="dxa"/>
            <w:tcBorders>
              <w:top w:val="nil"/>
              <w:left w:val="nil"/>
              <w:right w:val="nil"/>
            </w:tcBorders>
            <w:shd w:val="clear" w:color="auto" w:fill="auto"/>
            <w:noWrap/>
            <w:vAlign w:val="bottom"/>
            <w:hideMark/>
          </w:tcPr>
          <w:p w:rsidR="0023031A" w:rsidRPr="00C81ACD" w:rsidRDefault="0023031A" w:rsidP="0023031A">
            <w:pPr>
              <w:spacing w:after="0" w:line="240" w:lineRule="auto"/>
              <w:rPr>
                <w:rFonts w:ascii="Calibri" w:eastAsia="Times New Roman" w:hAnsi="Calibri" w:cs="Calibri"/>
                <w:color w:val="000000"/>
              </w:rPr>
            </w:pPr>
          </w:p>
        </w:tc>
        <w:tc>
          <w:tcPr>
            <w:tcW w:w="1417" w:type="dxa"/>
            <w:tcBorders>
              <w:top w:val="nil"/>
              <w:left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p>
        </w:tc>
        <w:tc>
          <w:tcPr>
            <w:tcW w:w="1072" w:type="dxa"/>
            <w:tcBorders>
              <w:top w:val="nil"/>
              <w:left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p>
        </w:tc>
        <w:tc>
          <w:tcPr>
            <w:tcW w:w="266" w:type="dxa"/>
            <w:tcBorders>
              <w:top w:val="nil"/>
              <w:left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p>
        </w:tc>
        <w:tc>
          <w:tcPr>
            <w:tcW w:w="1356" w:type="dxa"/>
            <w:tcBorders>
              <w:top w:val="nil"/>
              <w:left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p>
        </w:tc>
        <w:tc>
          <w:tcPr>
            <w:tcW w:w="1355" w:type="dxa"/>
            <w:tcBorders>
              <w:top w:val="nil"/>
              <w:left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p>
        </w:tc>
        <w:tc>
          <w:tcPr>
            <w:tcW w:w="320" w:type="dxa"/>
            <w:tcBorders>
              <w:top w:val="nil"/>
              <w:left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p>
        </w:tc>
        <w:tc>
          <w:tcPr>
            <w:tcW w:w="1356" w:type="dxa"/>
            <w:tcBorders>
              <w:top w:val="nil"/>
              <w:left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p>
        </w:tc>
        <w:tc>
          <w:tcPr>
            <w:tcW w:w="1300" w:type="dxa"/>
            <w:tcBorders>
              <w:top w:val="nil"/>
              <w:left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p>
        </w:tc>
        <w:tc>
          <w:tcPr>
            <w:tcW w:w="1480" w:type="dxa"/>
            <w:tcBorders>
              <w:top w:val="nil"/>
              <w:left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p>
        </w:tc>
        <w:tc>
          <w:tcPr>
            <w:tcW w:w="1559" w:type="dxa"/>
            <w:tcBorders>
              <w:top w:val="nil"/>
              <w:left w:val="nil"/>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p>
        </w:tc>
      </w:tr>
      <w:tr w:rsidR="0023031A" w:rsidRPr="00C81ACD" w:rsidTr="0023031A">
        <w:trPr>
          <w:trHeight w:val="288"/>
        </w:trPr>
        <w:tc>
          <w:tcPr>
            <w:tcW w:w="2142" w:type="dxa"/>
            <w:tcBorders>
              <w:top w:val="nil"/>
              <w:left w:val="nil"/>
              <w:bottom w:val="single" w:sz="8" w:space="0" w:color="auto"/>
              <w:right w:val="nil"/>
            </w:tcBorders>
            <w:shd w:val="clear" w:color="auto" w:fill="auto"/>
            <w:noWrap/>
            <w:vAlign w:val="bottom"/>
            <w:hideMark/>
          </w:tcPr>
          <w:p w:rsidR="0023031A" w:rsidRPr="00C81ACD" w:rsidRDefault="0023031A" w:rsidP="0023031A">
            <w:pPr>
              <w:spacing w:after="0" w:line="240" w:lineRule="auto"/>
              <w:rPr>
                <w:rFonts w:ascii="Calibri" w:eastAsia="Times New Roman" w:hAnsi="Calibri" w:cs="Calibri"/>
                <w:color w:val="000000"/>
              </w:rPr>
            </w:pPr>
            <w:r w:rsidRPr="00C81ACD">
              <w:rPr>
                <w:rFonts w:ascii="Calibri" w:eastAsia="Times New Roman" w:hAnsi="Calibri" w:cs="Calibri"/>
                <w:color w:val="000000"/>
              </w:rPr>
              <w:t>Total</w:t>
            </w:r>
          </w:p>
        </w:tc>
        <w:tc>
          <w:tcPr>
            <w:tcW w:w="1417" w:type="dxa"/>
            <w:tcBorders>
              <w:top w:val="nil"/>
              <w:left w:val="nil"/>
              <w:bottom w:val="single" w:sz="8" w:space="0" w:color="auto"/>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24</w:t>
            </w:r>
            <w:r>
              <w:rPr>
                <w:rFonts w:ascii="Calibri" w:eastAsia="Times New Roman" w:hAnsi="Calibri" w:cs="Calibri"/>
                <w:color w:val="000000"/>
              </w:rPr>
              <w:t>,</w:t>
            </w:r>
            <w:r w:rsidRPr="00C81ACD">
              <w:rPr>
                <w:rFonts w:ascii="Calibri" w:eastAsia="Times New Roman" w:hAnsi="Calibri" w:cs="Calibri"/>
                <w:color w:val="000000"/>
              </w:rPr>
              <w:t>845.7</w:t>
            </w:r>
          </w:p>
        </w:tc>
        <w:tc>
          <w:tcPr>
            <w:tcW w:w="1072" w:type="dxa"/>
            <w:tcBorders>
              <w:top w:val="nil"/>
              <w:left w:val="nil"/>
              <w:bottom w:val="single" w:sz="8" w:space="0" w:color="auto"/>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10.0</w:t>
            </w:r>
          </w:p>
        </w:tc>
        <w:tc>
          <w:tcPr>
            <w:tcW w:w="266" w:type="dxa"/>
            <w:tcBorders>
              <w:top w:val="nil"/>
              <w:left w:val="nil"/>
              <w:bottom w:val="single" w:sz="8" w:space="0" w:color="auto"/>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 </w:t>
            </w:r>
          </w:p>
        </w:tc>
        <w:tc>
          <w:tcPr>
            <w:tcW w:w="1356" w:type="dxa"/>
            <w:tcBorders>
              <w:top w:val="nil"/>
              <w:left w:val="nil"/>
              <w:bottom w:val="single" w:sz="8" w:space="0" w:color="auto"/>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8</w:t>
            </w:r>
            <w:r>
              <w:rPr>
                <w:rFonts w:ascii="Calibri" w:eastAsia="Times New Roman" w:hAnsi="Calibri" w:cs="Calibri"/>
                <w:color w:val="000000"/>
              </w:rPr>
              <w:t>,</w:t>
            </w:r>
            <w:r w:rsidRPr="00C81ACD">
              <w:rPr>
                <w:rFonts w:ascii="Calibri" w:eastAsia="Times New Roman" w:hAnsi="Calibri" w:cs="Calibri"/>
                <w:color w:val="000000"/>
              </w:rPr>
              <w:t>371.6</w:t>
            </w:r>
          </w:p>
        </w:tc>
        <w:tc>
          <w:tcPr>
            <w:tcW w:w="1355" w:type="dxa"/>
            <w:tcBorders>
              <w:top w:val="nil"/>
              <w:left w:val="nil"/>
              <w:bottom w:val="single" w:sz="8" w:space="0" w:color="auto"/>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-6.2</w:t>
            </w:r>
          </w:p>
        </w:tc>
        <w:tc>
          <w:tcPr>
            <w:tcW w:w="320" w:type="dxa"/>
            <w:tcBorders>
              <w:top w:val="nil"/>
              <w:left w:val="nil"/>
              <w:bottom w:val="single" w:sz="8" w:space="0" w:color="auto"/>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 </w:t>
            </w:r>
          </w:p>
        </w:tc>
        <w:tc>
          <w:tcPr>
            <w:tcW w:w="1356" w:type="dxa"/>
            <w:tcBorders>
              <w:top w:val="nil"/>
              <w:left w:val="nil"/>
              <w:bottom w:val="single" w:sz="8" w:space="0" w:color="auto"/>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1</w:t>
            </w:r>
            <w:r>
              <w:rPr>
                <w:rFonts w:ascii="Calibri" w:eastAsia="Times New Roman" w:hAnsi="Calibri" w:cs="Calibri"/>
                <w:color w:val="000000"/>
              </w:rPr>
              <w:t>,</w:t>
            </w:r>
            <w:r w:rsidRPr="00C81ACD">
              <w:rPr>
                <w:rFonts w:ascii="Calibri" w:eastAsia="Times New Roman" w:hAnsi="Calibri" w:cs="Calibri"/>
                <w:color w:val="000000"/>
              </w:rPr>
              <w:t>413.4</w:t>
            </w:r>
          </w:p>
        </w:tc>
        <w:tc>
          <w:tcPr>
            <w:tcW w:w="1300" w:type="dxa"/>
            <w:tcBorders>
              <w:top w:val="nil"/>
              <w:left w:val="nil"/>
              <w:bottom w:val="single" w:sz="8" w:space="0" w:color="auto"/>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94.2</w:t>
            </w:r>
          </w:p>
        </w:tc>
        <w:tc>
          <w:tcPr>
            <w:tcW w:w="1480" w:type="dxa"/>
            <w:tcBorders>
              <w:top w:val="nil"/>
              <w:left w:val="nil"/>
              <w:bottom w:val="single" w:sz="8" w:space="0" w:color="auto"/>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18.3</w:t>
            </w:r>
          </w:p>
        </w:tc>
        <w:tc>
          <w:tcPr>
            <w:tcW w:w="1559" w:type="dxa"/>
            <w:tcBorders>
              <w:top w:val="nil"/>
              <w:left w:val="nil"/>
              <w:bottom w:val="single" w:sz="8" w:space="0" w:color="auto"/>
              <w:right w:val="nil"/>
            </w:tcBorders>
            <w:shd w:val="clear" w:color="auto" w:fill="auto"/>
            <w:noWrap/>
            <w:vAlign w:val="bottom"/>
            <w:hideMark/>
          </w:tcPr>
          <w:p w:rsidR="0023031A" w:rsidRPr="00C81ACD" w:rsidRDefault="0023031A" w:rsidP="0023031A">
            <w:pPr>
              <w:spacing w:after="0" w:line="240" w:lineRule="auto"/>
              <w:jc w:val="center"/>
              <w:rPr>
                <w:rFonts w:ascii="Calibri" w:eastAsia="Times New Roman" w:hAnsi="Calibri" w:cs="Calibri"/>
                <w:color w:val="000000"/>
              </w:rPr>
            </w:pPr>
            <w:r w:rsidRPr="00C81ACD">
              <w:rPr>
                <w:rFonts w:ascii="Calibri" w:eastAsia="Times New Roman" w:hAnsi="Calibri" w:cs="Calibri"/>
                <w:color w:val="000000"/>
              </w:rPr>
              <w:t>26.0</w:t>
            </w:r>
          </w:p>
        </w:tc>
      </w:tr>
    </w:tbl>
    <w:p w:rsidR="00231863" w:rsidRPr="004137C3" w:rsidRDefault="00231863" w:rsidP="00231863">
      <w:pPr>
        <w:rPr>
          <w:sz w:val="16"/>
          <w:szCs w:val="16"/>
        </w:rPr>
      </w:pPr>
      <w:r w:rsidRPr="004137C3">
        <w:rPr>
          <w:sz w:val="16"/>
          <w:szCs w:val="16"/>
        </w:rPr>
        <w:t>Source: Labour Force Surveys, composite files for 1994/95 and 2009/10</w:t>
      </w:r>
    </w:p>
    <w:p w:rsidR="00D53462" w:rsidRPr="004137C3" w:rsidRDefault="00D53462" w:rsidP="00EA4F1F">
      <w:pPr>
        <w:rPr>
          <w:sz w:val="16"/>
          <w:szCs w:val="16"/>
        </w:rPr>
        <w:sectPr w:rsidR="00D53462" w:rsidRPr="004137C3" w:rsidSect="00231863">
          <w:pgSz w:w="16838" w:h="11906" w:orient="landscape"/>
          <w:pgMar w:top="1134" w:right="1440" w:bottom="1440" w:left="1440" w:header="708" w:footer="708" w:gutter="0"/>
          <w:cols w:space="708"/>
          <w:docGrid w:linePitch="360"/>
        </w:sectPr>
      </w:pPr>
    </w:p>
    <w:p w:rsidR="0023031A" w:rsidRDefault="00DD193B" w:rsidP="00EA4F1F">
      <w:pPr>
        <w:rPr>
          <w:b/>
        </w:rPr>
      </w:pPr>
      <w:r>
        <w:rPr>
          <w:b/>
        </w:rPr>
        <w:lastRenderedPageBreak/>
        <w:t xml:space="preserve">The changing distribution of graduate earnings </w:t>
      </w:r>
    </w:p>
    <w:p w:rsidR="00DD193B" w:rsidRDefault="00DD193B" w:rsidP="00EA4F1F">
      <w:r>
        <w:t xml:space="preserve">The information shown in Table 1 indicates that there has been a considerable increase in the proportion of young graduates working in what we have classified as ‘non-graduate’ jobs between 1994/95 and 2009/10.  However, Figure 1 indicates the scale of the expansion of high level jobs more generally over this same period.  This suggests that, rather than examining the change in the graduate earnings premium around the mean or median of the earnings distribution, we should investigate the impact of this expansion of high levels skills within the labour market across the distribution of earnings.  </w:t>
      </w:r>
      <w:r w:rsidR="00E553E2">
        <w:t>In this section we present such analyses, using</w:t>
      </w:r>
      <w:r>
        <w:t xml:space="preserve"> multivariate techniques to control for a wide</w:t>
      </w:r>
      <w:r w:rsidR="00E553E2">
        <w:t>r</w:t>
      </w:r>
      <w:r>
        <w:t xml:space="preserve"> range of influences on earnings than can be represented graphically. </w:t>
      </w:r>
    </w:p>
    <w:p w:rsidR="00DD193B" w:rsidRDefault="00DD193B" w:rsidP="00DD193B">
      <w:r w:rsidRPr="00560255">
        <w:t xml:space="preserve">Before examining the changing distributions of the earnings of </w:t>
      </w:r>
      <w:r>
        <w:t>graduates within the distribution of earnings</w:t>
      </w:r>
      <w:r w:rsidRPr="00560255">
        <w:t>, we consider how their relative position in the earnings distribution might change in the light of the expansion of higher education.  Two different hypothetical scenarios are presented.  The first assumes that, as more people acquire higher education qualifications, employers adjust by segmenting the labour market into graduate jobs and non-graduate jobs, restricting the recruitment of graduates to jobs that utilise and reward their potential to innovate and ‘add value’ as a result of the skills and knowledge they possess – and these jobs are at the higher end of the earnings distribution.  The second scenario is one in which an oversupply of highly qualified labour means that graduates are being recruited for lower paid jobs that do not require higher-level skills and knowledge and previously we</w:t>
      </w:r>
      <w:r>
        <w:t>re the domain of non-graduates.</w:t>
      </w:r>
    </w:p>
    <w:p w:rsidR="00DD193B" w:rsidRDefault="00DD193B" w:rsidP="00DD193B">
      <w:r w:rsidRPr="00560255">
        <w:t xml:space="preserve">The consequences of these two scenarios for the changing </w:t>
      </w:r>
      <w:r>
        <w:t>distribu</w:t>
      </w:r>
      <w:r w:rsidRPr="00560255">
        <w:t xml:space="preserve">tion of </w:t>
      </w:r>
      <w:r>
        <w:t xml:space="preserve">young </w:t>
      </w:r>
      <w:r w:rsidRPr="00560255">
        <w:t xml:space="preserve">graduates in the labour market are demonstrated in Figures </w:t>
      </w:r>
      <w:r>
        <w:t>3</w:t>
      </w:r>
      <w:r w:rsidRPr="00560255">
        <w:t xml:space="preserve"> and </w:t>
      </w:r>
      <w:r>
        <w:t>4</w:t>
      </w:r>
      <w:r w:rsidRPr="00560255">
        <w:t xml:space="preserve">.  In Figure </w:t>
      </w:r>
      <w:r>
        <w:t>3</w:t>
      </w:r>
      <w:r w:rsidRPr="00560255">
        <w:t xml:space="preserve"> we hypothesise that, at higher earnings levels, the proportion of people with a degree will increase.  The relationship is probably not linear, in that there are likely to be some ‘mismatched’ graduates who have taken low-paid and/or temporary work while they continue to search for better paid employment.  With an increase in the proportion of graduates in the labour market, the curve does not just shift upwards</w:t>
      </w:r>
      <w:r>
        <w:t xml:space="preserve"> as the proportion of young full-time employees with degrees increases</w:t>
      </w:r>
      <w:r w:rsidRPr="00560255">
        <w:t xml:space="preserve">, but swings anticlockwise as higher proportions of </w:t>
      </w:r>
      <w:r>
        <w:t xml:space="preserve">these </w:t>
      </w:r>
      <w:r w:rsidRPr="00560255">
        <w:t>graduates enter better paid jobs than was the case in the earlier period.  This situation is consistent with the maintenanc</w:t>
      </w:r>
      <w:r>
        <w:t>e a graduate earnings premium.</w:t>
      </w:r>
    </w:p>
    <w:p w:rsidR="0031539B" w:rsidRPr="00560255" w:rsidRDefault="0031539B" w:rsidP="0031539B">
      <w:r w:rsidRPr="00560255">
        <w:t xml:space="preserve">In Figure </w:t>
      </w:r>
      <w:r>
        <w:t>4</w:t>
      </w:r>
      <w:r w:rsidRPr="00560255">
        <w:t xml:space="preserve"> we illustrate how the graduate earnings premium might decline as graduates are forced disproportionately into lower paid jobs as a result of the expansion of higher education and the increased competition for better paid jobs.  In this scenario the curve representing the proportion of graduates at various points in the earnings distribution swings clockwise.  Between these two scenarios is a situation in which the graduate earnings premium is maintained.</w:t>
      </w:r>
    </w:p>
    <w:p w:rsidR="0031539B" w:rsidRDefault="0031539B">
      <w:r>
        <w:br w:type="page"/>
      </w:r>
    </w:p>
    <w:p w:rsidR="0031539B" w:rsidRPr="00560255" w:rsidRDefault="0031539B" w:rsidP="00DD193B"/>
    <w:p w:rsidR="00DD193B" w:rsidRPr="00A94F7E" w:rsidRDefault="00DD193B" w:rsidP="00AE70BF">
      <w:pPr>
        <w:rPr>
          <w:rFonts w:cs="Arial"/>
          <w:b/>
        </w:rPr>
      </w:pPr>
      <w:r w:rsidRPr="00A94F7E">
        <w:rPr>
          <w:rFonts w:cs="Arial"/>
          <w:b/>
        </w:rPr>
        <w:t>Figure 3</w:t>
      </w:r>
      <w:r w:rsidR="00AE70BF">
        <w:rPr>
          <w:rFonts w:cs="Arial"/>
          <w:b/>
        </w:rPr>
        <w:t>:</w:t>
      </w:r>
      <w:r w:rsidRPr="00A94F7E">
        <w:rPr>
          <w:rFonts w:cs="Arial"/>
          <w:b/>
        </w:rPr>
        <w:tab/>
        <w:t>Graduate expansion a</w:t>
      </w:r>
      <w:r w:rsidR="004E4C6C">
        <w:rPr>
          <w:rFonts w:cs="Arial"/>
          <w:b/>
        </w:rPr>
        <w:t>ssociated with</w:t>
      </w:r>
      <w:r w:rsidRPr="00A94F7E">
        <w:rPr>
          <w:rFonts w:cs="Arial"/>
          <w:b/>
        </w:rPr>
        <w:t xml:space="preserve"> an increase in the graduate earnings premium</w:t>
      </w:r>
    </w:p>
    <w:p w:rsidR="00DD193B" w:rsidRPr="00560255" w:rsidRDefault="00EC2C41" w:rsidP="00DD193B">
      <w:r>
        <w:rPr>
          <w:noProof/>
        </w:rPr>
        <mc:AlternateContent>
          <mc:Choice Requires="wpc">
            <w:drawing>
              <wp:inline distT="0" distB="0" distL="0" distR="0" wp14:anchorId="586B1B13" wp14:editId="1FFA9287">
                <wp:extent cx="5023485" cy="2628900"/>
                <wp:effectExtent l="0" t="0" r="0" b="0"/>
                <wp:docPr id="24" name="Canvas 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 name="Line 16"/>
                        <wps:cNvCnPr/>
                        <wps:spPr bwMode="auto">
                          <a:xfrm>
                            <a:off x="800253" y="2171506"/>
                            <a:ext cx="388516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Freeform 18"/>
                        <wps:cNvSpPr>
                          <a:spLocks/>
                        </wps:cNvSpPr>
                        <wps:spPr bwMode="auto">
                          <a:xfrm>
                            <a:off x="1046470" y="247866"/>
                            <a:ext cx="3429398" cy="1923640"/>
                          </a:xfrm>
                          <a:custGeom>
                            <a:avLst/>
                            <a:gdLst>
                              <a:gd name="T0" fmla="*/ 0 w 5400"/>
                              <a:gd name="T1" fmla="*/ 1980 h 3030"/>
                              <a:gd name="T2" fmla="*/ 1080 w 5400"/>
                              <a:gd name="T3" fmla="*/ 2700 h 3030"/>
                              <a:gd name="T4" fmla="*/ 5400 w 5400"/>
                              <a:gd name="T5" fmla="*/ 0 h 3030"/>
                            </a:gdLst>
                            <a:ahLst/>
                            <a:cxnLst>
                              <a:cxn ang="0">
                                <a:pos x="T0" y="T1"/>
                              </a:cxn>
                              <a:cxn ang="0">
                                <a:pos x="T2" y="T3"/>
                              </a:cxn>
                              <a:cxn ang="0">
                                <a:pos x="T4" y="T5"/>
                              </a:cxn>
                            </a:cxnLst>
                            <a:rect l="0" t="0" r="r" b="b"/>
                            <a:pathLst>
                              <a:path w="5400" h="3030">
                                <a:moveTo>
                                  <a:pt x="0" y="1980"/>
                                </a:moveTo>
                                <a:cubicBezTo>
                                  <a:pt x="90" y="2505"/>
                                  <a:pt x="180" y="3030"/>
                                  <a:pt x="1080" y="2700"/>
                                </a:cubicBezTo>
                                <a:cubicBezTo>
                                  <a:pt x="1980" y="2370"/>
                                  <a:pt x="3690" y="1185"/>
                                  <a:pt x="5400" y="0"/>
                                </a:cubicBezTo>
                              </a:path>
                            </a:pathLst>
                          </a:cu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 name="Freeform 19"/>
                        <wps:cNvSpPr>
                          <a:spLocks/>
                        </wps:cNvSpPr>
                        <wps:spPr bwMode="auto">
                          <a:xfrm>
                            <a:off x="1076983" y="247866"/>
                            <a:ext cx="2377393" cy="1735776"/>
                          </a:xfrm>
                          <a:custGeom>
                            <a:avLst/>
                            <a:gdLst>
                              <a:gd name="T0" fmla="*/ 0 w 4680"/>
                              <a:gd name="T1" fmla="*/ 900 h 2130"/>
                              <a:gd name="T2" fmla="*/ 900 w 4680"/>
                              <a:gd name="T3" fmla="*/ 1980 h 2130"/>
                              <a:gd name="T4" fmla="*/ 4680 w 4680"/>
                              <a:gd name="T5" fmla="*/ 0 h 2130"/>
                            </a:gdLst>
                            <a:ahLst/>
                            <a:cxnLst>
                              <a:cxn ang="0">
                                <a:pos x="T0" y="T1"/>
                              </a:cxn>
                              <a:cxn ang="0">
                                <a:pos x="T2" y="T3"/>
                              </a:cxn>
                              <a:cxn ang="0">
                                <a:pos x="T4" y="T5"/>
                              </a:cxn>
                            </a:cxnLst>
                            <a:rect l="0" t="0" r="r" b="b"/>
                            <a:pathLst>
                              <a:path w="4680" h="2130">
                                <a:moveTo>
                                  <a:pt x="0" y="900"/>
                                </a:moveTo>
                                <a:cubicBezTo>
                                  <a:pt x="60" y="1515"/>
                                  <a:pt x="120" y="2130"/>
                                  <a:pt x="900" y="1980"/>
                                </a:cubicBezTo>
                                <a:cubicBezTo>
                                  <a:pt x="1680" y="1830"/>
                                  <a:pt x="3180" y="915"/>
                                  <a:pt x="4680" y="0"/>
                                </a:cubicBezTo>
                              </a:path>
                            </a:pathLst>
                          </a:custGeom>
                          <a:noFill/>
                          <a:ln w="1587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Text Box 20"/>
                        <wps:cNvSpPr txBox="1">
                          <a:spLocks noChangeArrowheads="1"/>
                        </wps:cNvSpPr>
                        <wps:spPr bwMode="auto">
                          <a:xfrm>
                            <a:off x="1714410" y="2285796"/>
                            <a:ext cx="1828315" cy="34286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A043A" w:rsidRPr="000615E8" w:rsidRDefault="006A043A" w:rsidP="00DD193B">
                              <w:pPr>
                                <w:rPr>
                                  <w:rFonts w:ascii="Arial" w:hAnsi="Arial" w:cs="Arial"/>
                                  <w:b/>
                                  <w:sz w:val="18"/>
                                  <w:szCs w:val="18"/>
                                </w:rPr>
                              </w:pPr>
                              <w:r w:rsidRPr="006D358D">
                                <w:rPr>
                                  <w:rFonts w:ascii="Arial" w:hAnsi="Arial" w:cs="Arial"/>
                                  <w:sz w:val="18"/>
                                  <w:szCs w:val="18"/>
                                </w:rPr>
                                <w:t>Earnings</w:t>
                              </w:r>
                            </w:p>
                          </w:txbxContent>
                        </wps:txbx>
                        <wps:bodyPr rot="0" vert="horz" wrap="square" lIns="91440" tIns="45720" rIns="91440" bIns="45720" anchor="t" anchorCtr="0" upright="1">
                          <a:noAutofit/>
                        </wps:bodyPr>
                      </wps:wsp>
                      <wps:wsp>
                        <wps:cNvPr id="19" name="Text Box 21"/>
                        <wps:cNvSpPr txBox="1">
                          <a:spLocks noChangeArrowheads="1"/>
                        </wps:cNvSpPr>
                        <wps:spPr bwMode="auto">
                          <a:xfrm>
                            <a:off x="0" y="685739"/>
                            <a:ext cx="685618" cy="10286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A043A" w:rsidRPr="006D358D" w:rsidRDefault="006A043A" w:rsidP="00DD193B">
                              <w:pPr>
                                <w:jc w:val="center"/>
                                <w:rPr>
                                  <w:rFonts w:ascii="Arial" w:hAnsi="Arial" w:cs="Arial"/>
                                  <w:sz w:val="18"/>
                                  <w:szCs w:val="18"/>
                                </w:rPr>
                              </w:pPr>
                              <w:r w:rsidRPr="006D358D">
                                <w:rPr>
                                  <w:rFonts w:ascii="Arial" w:hAnsi="Arial" w:cs="Arial"/>
                                  <w:sz w:val="18"/>
                                  <w:szCs w:val="18"/>
                                </w:rPr>
                                <w:t>% with a degree in each period</w:t>
                              </w:r>
                            </w:p>
                          </w:txbxContent>
                        </wps:txbx>
                        <wps:bodyPr rot="0" vert="horz" wrap="square" lIns="91440" tIns="45720" rIns="91440" bIns="45720" anchor="t" anchorCtr="0" upright="1">
                          <a:noAutofit/>
                        </wps:bodyPr>
                      </wps:wsp>
                      <wps:wsp>
                        <wps:cNvPr id="20" name="Line 22"/>
                        <wps:cNvCnPr/>
                        <wps:spPr bwMode="auto">
                          <a:xfrm flipH="1" flipV="1">
                            <a:off x="684888" y="129290"/>
                            <a:ext cx="116095" cy="71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Text Box 23"/>
                        <wps:cNvSpPr txBox="1">
                          <a:spLocks noChangeArrowheads="1"/>
                        </wps:cNvSpPr>
                        <wps:spPr bwMode="auto">
                          <a:xfrm>
                            <a:off x="114635" y="0"/>
                            <a:ext cx="570253" cy="34286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A043A" w:rsidRPr="000615E8" w:rsidRDefault="006A043A" w:rsidP="00DD193B">
                              <w:pPr>
                                <w:rPr>
                                  <w:rFonts w:ascii="Arial" w:hAnsi="Arial" w:cs="Arial"/>
                                  <w:sz w:val="18"/>
                                  <w:szCs w:val="18"/>
                                </w:rPr>
                              </w:pPr>
                              <w:r w:rsidRPr="000615E8">
                                <w:rPr>
                                  <w:rFonts w:ascii="Arial" w:hAnsi="Arial" w:cs="Arial"/>
                                  <w:sz w:val="18"/>
                                  <w:szCs w:val="18"/>
                                </w:rPr>
                                <w:t>100%</w:t>
                              </w:r>
                            </w:p>
                          </w:txbxContent>
                        </wps:txbx>
                        <wps:bodyPr rot="0" vert="horz" wrap="square" lIns="91440" tIns="45720" rIns="91440" bIns="45720" anchor="t" anchorCtr="0" upright="1">
                          <a:noAutofit/>
                        </wps:bodyPr>
                      </wps:wsp>
                      <wps:wsp>
                        <wps:cNvPr id="22" name="Text Box 24"/>
                        <wps:cNvSpPr txBox="1">
                          <a:spLocks noChangeArrowheads="1"/>
                        </wps:cNvSpPr>
                        <wps:spPr bwMode="auto">
                          <a:xfrm>
                            <a:off x="2442558" y="406665"/>
                            <a:ext cx="606859" cy="2285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A043A" w:rsidRPr="000615E8" w:rsidRDefault="006A043A" w:rsidP="00DD193B">
                              <w:pPr>
                                <w:rPr>
                                  <w:rFonts w:ascii="Arial" w:hAnsi="Arial" w:cs="Arial"/>
                                  <w:sz w:val="18"/>
                                  <w:szCs w:val="18"/>
                                </w:rPr>
                              </w:pPr>
                              <w:r w:rsidRPr="000615E8">
                                <w:rPr>
                                  <w:rFonts w:ascii="Arial" w:hAnsi="Arial" w:cs="Arial"/>
                                  <w:sz w:val="18"/>
                                  <w:szCs w:val="18"/>
                                </w:rPr>
                                <w:t>200</w:t>
                              </w:r>
                              <w:r>
                                <w:rPr>
                                  <w:rFonts w:ascii="Arial" w:hAnsi="Arial" w:cs="Arial"/>
                                  <w:sz w:val="18"/>
                                  <w:szCs w:val="18"/>
                                </w:rPr>
                                <w:t>9/10</w:t>
                              </w:r>
                            </w:p>
                          </w:txbxContent>
                        </wps:txbx>
                        <wps:bodyPr rot="0" vert="horz" wrap="square" lIns="91440" tIns="45720" rIns="91440" bIns="45720" anchor="t" anchorCtr="0" upright="1">
                          <a:noAutofit/>
                        </wps:bodyPr>
                      </wps:wsp>
                      <wps:wsp>
                        <wps:cNvPr id="23" name="Text Box 25"/>
                        <wps:cNvSpPr txBox="1">
                          <a:spLocks noChangeArrowheads="1"/>
                        </wps:cNvSpPr>
                        <wps:spPr bwMode="auto">
                          <a:xfrm>
                            <a:off x="3420352" y="983681"/>
                            <a:ext cx="628526" cy="2285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A043A" w:rsidRPr="000615E8" w:rsidRDefault="006A043A" w:rsidP="00DD193B">
                              <w:pPr>
                                <w:rPr>
                                  <w:rFonts w:ascii="Arial" w:hAnsi="Arial" w:cs="Arial"/>
                                  <w:sz w:val="18"/>
                                  <w:szCs w:val="18"/>
                                </w:rPr>
                              </w:pPr>
                              <w:r w:rsidRPr="000615E8">
                                <w:rPr>
                                  <w:rFonts w:ascii="Arial" w:hAnsi="Arial" w:cs="Arial"/>
                                  <w:sz w:val="18"/>
                                  <w:szCs w:val="18"/>
                                </w:rPr>
                                <w:t>199</w:t>
                              </w:r>
                              <w:r>
                                <w:rPr>
                                  <w:rFonts w:ascii="Arial" w:hAnsi="Arial" w:cs="Arial"/>
                                  <w:sz w:val="18"/>
                                  <w:szCs w:val="18"/>
                                </w:rPr>
                                <w:t>4/95</w:t>
                              </w:r>
                            </w:p>
                          </w:txbxContent>
                        </wps:txbx>
                        <wps:bodyPr rot="0" vert="horz" wrap="square" lIns="91440" tIns="45720" rIns="91440" bIns="45720" anchor="t" anchorCtr="0" upright="1">
                          <a:noAutofit/>
                        </wps:bodyPr>
                      </wps:wsp>
                      <wps:wsp>
                        <wps:cNvPr id="29" name="Straight Connector 29"/>
                        <wps:cNvCnPr/>
                        <wps:spPr>
                          <a:xfrm flipV="1">
                            <a:off x="800983" y="130004"/>
                            <a:ext cx="0" cy="2041502"/>
                          </a:xfrm>
                          <a:prstGeom prst="line">
                            <a:avLst/>
                          </a:prstGeom>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id="Canvas 14" o:spid="_x0000_s1027" editas="canvas" style="width:395.55pt;height:207pt;mso-position-horizontal-relative:char;mso-position-vertical-relative:line" coordsize="50234,26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50234;height:26289;visibility:visible;mso-wrap-style:square">
                  <v:fill o:detectmouseclick="t"/>
                  <v:path o:connecttype="none"/>
                </v:shape>
                <v:line id="Line 16" o:spid="_x0000_s1029" style="position:absolute;visibility:visible;mso-wrap-style:square" from="8002,21715" to="46854,21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uWS8IAAADbAAAADwAAAGRycy9kb3ducmV2LnhtbERP32vCMBB+F/wfwgl709QNplajiGWw&#10;h02wjj2fza0pay6lyWr23y8Dwbf7+H7eZhdtKwbqfeNYwXyWgSCunG64VvBxfpkuQfiArLF1TAp+&#10;ycNuOx5tMNfuyicaylCLFMI+RwUmhC6X0leGLPqZ64gT9+V6iyHBvpa6x2sKt618zLJnabHh1GCw&#10;o4Oh6rv8sQoWpjjJhSzezsdiaOar+B4/LyulHiZxvwYRKIa7+OZ+1Wn+E/z/kg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muWS8IAAADbAAAADwAAAAAAAAAAAAAA&#10;AAChAgAAZHJzL2Rvd25yZXYueG1sUEsFBgAAAAAEAAQA+QAAAJADAAAAAA==&#10;">
                  <v:stroke endarrow="block"/>
                </v:line>
                <v:shape id="Freeform 18" o:spid="_x0000_s1030" style="position:absolute;left:10464;top:2478;width:34294;height:19237;visibility:visible;mso-wrap-style:square;v-text-anchor:top" coordsize="5400,30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Hr1sEA&#10;AADbAAAADwAAAGRycy9kb3ducmV2LnhtbERPTYvCMBC9C/6HMIIX0XRlEekaRWUFF0VQlz0PzdiU&#10;bSaliVr99UYQvM3jfc5k1thSXKj2hWMFH4MEBHHmdMG5gt/jqj8G4QOyxtIxKbiRh9m03Zpgqt2V&#10;93Q5hFzEEPYpKjAhVKmUPjNk0Q9cRRy5k6sthgjrXOoarzHclnKYJCNpseDYYLCipaHs/3C2CnZb&#10;7v2ZzZDuK/NzMt+7plx8LpTqdpr5F4hATXiLX+61jvNH8PwlHiC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TB69bBAAAA2wAAAA8AAAAAAAAAAAAAAAAAmAIAAGRycy9kb3du&#10;cmV2LnhtbFBLBQYAAAAABAAEAPUAAACGAwAAAAA=&#10;" path="m,1980v90,525,180,1050,1080,720c1980,2370,3690,1185,5400,e" filled="f" strokecolor="red" strokeweight="1.5pt">
                  <v:path arrowok="t" o:connecttype="custom" o:connectlocs="0,1257032;685880,1714135;3429398,0" o:connectangles="0,0,0"/>
                </v:shape>
                <v:shape id="Freeform 19" o:spid="_x0000_s1031" style="position:absolute;left:10769;top:2478;width:23774;height:17358;visibility:visible;mso-wrap-style:square;v-text-anchor:top" coordsize="4680,2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mBuMMA&#10;AADbAAAADwAAAGRycy9kb3ducmV2LnhtbERP22rCQBB9L/gPywh9qxsL3tJsRIRKqQg1lkLfhuyY&#10;RLOzYXer8e+7BaFvczjXyZa9acWFnG8sKxiPEhDEpdUNVwo+D69PcxA+IGtsLZOCG3lY5oOHDFNt&#10;r7ynSxEqEUPYp6igDqFLpfRlTQb9yHbEkTtaZzBE6CqpHV5juGnlc5JMpcGGY0ONHa1rKs/Fj1Fg&#10;pid72M0/dhVNtpsvV+j373Kh1OOwX72ACNSHf/Hd/abj/Bn8/RIPkP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MmBuMMAAADbAAAADwAAAAAAAAAAAAAAAACYAgAAZHJzL2Rv&#10;d25yZXYueG1sUEsFBgAAAAAEAAQA9QAAAIgDAAAAAA==&#10;" path="m,900v60,615,120,1230,900,1080c1680,1830,3180,915,4680,e" filled="f" strokecolor="blue" strokeweight="1.25pt">
                  <v:path arrowok="t" o:connecttype="custom" o:connectlocs="0,733426;457191,1613538;2377393,0" o:connectangles="0,0,0"/>
                </v:shape>
                <v:shape id="Text Box 20" o:spid="_x0000_s1032" type="#_x0000_t202" style="position:absolute;left:17144;top:22857;width:18283;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f3e8IA&#10;AADbAAAADwAAAGRycy9kb3ducmV2LnhtbESPzW7CQAyE70h9h5Ur9YJg04rfwIJaJBBXfh7AZE0S&#10;kfVG2S0Jb48PSNxszXjm83LduUrdqQmlZwPfwwQUceZtybmB82k7mIEKEdli5ZkMPCjAevXRW2Jq&#10;fcsHuh9jriSEQ4oGihjrVOuQFeQwDH1NLNrVNw6jrE2ubYOthLtK/yTJRDssWRoKrGlTUHY7/jsD&#10;133bH8/byy6ep4fR5A/L6cU/jPn67H4XoCJ18W1+Xe+t4Aus/CID6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F/d7wgAAANsAAAAPAAAAAAAAAAAAAAAAAJgCAABkcnMvZG93&#10;bnJldi54bWxQSwUGAAAAAAQABAD1AAAAhwMAAAAA&#10;" stroked="f">
                  <v:textbox>
                    <w:txbxContent>
                      <w:p w:rsidR="006A043A" w:rsidRPr="000615E8" w:rsidRDefault="006A043A" w:rsidP="00DD193B">
                        <w:pPr>
                          <w:rPr>
                            <w:rFonts w:ascii="Arial" w:hAnsi="Arial" w:cs="Arial"/>
                            <w:b/>
                            <w:sz w:val="18"/>
                            <w:szCs w:val="18"/>
                          </w:rPr>
                        </w:pPr>
                        <w:r w:rsidRPr="006D358D">
                          <w:rPr>
                            <w:rFonts w:ascii="Arial" w:hAnsi="Arial" w:cs="Arial"/>
                            <w:sz w:val="18"/>
                            <w:szCs w:val="18"/>
                          </w:rPr>
                          <w:t>Earnings</w:t>
                        </w:r>
                      </w:p>
                    </w:txbxContent>
                  </v:textbox>
                </v:shape>
                <v:shape id="Text Box 21" o:spid="_x0000_s1033" type="#_x0000_t202" style="position:absolute;top:6857;width:6856;height:10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tS4L8A&#10;AADbAAAADwAAAGRycy9kb3ducmV2LnhtbERP24rCMBB9F/yHMIIvsk2V9VaNsgqKr7p+wLQZ22Iz&#10;KU3W1r83C4JvczjXWW87U4kHNa60rGAcxSCIM6tLzhVcfw9fCxDOI2usLJOCJznYbvq9NSbatnym&#10;x8XnIoSwS1BB4X2dSOmyggy6yNbEgbvZxqAPsMmlbrAN4aaSkzieSYMlh4YCa9oXlN0vf0bB7dSO&#10;pss2Pfrr/Pw922E5T+1TqeGg+1mB8NT5j/jtPukwfwn/v4QD5O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W1LgvwAAANsAAAAPAAAAAAAAAAAAAAAAAJgCAABkcnMvZG93bnJl&#10;di54bWxQSwUGAAAAAAQABAD1AAAAhAMAAAAA&#10;" stroked="f">
                  <v:textbox>
                    <w:txbxContent>
                      <w:p w:rsidR="006A043A" w:rsidRPr="006D358D" w:rsidRDefault="006A043A" w:rsidP="00DD193B">
                        <w:pPr>
                          <w:jc w:val="center"/>
                          <w:rPr>
                            <w:rFonts w:ascii="Arial" w:hAnsi="Arial" w:cs="Arial"/>
                            <w:sz w:val="18"/>
                            <w:szCs w:val="18"/>
                          </w:rPr>
                        </w:pPr>
                        <w:r w:rsidRPr="006D358D">
                          <w:rPr>
                            <w:rFonts w:ascii="Arial" w:hAnsi="Arial" w:cs="Arial"/>
                            <w:sz w:val="18"/>
                            <w:szCs w:val="18"/>
                          </w:rPr>
                          <w:t>% with a degree in each period</w:t>
                        </w:r>
                      </w:p>
                    </w:txbxContent>
                  </v:textbox>
                </v:shape>
                <v:line id="Line 22" o:spid="_x0000_s1034" style="position:absolute;flip:x y;visibility:visible;mso-wrap-style:square" from="6848,1292" to="8009,13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SFKNcAAAADbAAAADwAAAGRycy9kb3ducmV2LnhtbERPy4rCMBTdC/5DuAOzkTG1ikhtKiI4&#10;zErxMbi9NNe2THNTmmg7fr1ZCC4P552uelOLO7WusqxgMo5AEOdWV1woOJ+2XwsQziNrrC2Tgn9y&#10;sMqGgxQTbTs+0P3oCxFC2CWooPS+SaR0eUkG3dg2xIG72tagD7AtpG6xC+GmlnEUzaXBikNDiQ1t&#10;Ssr/jjejAHn3mC66Cc3kN11cvNuP1r9XpT4/+vUShKfev8Uv949WEIf14Uv4ATJ7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khSjXAAAAA2wAAAA8AAAAAAAAAAAAAAAAA&#10;oQIAAGRycy9kb3ducmV2LnhtbFBLBQYAAAAABAAEAPkAAACOAwAAAAA=&#10;"/>
                <v:shape id="Text Box 23" o:spid="_x0000_s1035" type="#_x0000_t202" style="position:absolute;left:1146;width:5702;height:3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GUW8QA&#10;AADbAAAADwAAAGRycy9kb3ducmV2LnhtbESPzWrDMBCE74W8g9hALyWWE9okdSObtNCQa34eYG1t&#10;bBNrZSzVP29fFQI9DjPzDbPLRtOInjpXW1awjGIQxIXVNZcKrpfvxRaE88gaG8ukYCIHWTp72mGi&#10;7cAn6s++FAHCLkEFlfdtIqUrKjLoItsSB+9mO4M+yK6UusMhwE0jV3G8lgZrDgsVtvRVUXE//xgF&#10;t+Pw8vY+5Ad/3Zxe159Yb3I7KfU8H/cfIDyN/j/8aB+1gtUS/r6EHyDT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BlFvEAAAA2wAAAA8AAAAAAAAAAAAAAAAAmAIAAGRycy9k&#10;b3ducmV2LnhtbFBLBQYAAAAABAAEAPUAAACJAwAAAAA=&#10;" stroked="f">
                  <v:textbox>
                    <w:txbxContent>
                      <w:p w:rsidR="006A043A" w:rsidRPr="000615E8" w:rsidRDefault="006A043A" w:rsidP="00DD193B">
                        <w:pPr>
                          <w:rPr>
                            <w:rFonts w:ascii="Arial" w:hAnsi="Arial" w:cs="Arial"/>
                            <w:sz w:val="18"/>
                            <w:szCs w:val="18"/>
                          </w:rPr>
                        </w:pPr>
                        <w:r w:rsidRPr="000615E8">
                          <w:rPr>
                            <w:rFonts w:ascii="Arial" w:hAnsi="Arial" w:cs="Arial"/>
                            <w:sz w:val="18"/>
                            <w:szCs w:val="18"/>
                          </w:rPr>
                          <w:t>100%</w:t>
                        </w:r>
                      </w:p>
                    </w:txbxContent>
                  </v:textbox>
                </v:shape>
                <v:shape id="Text Box 24" o:spid="_x0000_s1036" type="#_x0000_t202" style="position:absolute;left:24425;top:4066;width:6069;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MKLMEA&#10;AADbAAAADwAAAGRycy9kb3ducmV2LnhtbESP3YrCMBSE7wXfIRzBG9F0i7/VKKuw4q0/D3Bsjm2x&#10;OSlNtPXtN4Lg5TAz3zCrTWtK8aTaFZYV/IwiEMSp1QVnCi7nv+EchPPIGkvLpOBFDjbrbmeFibYN&#10;H+l58pkIEHYJKsi9rxIpXZqTQTeyFXHwbrY26IOsM6lrbALclDKOoqk0WHBYyLGiXU7p/fQwCm6H&#10;ZjBZNNe9v8yO4+kWi9nVvpTq99rfJQhPrf+GP+2DVhDH8P4SfoB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TCizBAAAA2wAAAA8AAAAAAAAAAAAAAAAAmAIAAGRycy9kb3du&#10;cmV2LnhtbFBLBQYAAAAABAAEAPUAAACGAwAAAAA=&#10;" stroked="f">
                  <v:textbox>
                    <w:txbxContent>
                      <w:p w:rsidR="006A043A" w:rsidRPr="000615E8" w:rsidRDefault="006A043A" w:rsidP="00DD193B">
                        <w:pPr>
                          <w:rPr>
                            <w:rFonts w:ascii="Arial" w:hAnsi="Arial" w:cs="Arial"/>
                            <w:sz w:val="18"/>
                            <w:szCs w:val="18"/>
                          </w:rPr>
                        </w:pPr>
                        <w:r w:rsidRPr="000615E8">
                          <w:rPr>
                            <w:rFonts w:ascii="Arial" w:hAnsi="Arial" w:cs="Arial"/>
                            <w:sz w:val="18"/>
                            <w:szCs w:val="18"/>
                          </w:rPr>
                          <w:t>200</w:t>
                        </w:r>
                        <w:r>
                          <w:rPr>
                            <w:rFonts w:ascii="Arial" w:hAnsi="Arial" w:cs="Arial"/>
                            <w:sz w:val="18"/>
                            <w:szCs w:val="18"/>
                          </w:rPr>
                          <w:t>9/10</w:t>
                        </w:r>
                      </w:p>
                    </w:txbxContent>
                  </v:textbox>
                </v:shape>
                <v:shape id="Text Box 25" o:spid="_x0000_s1037" type="#_x0000_t202" style="position:absolute;left:34203;top:9836;width:6285;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vt8MA&#10;AADbAAAADwAAAGRycy9kb3ducmV2LnhtbESP3YrCMBSE74V9h3AWvJE1Xf+62zWKCoq3/jzAaXNs&#10;yzYnpYm2vr0RBC+HmfmGmS87U4kbNa60rOB7GIEgzqwuOVdwPm2/fkA4j6yxskwK7uRgufjozTHR&#10;tuUD3Y4+FwHCLkEFhfd1IqXLCjLohrYmDt7FNgZ9kE0udYNtgJtKjqJoJg2WHBYKrGlTUPZ/vBoF&#10;l307mP626c6f48NktsYyTu1dqf5nt/oD4anz7/CrvdcKRmN4fg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9+vt8MAAADbAAAADwAAAAAAAAAAAAAAAACYAgAAZHJzL2Rv&#10;d25yZXYueG1sUEsFBgAAAAAEAAQA9QAAAIgDAAAAAA==&#10;" stroked="f">
                  <v:textbox>
                    <w:txbxContent>
                      <w:p w:rsidR="006A043A" w:rsidRPr="000615E8" w:rsidRDefault="006A043A" w:rsidP="00DD193B">
                        <w:pPr>
                          <w:rPr>
                            <w:rFonts w:ascii="Arial" w:hAnsi="Arial" w:cs="Arial"/>
                            <w:sz w:val="18"/>
                            <w:szCs w:val="18"/>
                          </w:rPr>
                        </w:pPr>
                        <w:r w:rsidRPr="000615E8">
                          <w:rPr>
                            <w:rFonts w:ascii="Arial" w:hAnsi="Arial" w:cs="Arial"/>
                            <w:sz w:val="18"/>
                            <w:szCs w:val="18"/>
                          </w:rPr>
                          <w:t>199</w:t>
                        </w:r>
                        <w:r>
                          <w:rPr>
                            <w:rFonts w:ascii="Arial" w:hAnsi="Arial" w:cs="Arial"/>
                            <w:sz w:val="18"/>
                            <w:szCs w:val="18"/>
                          </w:rPr>
                          <w:t>4/95</w:t>
                        </w:r>
                      </w:p>
                    </w:txbxContent>
                  </v:textbox>
                </v:shape>
                <v:line id="Straight Connector 29" o:spid="_x0000_s1038" style="position:absolute;flip:y;visibility:visible;mso-wrap-style:square" from="8009,1300" to="8009,21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s3sYAAADbAAAADwAAAGRycy9kb3ducmV2LnhtbESPQWvCQBSE70L/w/IK3sxGW6xNXUUE&#10;MSjYVnvo8ZF9TUKzb9Ps1kR/vSsIHoeZ+YaZzjtTiSM1rrSsYBjFIIgzq0vOFXwdVoMJCOeRNVaW&#10;ScGJHMxnD70pJtq2/EnHvc9FgLBLUEHhfZ1I6bKCDLrI1sTB+7GNQR9kk0vdYBvgppKjOB5LgyWH&#10;hQJrWhaU/e7/jYI05c3mzKv37+HH39o/ldvdc/uiVP+xW7yB8NT5e/jWTrWC0Stcv4QfIGc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bvrN7GAAAA2wAAAA8AAAAAAAAA&#10;AAAAAAAAoQIAAGRycy9kb3ducmV2LnhtbFBLBQYAAAAABAAEAPkAAACUAwAAAAA=&#10;" strokecolor="#4579b8 [3044]"/>
                <w10:anchorlock/>
              </v:group>
            </w:pict>
          </mc:Fallback>
        </mc:AlternateContent>
      </w:r>
      <w:r w:rsidR="00DD193B" w:rsidRPr="00560255">
        <w:tab/>
      </w:r>
    </w:p>
    <w:p w:rsidR="00DD193B" w:rsidRPr="00A94F7E" w:rsidRDefault="00DD193B" w:rsidP="00DD193B">
      <w:pPr>
        <w:ind w:left="1418" w:hanging="1418"/>
        <w:rPr>
          <w:rFonts w:cs="Arial"/>
          <w:b/>
        </w:rPr>
      </w:pPr>
      <w:r w:rsidRPr="00A94F7E">
        <w:rPr>
          <w:rFonts w:cs="Arial"/>
          <w:b/>
        </w:rPr>
        <w:t>Figure 4</w:t>
      </w:r>
      <w:r w:rsidR="00AE70BF">
        <w:rPr>
          <w:rFonts w:cs="Arial"/>
          <w:b/>
        </w:rPr>
        <w:t>:</w:t>
      </w:r>
      <w:r w:rsidRPr="00A94F7E">
        <w:rPr>
          <w:rFonts w:cs="Arial"/>
          <w:b/>
        </w:rPr>
        <w:tab/>
        <w:t xml:space="preserve">Graduate expansion </w:t>
      </w:r>
      <w:r w:rsidR="004E4C6C">
        <w:rPr>
          <w:rFonts w:cs="Arial"/>
          <w:b/>
        </w:rPr>
        <w:t>associated with</w:t>
      </w:r>
      <w:r w:rsidRPr="00A94F7E">
        <w:rPr>
          <w:rFonts w:cs="Arial"/>
          <w:b/>
        </w:rPr>
        <w:t xml:space="preserve"> a decline in the graduate earnings premium</w:t>
      </w:r>
    </w:p>
    <w:p w:rsidR="00DD193B" w:rsidRPr="00560255" w:rsidRDefault="00EC2C41" w:rsidP="00DD193B">
      <w:r>
        <w:rPr>
          <w:noProof/>
        </w:rPr>
        <mc:AlternateContent>
          <mc:Choice Requires="wpc">
            <w:drawing>
              <wp:inline distT="0" distB="0" distL="0" distR="0" wp14:anchorId="6AD40AB9" wp14:editId="63AC588F">
                <wp:extent cx="4760595" cy="2872740"/>
                <wp:effectExtent l="0" t="0" r="1905" b="3810"/>
                <wp:docPr id="14" name="Canvas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Line 4"/>
                        <wps:cNvCnPr/>
                        <wps:spPr bwMode="auto">
                          <a:xfrm>
                            <a:off x="800370" y="2415502"/>
                            <a:ext cx="3885738"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Freeform 6"/>
                        <wps:cNvSpPr>
                          <a:spLocks/>
                        </wps:cNvSpPr>
                        <wps:spPr bwMode="auto">
                          <a:xfrm>
                            <a:off x="1046469" y="491531"/>
                            <a:ext cx="3429323" cy="1923971"/>
                          </a:xfrm>
                          <a:custGeom>
                            <a:avLst/>
                            <a:gdLst>
                              <a:gd name="T0" fmla="*/ 0 w 5400"/>
                              <a:gd name="T1" fmla="*/ 1980 h 3030"/>
                              <a:gd name="T2" fmla="*/ 1080 w 5400"/>
                              <a:gd name="T3" fmla="*/ 2700 h 3030"/>
                              <a:gd name="T4" fmla="*/ 5400 w 5400"/>
                              <a:gd name="T5" fmla="*/ 0 h 3030"/>
                            </a:gdLst>
                            <a:ahLst/>
                            <a:cxnLst>
                              <a:cxn ang="0">
                                <a:pos x="T0" y="T1"/>
                              </a:cxn>
                              <a:cxn ang="0">
                                <a:pos x="T2" y="T3"/>
                              </a:cxn>
                              <a:cxn ang="0">
                                <a:pos x="T4" y="T5"/>
                              </a:cxn>
                            </a:cxnLst>
                            <a:rect l="0" t="0" r="r" b="b"/>
                            <a:pathLst>
                              <a:path w="5400" h="3030">
                                <a:moveTo>
                                  <a:pt x="0" y="1980"/>
                                </a:moveTo>
                                <a:cubicBezTo>
                                  <a:pt x="90" y="2505"/>
                                  <a:pt x="180" y="3030"/>
                                  <a:pt x="1080" y="2700"/>
                                </a:cubicBezTo>
                                <a:cubicBezTo>
                                  <a:pt x="1980" y="2370"/>
                                  <a:pt x="3690" y="1185"/>
                                  <a:pt x="5400" y="0"/>
                                </a:cubicBezTo>
                              </a:path>
                            </a:pathLst>
                          </a:custGeom>
                          <a:noFill/>
                          <a:ln w="1905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Freeform 7"/>
                        <wps:cNvSpPr>
                          <a:spLocks/>
                        </wps:cNvSpPr>
                        <wps:spPr bwMode="auto">
                          <a:xfrm>
                            <a:off x="1142864" y="357932"/>
                            <a:ext cx="3200750" cy="1352424"/>
                          </a:xfrm>
                          <a:custGeom>
                            <a:avLst/>
                            <a:gdLst>
                              <a:gd name="T0" fmla="*/ 0 w 4680"/>
                              <a:gd name="T1" fmla="*/ 900 h 2130"/>
                              <a:gd name="T2" fmla="*/ 900 w 4680"/>
                              <a:gd name="T3" fmla="*/ 1980 h 2130"/>
                              <a:gd name="T4" fmla="*/ 4680 w 4680"/>
                              <a:gd name="T5" fmla="*/ 0 h 2130"/>
                            </a:gdLst>
                            <a:ahLst/>
                            <a:cxnLst>
                              <a:cxn ang="0">
                                <a:pos x="T0" y="T1"/>
                              </a:cxn>
                              <a:cxn ang="0">
                                <a:pos x="T2" y="T3"/>
                              </a:cxn>
                              <a:cxn ang="0">
                                <a:pos x="T4" y="T5"/>
                              </a:cxn>
                            </a:cxnLst>
                            <a:rect l="0" t="0" r="r" b="b"/>
                            <a:pathLst>
                              <a:path w="4680" h="2130">
                                <a:moveTo>
                                  <a:pt x="0" y="900"/>
                                </a:moveTo>
                                <a:cubicBezTo>
                                  <a:pt x="60" y="1515"/>
                                  <a:pt x="120" y="2130"/>
                                  <a:pt x="900" y="1980"/>
                                </a:cubicBezTo>
                                <a:cubicBezTo>
                                  <a:pt x="1680" y="1830"/>
                                  <a:pt x="3180" y="915"/>
                                  <a:pt x="4680" y="0"/>
                                </a:cubicBezTo>
                              </a:path>
                            </a:pathLst>
                          </a:custGeom>
                          <a:noFill/>
                          <a:ln w="1587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Text Box 8"/>
                        <wps:cNvSpPr txBox="1">
                          <a:spLocks noChangeArrowheads="1"/>
                        </wps:cNvSpPr>
                        <wps:spPr bwMode="auto">
                          <a:xfrm>
                            <a:off x="1714661" y="2529812"/>
                            <a:ext cx="1828583" cy="3429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A043A" w:rsidRPr="000615E8" w:rsidRDefault="006A043A" w:rsidP="00DD193B">
                              <w:pPr>
                                <w:rPr>
                                  <w:rFonts w:ascii="Arial" w:hAnsi="Arial" w:cs="Arial"/>
                                  <w:b/>
                                  <w:sz w:val="18"/>
                                  <w:szCs w:val="18"/>
                                </w:rPr>
                              </w:pPr>
                              <w:r w:rsidRPr="000615E8">
                                <w:rPr>
                                  <w:rFonts w:ascii="Arial" w:hAnsi="Arial" w:cs="Arial"/>
                                  <w:b/>
                                  <w:sz w:val="18"/>
                                  <w:szCs w:val="18"/>
                                </w:rPr>
                                <w:t>Earnings</w:t>
                              </w:r>
                            </w:p>
                          </w:txbxContent>
                        </wps:txbx>
                        <wps:bodyPr rot="0" vert="horz" wrap="square" lIns="91440" tIns="45720" rIns="91440" bIns="45720" anchor="t" anchorCtr="0" upright="1">
                          <a:noAutofit/>
                        </wps:bodyPr>
                      </wps:wsp>
                      <wps:wsp>
                        <wps:cNvPr id="8" name="Text Box 9"/>
                        <wps:cNvSpPr txBox="1">
                          <a:spLocks noChangeArrowheads="1"/>
                        </wps:cNvSpPr>
                        <wps:spPr bwMode="auto">
                          <a:xfrm>
                            <a:off x="0" y="929479"/>
                            <a:ext cx="685718" cy="10287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A043A" w:rsidRPr="006D358D" w:rsidRDefault="006A043A" w:rsidP="00DD193B">
                              <w:pPr>
                                <w:jc w:val="center"/>
                                <w:rPr>
                                  <w:rFonts w:ascii="Arial" w:hAnsi="Arial" w:cs="Arial"/>
                                  <w:sz w:val="18"/>
                                  <w:szCs w:val="18"/>
                                </w:rPr>
                              </w:pPr>
                              <w:r w:rsidRPr="006D358D">
                                <w:rPr>
                                  <w:rFonts w:ascii="Arial" w:hAnsi="Arial" w:cs="Arial"/>
                                  <w:sz w:val="18"/>
                                  <w:szCs w:val="18"/>
                                </w:rPr>
                                <w:t>% with a degree in each period</w:t>
                              </w:r>
                            </w:p>
                          </w:txbxContent>
                        </wps:txbx>
                        <wps:bodyPr rot="0" vert="horz" wrap="square" lIns="91440" tIns="45720" rIns="91440" bIns="45720" anchor="t" anchorCtr="0" upright="1">
                          <a:noAutofit/>
                        </wps:bodyPr>
                      </wps:wsp>
                      <wps:wsp>
                        <wps:cNvPr id="9" name="Line 10"/>
                        <wps:cNvCnPr/>
                        <wps:spPr bwMode="auto">
                          <a:xfrm flipH="1" flipV="1">
                            <a:off x="685718" y="365790"/>
                            <a:ext cx="114652" cy="71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Text Box 11"/>
                        <wps:cNvSpPr txBox="1">
                          <a:spLocks noChangeArrowheads="1"/>
                        </wps:cNvSpPr>
                        <wps:spPr bwMode="auto">
                          <a:xfrm>
                            <a:off x="186948" y="243622"/>
                            <a:ext cx="498040" cy="3429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A043A" w:rsidRPr="000615E8" w:rsidRDefault="006A043A" w:rsidP="00DD193B">
                              <w:pPr>
                                <w:rPr>
                                  <w:rFonts w:ascii="Arial" w:hAnsi="Arial" w:cs="Arial"/>
                                  <w:sz w:val="18"/>
                                  <w:szCs w:val="18"/>
                                </w:rPr>
                              </w:pPr>
                              <w:r w:rsidRPr="000615E8">
                                <w:rPr>
                                  <w:rFonts w:ascii="Arial" w:hAnsi="Arial" w:cs="Arial"/>
                                  <w:sz w:val="18"/>
                                  <w:szCs w:val="18"/>
                                </w:rPr>
                                <w:t>100%</w:t>
                              </w:r>
                            </w:p>
                          </w:txbxContent>
                        </wps:txbx>
                        <wps:bodyPr rot="0" vert="horz" wrap="square" lIns="91440" tIns="45720" rIns="91440" bIns="45720" anchor="t" anchorCtr="0" upright="1">
                          <a:noAutofit/>
                        </wps:bodyPr>
                      </wps:wsp>
                      <wps:wsp>
                        <wps:cNvPr id="11" name="Text Box 12"/>
                        <wps:cNvSpPr txBox="1">
                          <a:spLocks noChangeArrowheads="1"/>
                        </wps:cNvSpPr>
                        <wps:spPr bwMode="auto">
                          <a:xfrm>
                            <a:off x="3000858" y="491531"/>
                            <a:ext cx="622185" cy="22861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A043A" w:rsidRPr="000615E8" w:rsidRDefault="006A043A" w:rsidP="00DD193B">
                              <w:pPr>
                                <w:rPr>
                                  <w:rFonts w:ascii="Arial" w:hAnsi="Arial" w:cs="Arial"/>
                                  <w:sz w:val="18"/>
                                  <w:szCs w:val="18"/>
                                </w:rPr>
                              </w:pPr>
                              <w:r w:rsidRPr="000615E8">
                                <w:rPr>
                                  <w:rFonts w:ascii="Arial" w:hAnsi="Arial" w:cs="Arial"/>
                                  <w:sz w:val="18"/>
                                  <w:szCs w:val="18"/>
                                </w:rPr>
                                <w:t>200</w:t>
                              </w:r>
                              <w:r>
                                <w:rPr>
                                  <w:rFonts w:ascii="Arial" w:hAnsi="Arial" w:cs="Arial"/>
                                  <w:sz w:val="18"/>
                                  <w:szCs w:val="18"/>
                                </w:rPr>
                                <w:t>9/10</w:t>
                              </w:r>
                            </w:p>
                          </w:txbxContent>
                        </wps:txbx>
                        <wps:bodyPr rot="0" vert="horz" wrap="square" lIns="91440" tIns="45720" rIns="91440" bIns="45720" anchor="t" anchorCtr="0" upright="1">
                          <a:noAutofit/>
                        </wps:bodyPr>
                      </wps:wsp>
                      <wps:wsp>
                        <wps:cNvPr id="12" name="Text Box 13"/>
                        <wps:cNvSpPr txBox="1">
                          <a:spLocks noChangeArrowheads="1"/>
                        </wps:cNvSpPr>
                        <wps:spPr bwMode="auto">
                          <a:xfrm>
                            <a:off x="3334327" y="1305910"/>
                            <a:ext cx="654966" cy="1954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A043A" w:rsidRPr="000615E8" w:rsidRDefault="006A043A" w:rsidP="00DD193B">
                              <w:pPr>
                                <w:rPr>
                                  <w:rFonts w:ascii="Arial" w:hAnsi="Arial" w:cs="Arial"/>
                                  <w:sz w:val="18"/>
                                  <w:szCs w:val="18"/>
                                </w:rPr>
                              </w:pPr>
                              <w:r w:rsidRPr="000615E8">
                                <w:rPr>
                                  <w:rFonts w:ascii="Arial" w:hAnsi="Arial" w:cs="Arial"/>
                                  <w:sz w:val="18"/>
                                  <w:szCs w:val="18"/>
                                </w:rPr>
                                <w:t>199</w:t>
                              </w:r>
                              <w:r>
                                <w:rPr>
                                  <w:rFonts w:ascii="Arial" w:hAnsi="Arial" w:cs="Arial"/>
                                  <w:sz w:val="18"/>
                                  <w:szCs w:val="18"/>
                                </w:rPr>
                                <w:t>4/95</w:t>
                              </w:r>
                            </w:p>
                          </w:txbxContent>
                        </wps:txbx>
                        <wps:bodyPr rot="0" vert="horz" wrap="square" lIns="91440" tIns="45720" rIns="91440" bIns="45720" anchor="t" anchorCtr="0" upright="1">
                          <a:noAutofit/>
                        </wps:bodyPr>
                      </wps:wsp>
                      <wps:wsp>
                        <wps:cNvPr id="30" name="Straight Connector 30"/>
                        <wps:cNvCnPr/>
                        <wps:spPr>
                          <a:xfrm flipV="1">
                            <a:off x="800983" y="365790"/>
                            <a:ext cx="0" cy="2050456"/>
                          </a:xfrm>
                          <a:prstGeom prst="line">
                            <a:avLst/>
                          </a:prstGeom>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id="Canvas 2" o:spid="_x0000_s1039" editas="canvas" style="width:374.85pt;height:226.2pt;mso-position-horizontal-relative:char;mso-position-vertical-relative:line" coordsize="47605,287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">
                <v:shape id="_x0000_s1040" type="#_x0000_t75" style="position:absolute;width:47605;height:28727;visibility:visible;mso-wrap-style:square">
                  <v:fill o:detectmouseclick="t"/>
                  <v:path o:connecttype="none"/>
                </v:shape>
                <v:line id="Line 4" o:spid="_x0000_s1041" style="position:absolute;visibility:visible;mso-wrap-style:square" from="8003,24155" to="46861,241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ExOMAAAADaAAAADwAAAGRycy9kb3ducmV2LnhtbERPTWsCMRC9F/wPYQRvNWsPWlejiEvB&#10;QyuopedxM24WN5NlE9f03zeC0NPweJ+zXEfbiJ46XztWMBlnIIhLp2uuFHyfPl7fQfiArLFxTAp+&#10;ycN6NXhZYq7dnQ/UH0MlUgj7HBWYENpcSl8asujHriVO3MV1FkOCXSV1h/cUbhv5lmVTabHm1GCw&#10;pa2h8nq8WQUzUxzkTBafp33R15N5/Io/57lSo2HcLEAEiuFf/HTvdJoPj1ceV67+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KRMTjAAAAA2gAAAA8AAAAAAAAAAAAAAAAA&#10;oQIAAGRycy9kb3ducmV2LnhtbFBLBQYAAAAABAAEAPkAAACOAwAAAAA=&#10;">
                  <v:stroke endarrow="block"/>
                </v:line>
                <v:shape id="Freeform 6" o:spid="_x0000_s1042" style="position:absolute;left:10464;top:4915;width:34293;height:19240;visibility:visible;mso-wrap-style:square;v-text-anchor:top" coordsize="5400,30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95cQA&#10;AADaAAAADwAAAGRycy9kb3ducmV2LnhtbESPQWvCQBSE70L/w/IKvUjdVGop0Y1UUagoQtPS8yP7&#10;kg1m34bsVqO/3hWEHoeZ+YaZzXvbiCN1vnas4GWUgCAunK65UvDzvX5+B+EDssbGMSk4k4d59jCY&#10;Yardib/omIdKRAj7FBWYENpUSl8YsuhHriWOXuk6iyHKrpK6w1OE20aOk+RNWqw5LhhsaWmoOOR/&#10;VsF+x8Nfsx3TZW02pVnt+2bxulDq6bH/mIII1If/8L39qRVM4HYl3gCZX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veXEAAAA2gAAAA8AAAAAAAAAAAAAAAAAmAIAAGRycy9k&#10;b3ducmV2LnhtbFBLBQYAAAAABAAEAPUAAACJAwAAAAA=&#10;" path="m,1980v90,525,180,1050,1080,720c1980,2370,3690,1185,5400,e" filled="f" strokecolor="red" strokeweight="1.5pt">
                  <v:path arrowok="t" o:connecttype="custom" o:connectlocs="0,1257248;685865,1714430;3429323,0" o:connectangles="0,0,0"/>
                </v:shape>
                <v:shape id="Freeform 7" o:spid="_x0000_s1043" style="position:absolute;left:11428;top:3579;width:32008;height:13524;visibility:visible;mso-wrap-style:square;v-text-anchor:top" coordsize="4680,2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2jUsQA&#10;AADaAAAADwAAAGRycy9kb3ducmV2LnhtbESPQWvCQBSE74X+h+UVetNNCw02uoYiWEqLoLEI3h7Z&#10;ZxLNvg272xj/vSsIPQ4z8w0zywfTip6cbywreBknIIhLqxuuFPxul6MJCB+QNbaWScGFPOTzx4cZ&#10;ZtqeeUN9ESoRIewzVFCH0GVS+rImg35sO+LoHawzGKJ0ldQOzxFuWvmaJKk02HBcqLGjRU3lqfgz&#10;Ckx6tNvVZL2q6O3nc+cK/b0v35V6fho+piACDeE/fG9/aQUp3K7EGy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2do1LEAAAA2gAAAA8AAAAAAAAAAAAAAAAAmAIAAGRycy9k&#10;b3ducmV2LnhtbFBLBQYAAAAABAAEAPUAAACJAwAAAAA=&#10;" path="m,900v60,615,120,1230,900,1080c1680,1830,3180,915,4680,e" filled="f" strokecolor="blue" strokeweight="1.25pt">
                  <v:path arrowok="t" o:connecttype="custom" o:connectlocs="0,571447;615529,1257183;3200750,0" o:connectangles="0,0,0"/>
                </v:shape>
                <v:shape id="Text Box 8" o:spid="_x0000_s1044" type="#_x0000_t202" style="position:absolute;left:17146;top:25298;width:18286;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uuIMIA&#10;AADaAAAADwAAAGRycy9kb3ducmV2LnhtbESP3YrCMBSE7wXfIZwFb0RTZbVut1FWQfHWnwc4Nqc/&#10;bHNSmqytb28WBC+HmfmGSTe9qcWdWldZVjCbRiCIM6srLhRcL/vJCoTzyBpry6TgQQ426+EgxUTb&#10;jk90P/tCBAi7BBWU3jeJlC4ryaCb2oY4eLltDfog20LqFrsAN7WcR9FSGqw4LJTY0K6k7Pf8ZxTk&#10;x268+OpuB3+NT5/LLVbxzT6UGn30P98gPPX+HX61j1pBDP9Xwg2Q6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664gwgAAANoAAAAPAAAAAAAAAAAAAAAAAJgCAABkcnMvZG93&#10;bnJldi54bWxQSwUGAAAAAAQABAD1AAAAhwMAAAAA&#10;" stroked="f">
                  <v:textbox>
                    <w:txbxContent>
                      <w:p w:rsidR="006A043A" w:rsidRPr="000615E8" w:rsidRDefault="006A043A" w:rsidP="00DD193B">
                        <w:pPr>
                          <w:rPr>
                            <w:rFonts w:ascii="Arial" w:hAnsi="Arial" w:cs="Arial"/>
                            <w:b/>
                            <w:sz w:val="18"/>
                            <w:szCs w:val="18"/>
                          </w:rPr>
                        </w:pPr>
                        <w:r w:rsidRPr="000615E8">
                          <w:rPr>
                            <w:rFonts w:ascii="Arial" w:hAnsi="Arial" w:cs="Arial"/>
                            <w:b/>
                            <w:sz w:val="18"/>
                            <w:szCs w:val="18"/>
                          </w:rPr>
                          <w:t>Earnings</w:t>
                        </w:r>
                      </w:p>
                    </w:txbxContent>
                  </v:textbox>
                </v:shape>
                <v:shape id="Text Box 9" o:spid="_x0000_s1045" type="#_x0000_t202" style="position:absolute;top:9294;width:6857;height:10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" stroked="f">
                  <v:textbox>
                    <w:txbxContent>
                      <w:p w:rsidR="006A043A" w:rsidRPr="006D358D" w:rsidRDefault="006A043A" w:rsidP="00DD193B">
                        <w:pPr>
                          <w:jc w:val="center"/>
                          <w:rPr>
                            <w:rFonts w:ascii="Arial" w:hAnsi="Arial" w:cs="Arial"/>
                            <w:sz w:val="18"/>
                            <w:szCs w:val="18"/>
                          </w:rPr>
                        </w:pPr>
                        <w:r w:rsidRPr="006D358D">
                          <w:rPr>
                            <w:rFonts w:ascii="Arial" w:hAnsi="Arial" w:cs="Arial"/>
                            <w:sz w:val="18"/>
                            <w:szCs w:val="18"/>
                          </w:rPr>
                          <w:t>% with a degree in each period</w:t>
                        </w:r>
                      </w:p>
                    </w:txbxContent>
                  </v:textbox>
                </v:shape>
                <v:line id="Line 10" o:spid="_x0000_s1046" style="position:absolute;flip:x y;visibility:visible;mso-wrap-style:square" from="6857,3657" to="8003,36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V3vcEAAADaAAAADwAAAGRycy9kb3ducmV2LnhtbESPT4vCMBTE74LfITxhL4umuiJajSKC&#10;iyfFf3h9NM+22LyUJtq6n94ICx6HmfkNM1s0phAPqlxuWUG/F4EgTqzOOVVwOq67YxDOI2ssLJOC&#10;JzlYzNutGcba1rynx8GnIkDYxagg876MpXRJRgZdz5bEwbvayqAPskqlrrAOcFPIQRSNpMGcw0KG&#10;Ja0ySm6Hu1GAvP37Gdd9GspfurjBdve9PF+V+uo0yykIT43/hP/bG61gAu8r4QbI+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wxXe9wQAAANoAAAAPAAAAAAAAAAAAAAAA&#10;AKECAABkcnMvZG93bnJldi54bWxQSwUGAAAAAAQABAD5AAAAjwMAAAAA&#10;"/>
                <v:shape id="Text Box 11" o:spid="_x0000_s1047" type="#_x0000_t202" style="position:absolute;left:1869;top:2436;width:4980;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H7fcIA&#10;AADbAAAADwAAAGRycy9kb3ducmV2LnhtbESPzW7CQAyE70h9h5Ur9YJg04rfwIJaJBBXfh7AZE0S&#10;kfVG2S0Jb48PSNxszXjm83LduUrdqQmlZwPfwwQUceZtybmB82k7mIEKEdli5ZkMPCjAevXRW2Jq&#10;fcsHuh9jriSEQ4oGihjrVOuQFeQwDH1NLNrVNw6jrE2ubYOthLtK/yTJRDssWRoKrGlTUHY7/jsD&#10;133bH8/byy6ep4fR5A/L6cU/jPn67H4XoCJ18W1+Xe+t4Au9/CID6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Yft9wgAAANsAAAAPAAAAAAAAAAAAAAAAAJgCAABkcnMvZG93&#10;bnJldi54bWxQSwUGAAAAAAQABAD1AAAAhwMAAAAA&#10;" stroked="f">
                  <v:textbox>
                    <w:txbxContent>
                      <w:p w:rsidR="006A043A" w:rsidRPr="000615E8" w:rsidRDefault="006A043A" w:rsidP="00DD193B">
                        <w:pPr>
                          <w:rPr>
                            <w:rFonts w:ascii="Arial" w:hAnsi="Arial" w:cs="Arial"/>
                            <w:sz w:val="18"/>
                            <w:szCs w:val="18"/>
                          </w:rPr>
                        </w:pPr>
                        <w:r w:rsidRPr="000615E8">
                          <w:rPr>
                            <w:rFonts w:ascii="Arial" w:hAnsi="Arial" w:cs="Arial"/>
                            <w:sz w:val="18"/>
                            <w:szCs w:val="18"/>
                          </w:rPr>
                          <w:t>100%</w:t>
                        </w:r>
                      </w:p>
                    </w:txbxContent>
                  </v:textbox>
                </v:shape>
                <v:shape id="Text Box 12" o:spid="_x0000_s1048" type="#_x0000_t202" style="position:absolute;left:30008;top:4915;width:6222;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1e5sAA&#10;AADbAAAADwAAAGRycy9kb3ducmV2LnhtbERPzWrCQBC+C32HZQpepG4UjW10E6pQ8WrqA4zZMQlm&#10;Z0N2a+LbdwXB23x8v7PJBtOIG3WutqxgNo1AEBdW11wqOP3+fHyCcB5ZY2OZFNzJQZa+jTaYaNvz&#10;kW65L0UIYZeggsr7NpHSFRUZdFPbEgfuYjuDPsCulLrDPoSbRs6jKJYGaw4NFba0q6i45n9GweXQ&#10;T5Zf/XnvT6vjIt5ivTrbu1Lj9+F7DcLT4F/ip/ugw/wZPH4JB8j0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i1e5sAAAADbAAAADwAAAAAAAAAAAAAAAACYAgAAZHJzL2Rvd25y&#10;ZXYueG1sUEsFBgAAAAAEAAQA9QAAAIUDAAAAAA==&#10;" stroked="f">
                  <v:textbox>
                    <w:txbxContent>
                      <w:p w:rsidR="006A043A" w:rsidRPr="000615E8" w:rsidRDefault="006A043A" w:rsidP="00DD193B">
                        <w:pPr>
                          <w:rPr>
                            <w:rFonts w:ascii="Arial" w:hAnsi="Arial" w:cs="Arial"/>
                            <w:sz w:val="18"/>
                            <w:szCs w:val="18"/>
                          </w:rPr>
                        </w:pPr>
                        <w:r w:rsidRPr="000615E8">
                          <w:rPr>
                            <w:rFonts w:ascii="Arial" w:hAnsi="Arial" w:cs="Arial"/>
                            <w:sz w:val="18"/>
                            <w:szCs w:val="18"/>
                          </w:rPr>
                          <w:t>200</w:t>
                        </w:r>
                        <w:r>
                          <w:rPr>
                            <w:rFonts w:ascii="Arial" w:hAnsi="Arial" w:cs="Arial"/>
                            <w:sz w:val="18"/>
                            <w:szCs w:val="18"/>
                          </w:rPr>
                          <w:t>9/10</w:t>
                        </w:r>
                      </w:p>
                    </w:txbxContent>
                  </v:textbox>
                </v:shape>
                <v:shape id="Text Box 13" o:spid="_x0000_s1049" type="#_x0000_t202" style="position:absolute;left:33343;top:13059;width:6549;height:19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Akb8A&#10;AADbAAAADwAAAGRycy9kb3ducmV2LnhtbERPy6rCMBDdC/5DGMGNaKpcX9UoXkFxW/UDxmZsi82k&#10;NLm2/r25ILibw3nOetuaUjypdoVlBeNRBII4tbrgTMH1chguQDiPrLG0TApe5GC76XbWGGvbcELP&#10;s89ECGEXo4Lc+yqW0qU5GXQjWxEH7m5rgz7AOpO6xiaEm1JOomgmDRYcGnKsaJ9T+jj/GQX3UzOY&#10;Lpvb0V/nyc/sF4v5zb6U6vfa3QqEp9Z/xR/3SYf5E/j/JRwgN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8CRvwAAANsAAAAPAAAAAAAAAAAAAAAAAJgCAABkcnMvZG93bnJl&#10;di54bWxQSwUGAAAAAAQABAD1AAAAhAMAAAAA&#10;" stroked="f">
                  <v:textbox>
                    <w:txbxContent>
                      <w:p w:rsidR="006A043A" w:rsidRPr="000615E8" w:rsidRDefault="006A043A" w:rsidP="00DD193B">
                        <w:pPr>
                          <w:rPr>
                            <w:rFonts w:ascii="Arial" w:hAnsi="Arial" w:cs="Arial"/>
                            <w:sz w:val="18"/>
                            <w:szCs w:val="18"/>
                          </w:rPr>
                        </w:pPr>
                        <w:r w:rsidRPr="000615E8">
                          <w:rPr>
                            <w:rFonts w:ascii="Arial" w:hAnsi="Arial" w:cs="Arial"/>
                            <w:sz w:val="18"/>
                            <w:szCs w:val="18"/>
                          </w:rPr>
                          <w:t>199</w:t>
                        </w:r>
                        <w:r>
                          <w:rPr>
                            <w:rFonts w:ascii="Arial" w:hAnsi="Arial" w:cs="Arial"/>
                            <w:sz w:val="18"/>
                            <w:szCs w:val="18"/>
                          </w:rPr>
                          <w:t>4/95</w:t>
                        </w:r>
                      </w:p>
                    </w:txbxContent>
                  </v:textbox>
                </v:shape>
                <v:line id="Straight Connector 30" o:spid="_x0000_s1050" style="position:absolute;flip:y;visibility:visible;mso-wrap-style:square" from="8009,3657" to="8009,241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yTnsIAAADbAAAADwAAAGRycy9kb3ducmV2LnhtbERPy2rCQBTdC/2H4Ra6MxNrUUmdBBGk&#10;wYLvRZeXzG0SmrmTZqYm7dd3FoLLw3kvs8E04kqdqy0rmEQxCOLC6ppLBZfzZrwA4TyyxsYyKfgl&#10;B1n6MFpiom3PR7qefClCCLsEFVTet4mUrqjIoItsSxy4T9sZ9AF2pdQd9iHcNPI5jmfSYM2hocKW&#10;1hUVX6cfoyDPebv9483+Y3L4fvPT+n330s+VenocVq8gPA3+Lr65c61gGtaHL+EHyPQ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gyTnsIAAADbAAAADwAAAAAAAAAAAAAA&#10;AAChAgAAZHJzL2Rvd25yZXYueG1sUEsFBgAAAAAEAAQA+QAAAJADAAAAAA==&#10;" strokecolor="#4579b8 [3044]"/>
                <w10:anchorlock/>
              </v:group>
            </w:pict>
          </mc:Fallback>
        </mc:AlternateContent>
      </w:r>
    </w:p>
    <w:p w:rsidR="00DD193B" w:rsidRDefault="000B12E2" w:rsidP="00DD193B">
      <w:r>
        <w:t>If the ‘</w:t>
      </w:r>
      <w:proofErr w:type="spellStart"/>
      <w:r>
        <w:t>over</w:t>
      </w:r>
      <w:r w:rsidR="00DD193B" w:rsidRPr="00560255">
        <w:t>education</w:t>
      </w:r>
      <w:proofErr w:type="spellEnd"/>
      <w:r w:rsidR="00DD193B" w:rsidRPr="00560255">
        <w:t xml:space="preserve">’ </w:t>
      </w:r>
      <w:r w:rsidR="00DD193B">
        <w:t>scenario</w:t>
      </w:r>
      <w:r w:rsidR="00DD193B" w:rsidRPr="00560255">
        <w:t xml:space="preserve"> holds, we would expect the aggregate outcome to be closer to that shown in Figure </w:t>
      </w:r>
      <w:r w:rsidR="00DD193B">
        <w:t>4</w:t>
      </w:r>
      <w:r w:rsidR="00DD193B" w:rsidRPr="00560255">
        <w:t xml:space="preserve"> than Figure </w:t>
      </w:r>
      <w:r w:rsidR="00DD193B">
        <w:t>3</w:t>
      </w:r>
      <w:r w:rsidR="00DD193B" w:rsidRPr="00560255">
        <w:t xml:space="preserve">.  The actual change that was recorded between </w:t>
      </w:r>
      <w:r w:rsidR="00DD193B">
        <w:t xml:space="preserve">1994/95 and 2009/10 </w:t>
      </w:r>
      <w:proofErr w:type="gramStart"/>
      <w:r w:rsidR="00DD193B" w:rsidRPr="00560255">
        <w:t>is</w:t>
      </w:r>
      <w:proofErr w:type="gramEnd"/>
      <w:r w:rsidR="00DD193B" w:rsidRPr="00560255">
        <w:t xml:space="preserve"> shown in Figure </w:t>
      </w:r>
      <w:r w:rsidR="00DD193B">
        <w:t>5</w:t>
      </w:r>
      <w:r w:rsidR="00DD193B" w:rsidRPr="00560255">
        <w:t xml:space="preserve">.  </w:t>
      </w:r>
      <w:r w:rsidR="00F664B3">
        <w:t>T</w:t>
      </w:r>
      <w:r w:rsidR="00DD193B" w:rsidRPr="00560255">
        <w:t>here is a degree of ‘noise’ in these graphs associated with the lower survey numbers at the higher end of the earnings distribution</w:t>
      </w:r>
      <w:r w:rsidR="00F664B3">
        <w:t>.  To eliminate this noise, a polynomial function has been fitted to each of the graphed lines.  Inspection of the shift in these functions between 1994/5 and 2009/10</w:t>
      </w:r>
      <w:r w:rsidR="00DD193B" w:rsidRPr="00560255">
        <w:t xml:space="preserve"> reveals that the change observed lends more support to the first hypothesis</w:t>
      </w:r>
      <w:r w:rsidR="00F664B3">
        <w:t xml:space="preserve"> (Figure 3)</w:t>
      </w:r>
      <w:r w:rsidR="00DD193B" w:rsidRPr="00560255">
        <w:t xml:space="preserve">, that the graduate earnings premium </w:t>
      </w:r>
      <w:r w:rsidR="00DD193B">
        <w:t xml:space="preserve">appears to have </w:t>
      </w:r>
      <w:r w:rsidR="00DD193B" w:rsidRPr="00560255">
        <w:t xml:space="preserve">been maintained during this period of rapid expansion of the number of </w:t>
      </w:r>
      <w:r w:rsidR="00DD193B">
        <w:t xml:space="preserve">young </w:t>
      </w:r>
      <w:r w:rsidR="00DD193B" w:rsidRPr="00560255">
        <w:t>graduates in the labour market</w:t>
      </w:r>
      <w:r w:rsidR="00F664B3">
        <w:t>.</w:t>
      </w:r>
    </w:p>
    <w:p w:rsidR="0031539B" w:rsidRDefault="0031539B">
      <w:pPr>
        <w:rPr>
          <w:b/>
        </w:rPr>
      </w:pPr>
      <w:r>
        <w:rPr>
          <w:b/>
        </w:rPr>
        <w:br w:type="page"/>
      </w:r>
    </w:p>
    <w:p w:rsidR="00DD193B" w:rsidRDefault="00DD193B" w:rsidP="004E4C6C">
      <w:pPr>
        <w:spacing w:line="240" w:lineRule="auto"/>
        <w:ind w:left="1440" w:hanging="1440"/>
        <w:rPr>
          <w:b/>
        </w:rPr>
      </w:pPr>
      <w:r>
        <w:rPr>
          <w:b/>
        </w:rPr>
        <w:lastRenderedPageBreak/>
        <w:t>Figure 5:</w:t>
      </w:r>
      <w:r>
        <w:rPr>
          <w:b/>
        </w:rPr>
        <w:tab/>
      </w:r>
      <w:r w:rsidR="004E4C6C">
        <w:rPr>
          <w:b/>
        </w:rPr>
        <w:t>Graduate expansion and the c</w:t>
      </w:r>
      <w:r>
        <w:rPr>
          <w:b/>
        </w:rPr>
        <w:t>hange in the distribution of 22-34 year old graduates by earning</w:t>
      </w:r>
      <w:r w:rsidR="00B96235">
        <w:rPr>
          <w:b/>
        </w:rPr>
        <w:t>s</w:t>
      </w:r>
      <w:r>
        <w:rPr>
          <w:b/>
        </w:rPr>
        <w:t>, 1994/95 and 209/10</w:t>
      </w:r>
    </w:p>
    <w:p w:rsidR="00B96235" w:rsidRDefault="00D06AC1" w:rsidP="00AE70BF">
      <w:r>
        <w:object w:dxaOrig="16250" w:dyaOrig="117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35pt;height:325.6pt" o:ole="">
            <v:imagedata r:id="rId22" o:title=""/>
          </v:shape>
          <o:OLEObject Type="Embed" ProgID="Excel.Sheet.12" ShapeID="_x0000_i1025" DrawAspect="Content" ObjectID="_1395125524" r:id="rId23"/>
        </w:object>
      </w:r>
    </w:p>
    <w:p w:rsidR="00231863" w:rsidRPr="004137C3" w:rsidRDefault="00231863" w:rsidP="00231863">
      <w:pPr>
        <w:ind w:left="284"/>
        <w:rPr>
          <w:sz w:val="16"/>
          <w:szCs w:val="16"/>
        </w:rPr>
      </w:pPr>
      <w:r w:rsidRPr="004137C3">
        <w:rPr>
          <w:sz w:val="16"/>
          <w:szCs w:val="16"/>
        </w:rPr>
        <w:t>Source: Labour Force Surveys, composite files for 1994/95 and 2009/10</w:t>
      </w:r>
    </w:p>
    <w:p w:rsidR="00231863" w:rsidRDefault="00231863" w:rsidP="00AE70BF"/>
    <w:p w:rsidR="001C755D" w:rsidRPr="004137C3" w:rsidRDefault="00F664B3" w:rsidP="001C755D">
      <w:r>
        <w:t xml:space="preserve">To confirm this finding we present results from multivariate analyses of these same data.  </w:t>
      </w:r>
      <w:r w:rsidR="001C755D" w:rsidRPr="00FF03AB">
        <w:t>Table 4 shows the return to various qualifications, ranging from ‘O’ level certificates or equivalent (examinations taken at ages 14/15 prior to attaining the end of compulsory education), ‘A’ level qualifications or equivalent (entry level examinations for higher education, usually taken at ages 17/18), a first degree (typically started at ages 18/19 and of 3 year’s duration), other postgraduate qualifications, master’s degree</w:t>
      </w:r>
      <w:r w:rsidR="001C755D">
        <w:rPr>
          <w:i/>
        </w:rPr>
        <w:t>s</w:t>
      </w:r>
      <w:r w:rsidR="001C755D" w:rsidRPr="00FF03AB">
        <w:t xml:space="preserve"> and doctorate</w:t>
      </w:r>
      <w:r w:rsidR="001C755D">
        <w:rPr>
          <w:i/>
        </w:rPr>
        <w:t>s</w:t>
      </w:r>
      <w:r w:rsidR="001C755D" w:rsidRPr="00FF03AB">
        <w:t>.</w:t>
      </w:r>
      <w:r w:rsidR="001C755D">
        <w:rPr>
          <w:i/>
        </w:rPr>
        <w:t xml:space="preserve"> </w:t>
      </w:r>
      <w:r w:rsidR="001C755D" w:rsidRPr="00FF03AB">
        <w:t xml:space="preserve"> For each respondent the highest qualification attained in this set is coded ‘1’, ‘0’ otherwise. </w:t>
      </w:r>
      <w:r w:rsidR="001C755D">
        <w:rPr>
          <w:i/>
        </w:rPr>
        <w:t xml:space="preserve"> </w:t>
      </w:r>
      <w:r w:rsidR="001C755D" w:rsidRPr="00FF03AB">
        <w:t>Other variables included in the linear regressions on the natural logarithm of gross weekly earnings include: age (single years); age squared; gender; family structure (presence or otherwise of children in the household aged 0-1 years, 2-4 years, 5-9 years, 10-14 years; tenure in current job (&lt;1 year, 1</w:t>
      </w:r>
      <w:r w:rsidR="001C755D">
        <w:rPr>
          <w:i/>
        </w:rPr>
        <w:t xml:space="preserve"> -</w:t>
      </w:r>
      <w:r w:rsidR="001C755D" w:rsidRPr="00FF03AB">
        <w:t>&lt;</w:t>
      </w:r>
      <w:r w:rsidR="001C755D">
        <w:rPr>
          <w:i/>
        </w:rPr>
        <w:t xml:space="preserve"> </w:t>
      </w:r>
      <w:r w:rsidR="001C755D" w:rsidRPr="00FF03AB">
        <w:t>2 years, 2</w:t>
      </w:r>
      <w:r w:rsidR="001C755D">
        <w:rPr>
          <w:i/>
        </w:rPr>
        <w:t xml:space="preserve"> -</w:t>
      </w:r>
      <w:r w:rsidR="001C755D" w:rsidRPr="00FF03AB">
        <w:t>&lt;</w:t>
      </w:r>
      <w:r w:rsidR="001C755D">
        <w:rPr>
          <w:i/>
        </w:rPr>
        <w:t xml:space="preserve"> </w:t>
      </w:r>
      <w:r w:rsidR="001C755D" w:rsidRPr="00FF03AB">
        <w:t>3 years, 3</w:t>
      </w:r>
      <w:r w:rsidR="001C755D">
        <w:rPr>
          <w:i/>
        </w:rPr>
        <w:t xml:space="preserve"> -</w:t>
      </w:r>
      <w:r w:rsidR="001C755D" w:rsidRPr="00FF03AB">
        <w:t>&lt;</w:t>
      </w:r>
      <w:r w:rsidR="001C755D">
        <w:rPr>
          <w:i/>
        </w:rPr>
        <w:t xml:space="preserve"> </w:t>
      </w:r>
      <w:r w:rsidR="001C755D" w:rsidRPr="00FF03AB">
        <w:t>6 years, 6 years and over); ethnicity (White, Mixed, Asian, Black, Chinese, Other); area of residence (Inner London, Outer London, Rest of SE of England,</w:t>
      </w:r>
      <w:r w:rsidR="001C755D">
        <w:rPr>
          <w:i/>
        </w:rPr>
        <w:t xml:space="preserve"> </w:t>
      </w:r>
      <w:r w:rsidR="001C755D" w:rsidRPr="00FF03AB">
        <w:t xml:space="preserve"> Rest of UK exc. N. Ireland, N. Ireland); self-declared part-time job; </w:t>
      </w:r>
      <w:r w:rsidR="001C755D" w:rsidRPr="00FF03AB">
        <w:lastRenderedPageBreak/>
        <w:t>usual weekly hours worked (0-10, 11-20, 21-30, 31-40, 41-50, 51-60, 61+) and a dummy variable indicating whether or not the response was a proxy response</w:t>
      </w:r>
      <w:r w:rsidR="004137C3">
        <w:rPr>
          <w:rStyle w:val="FootnoteReference"/>
        </w:rPr>
        <w:footnoteReference w:id="7"/>
      </w:r>
      <w:r w:rsidR="001C755D" w:rsidRPr="00FF03AB">
        <w:t>.</w:t>
      </w:r>
    </w:p>
    <w:p w:rsidR="001C755D" w:rsidRPr="00FE271D" w:rsidRDefault="001C755D" w:rsidP="001C755D">
      <w:r w:rsidRPr="00FF03AB">
        <w:t>The upper half of Table 4 shows</w:t>
      </w:r>
      <w:r w:rsidR="00FE271D">
        <w:t>,</w:t>
      </w:r>
      <w:r w:rsidRPr="00FF03AB">
        <w:t xml:space="preserve"> for the</w:t>
      </w:r>
      <w:r w:rsidR="00FE271D">
        <w:t>se</w:t>
      </w:r>
      <w:r w:rsidRPr="00FF03AB">
        <w:t xml:space="preserve"> two time periods</w:t>
      </w:r>
      <w:r w:rsidR="00FE271D">
        <w:t>,</w:t>
      </w:r>
      <w:r w:rsidRPr="00FF03AB">
        <w:t xml:space="preserve"> the economic returns to various highest qualifications for all </w:t>
      </w:r>
      <w:r w:rsidR="00901D5C">
        <w:t>people</w:t>
      </w:r>
      <w:r w:rsidRPr="00FF03AB">
        <w:t xml:space="preserve"> aged 22 years and over, then separately for males and females</w:t>
      </w:r>
      <w:r>
        <w:rPr>
          <w:i/>
        </w:rPr>
        <w:t xml:space="preserve">.  </w:t>
      </w:r>
      <w:r w:rsidRPr="00FE271D">
        <w:t xml:space="preserve">For </w:t>
      </w:r>
      <w:r w:rsidRPr="00FF03AB">
        <w:t>each regression equation it can be seen that there is a regularity of returns with respect to the highest qualifications.</w:t>
      </w:r>
      <w:r>
        <w:rPr>
          <w:i/>
        </w:rPr>
        <w:t xml:space="preserve"> </w:t>
      </w:r>
      <w:r w:rsidRPr="00FF03AB">
        <w:t xml:space="preserve"> PhDs command the highest return, followed by Masters </w:t>
      </w:r>
      <w:proofErr w:type="gramStart"/>
      <w:r w:rsidRPr="00FF03AB">
        <w:t>degree</w:t>
      </w:r>
      <w:r>
        <w:rPr>
          <w:i/>
        </w:rPr>
        <w:t>s</w:t>
      </w:r>
      <w:proofErr w:type="gramEnd"/>
      <w:r w:rsidRPr="00FF03AB">
        <w:t>, other postgraduate qualifications, first degrees, ‘A’ and then ‘O’ level</w:t>
      </w:r>
      <w:r>
        <w:rPr>
          <w:i/>
        </w:rPr>
        <w:t xml:space="preserve"> </w:t>
      </w:r>
      <w:r w:rsidRPr="00FE271D">
        <w:t>qualifications.</w:t>
      </w:r>
      <w:r>
        <w:rPr>
          <w:i/>
        </w:rPr>
        <w:t xml:space="preserve"> </w:t>
      </w:r>
      <w:r w:rsidRPr="00FF03AB">
        <w:t xml:space="preserve"> Contrasting the coefficient on the variable </w:t>
      </w:r>
      <w:r w:rsidRPr="00FE271D">
        <w:rPr>
          <w:i/>
        </w:rPr>
        <w:t>‘A’ level or equivalent is highest qualification</w:t>
      </w:r>
      <w:r w:rsidRPr="00FF03AB">
        <w:t xml:space="preserve"> with the coefficient on </w:t>
      </w:r>
      <w:r w:rsidRPr="00FE271D">
        <w:rPr>
          <w:i/>
        </w:rPr>
        <w:t>First degree is highest qualification</w:t>
      </w:r>
      <w:r w:rsidRPr="00FF03AB">
        <w:t xml:space="preserve"> gives an estimate of the mean economic return associated with a first </w:t>
      </w:r>
      <w:r w:rsidRPr="00FE271D">
        <w:t>degree relative</w:t>
      </w:r>
      <w:r>
        <w:rPr>
          <w:i/>
        </w:rPr>
        <w:t xml:space="preserve"> to</w:t>
      </w:r>
      <w:r w:rsidRPr="00FF03AB">
        <w:t xml:space="preserve"> ‘A’ levels, controlling for the effect of </w:t>
      </w:r>
      <w:r w:rsidRPr="00FE271D">
        <w:t xml:space="preserve">all </w:t>
      </w:r>
      <w:r w:rsidRPr="00FF03AB">
        <w:t>other variables included in the regression equation</w:t>
      </w:r>
      <w:r w:rsidRPr="00FE271D">
        <w:t>.</w:t>
      </w:r>
    </w:p>
    <w:p w:rsidR="001C755D" w:rsidRPr="00FF03AB" w:rsidRDefault="001C755D" w:rsidP="001C755D">
      <w:pPr>
        <w:rPr>
          <w:i/>
        </w:rPr>
      </w:pPr>
      <w:r w:rsidRPr="00FF03AB">
        <w:t xml:space="preserve">Looking first at all </w:t>
      </w:r>
      <w:r w:rsidR="00901D5C">
        <w:t>people</w:t>
      </w:r>
      <w:r w:rsidRPr="00FF03AB">
        <w:t xml:space="preserve"> aged over 22 years in 1994/5 and 2009/10, we note that the earnings premium for a first degree compared with ‘A’ levels has risen from 25 per cent to 31 per cent.</w:t>
      </w:r>
      <w:r>
        <w:rPr>
          <w:i/>
        </w:rPr>
        <w:t xml:space="preserve"> </w:t>
      </w:r>
      <w:r w:rsidRPr="00FF03AB">
        <w:t xml:space="preserve"> Examination of these changes shows that both </w:t>
      </w:r>
      <w:r w:rsidRPr="00FE271D">
        <w:t>men and women</w:t>
      </w:r>
      <w:r>
        <w:rPr>
          <w:i/>
        </w:rPr>
        <w:t xml:space="preserve"> </w:t>
      </w:r>
      <w:r w:rsidRPr="00FF03AB">
        <w:t>have experienced this increase, men more so than women.</w:t>
      </w:r>
    </w:p>
    <w:p w:rsidR="001C755D" w:rsidRDefault="001C755D" w:rsidP="001C755D">
      <w:r w:rsidRPr="00FF03AB">
        <w:t xml:space="preserve">The lower part of Table 4 shows the results for 22-34 year olds in both periods </w:t>
      </w:r>
      <w:r>
        <w:rPr>
          <w:i/>
        </w:rPr>
        <w:t>–</w:t>
      </w:r>
      <w:r w:rsidRPr="00FF03AB">
        <w:t xml:space="preserve"> the age range in which the bulk of the increase in graduates in employment is concentrated.</w:t>
      </w:r>
      <w:r>
        <w:rPr>
          <w:i/>
        </w:rPr>
        <w:t xml:space="preserve"> </w:t>
      </w:r>
      <w:r w:rsidRPr="00FF03AB">
        <w:t xml:space="preserve"> Here we note a similar, though less marked increase in the graduate earnings premium.</w:t>
      </w:r>
      <w:r>
        <w:rPr>
          <w:i/>
        </w:rPr>
        <w:t xml:space="preserve"> </w:t>
      </w:r>
      <w:r w:rsidRPr="00FF03AB">
        <w:t xml:space="preserve"> For men and women combined, the earnings premium grows from 20 per cent in 1994/95 to 23 per cent in 2009/10. </w:t>
      </w:r>
      <w:r>
        <w:rPr>
          <w:i/>
        </w:rPr>
        <w:t xml:space="preserve"> </w:t>
      </w:r>
      <w:r w:rsidRPr="00FF03AB">
        <w:t>The increase for young men is from 15 per cent to 19 per cent and for young women from 24 to 26 per cent.</w:t>
      </w:r>
      <w:r>
        <w:rPr>
          <w:i/>
        </w:rPr>
        <w:t xml:space="preserve">  </w:t>
      </w:r>
      <w:r w:rsidRPr="00FF03AB">
        <w:t xml:space="preserve">These findings </w:t>
      </w:r>
      <w:r w:rsidRPr="00FE271D">
        <w:t>accord with the information in Figure 5 – the upward shift in the curve depicting the increasing proportion of graduates at all points in the earnings distribution</w:t>
      </w:r>
      <w:r>
        <w:rPr>
          <w:i/>
        </w:rPr>
        <w:t xml:space="preserve"> </w:t>
      </w:r>
      <w:r w:rsidRPr="00FF03AB">
        <w:t>and the anticlockwise rotation revealing that</w:t>
      </w:r>
      <w:r w:rsidR="00FE271D">
        <w:t>, in 2009/10,</w:t>
      </w:r>
      <w:r w:rsidRPr="00FF03AB">
        <w:t xml:space="preserve"> more </w:t>
      </w:r>
      <w:r w:rsidR="00FE271D">
        <w:t xml:space="preserve">young </w:t>
      </w:r>
      <w:r w:rsidRPr="00FF03AB">
        <w:t xml:space="preserve">graduates </w:t>
      </w:r>
      <w:r w:rsidR="00FE271D">
        <w:t>were in jobs with gross weekly pay</w:t>
      </w:r>
      <w:r w:rsidRPr="00FF03AB">
        <w:t xml:space="preserve"> at the higher end of the earnings distribution than at the lower</w:t>
      </w:r>
      <w:r w:rsidR="00725ED8">
        <w:t xml:space="preserve"> end</w:t>
      </w:r>
      <w:r w:rsidR="007E5C68">
        <w:t xml:space="preserve"> than was the situation in 1994/95</w:t>
      </w:r>
      <w:r w:rsidRPr="00FF03AB">
        <w:t>.</w:t>
      </w:r>
    </w:p>
    <w:p w:rsidR="00725ED8" w:rsidRPr="00FF03AB" w:rsidRDefault="00725ED8" w:rsidP="00725ED8">
      <w:pPr>
        <w:rPr>
          <w:i/>
        </w:rPr>
      </w:pPr>
      <w:r w:rsidRPr="00FF03AB">
        <w:t xml:space="preserve">Table 5 examines in more detail the return to higher education qualifications by subject studied. This analysis could not be restricted to the 22-34 age </w:t>
      </w:r>
      <w:proofErr w:type="gramStart"/>
      <w:r w:rsidRPr="00FF03AB">
        <w:t>group</w:t>
      </w:r>
      <w:proofErr w:type="gramEnd"/>
      <w:r w:rsidRPr="00FF03AB">
        <w:t xml:space="preserve"> because of sample size limitations. </w:t>
      </w:r>
      <w:r>
        <w:rPr>
          <w:i/>
        </w:rPr>
        <w:t xml:space="preserve"> </w:t>
      </w:r>
      <w:r w:rsidRPr="00FF03AB">
        <w:t xml:space="preserve">The results shown in Table 5 relate to all employed </w:t>
      </w:r>
      <w:r w:rsidR="00901D5C">
        <w:t>people</w:t>
      </w:r>
      <w:r w:rsidRPr="00FF03AB">
        <w:t xml:space="preserve"> aged 22 years and older in 1994/95 and 2009/10.</w:t>
      </w:r>
    </w:p>
    <w:p w:rsidR="00725ED8" w:rsidRPr="00FF03AB" w:rsidRDefault="00725ED8" w:rsidP="00725ED8">
      <w:pPr>
        <w:rPr>
          <w:i/>
        </w:rPr>
      </w:pPr>
      <w:r w:rsidRPr="00FF03AB">
        <w:t xml:space="preserve">For those who hold a PhD as their highest qualification, the economic return has increased for PhDs in </w:t>
      </w:r>
      <w:r w:rsidRPr="00725ED8">
        <w:rPr>
          <w:i/>
        </w:rPr>
        <w:t>medicine and related subjects</w:t>
      </w:r>
      <w:r w:rsidRPr="00FF03AB">
        <w:t xml:space="preserve"> and declined significantly for those with a PhD in </w:t>
      </w:r>
      <w:r w:rsidRPr="00725ED8">
        <w:rPr>
          <w:i/>
        </w:rPr>
        <w:t>education.</w:t>
      </w:r>
      <w:r>
        <w:rPr>
          <w:i/>
        </w:rPr>
        <w:t xml:space="preserve">  </w:t>
      </w:r>
      <w:r w:rsidRPr="00FF03AB">
        <w:t xml:space="preserve">For those who hold Master’s degrees and other postgraduate qualifications, the returns to such </w:t>
      </w:r>
      <w:r w:rsidRPr="00725ED8">
        <w:t>qualifications in all of the subject groups</w:t>
      </w:r>
      <w:r>
        <w:rPr>
          <w:i/>
        </w:rPr>
        <w:t xml:space="preserve"> </w:t>
      </w:r>
      <w:r w:rsidRPr="00FF03AB">
        <w:t xml:space="preserve">change very little between these two periods. </w:t>
      </w:r>
      <w:r>
        <w:rPr>
          <w:i/>
        </w:rPr>
        <w:t xml:space="preserve"> </w:t>
      </w:r>
      <w:r w:rsidRPr="00FF03AB">
        <w:t xml:space="preserve">Again, </w:t>
      </w:r>
      <w:r w:rsidRPr="00725ED8">
        <w:rPr>
          <w:i/>
        </w:rPr>
        <w:t>medicine and related subjects</w:t>
      </w:r>
      <w:r w:rsidRPr="00FF03AB">
        <w:t xml:space="preserve"> command the highest economic return.</w:t>
      </w:r>
    </w:p>
    <w:p w:rsidR="00725ED8" w:rsidRPr="004137C3" w:rsidRDefault="00725ED8" w:rsidP="00725ED8">
      <w:r w:rsidRPr="00725ED8">
        <w:t>Where the highest qualification held is a first degree</w:t>
      </w:r>
      <w:r>
        <w:rPr>
          <w:i/>
        </w:rPr>
        <w:t>,</w:t>
      </w:r>
      <w:r w:rsidRPr="00FF03AB">
        <w:t xml:space="preserve"> subjects such as </w:t>
      </w:r>
      <w:r w:rsidRPr="00725ED8">
        <w:rPr>
          <w:i/>
        </w:rPr>
        <w:t>medicine, nursing, sciences, maths, computing, engineering and technology</w:t>
      </w:r>
      <w:r w:rsidRPr="00FF03AB">
        <w:t xml:space="preserve"> show reasonably high and stable rates of return in each period.</w:t>
      </w:r>
      <w:r>
        <w:rPr>
          <w:i/>
        </w:rPr>
        <w:t xml:space="preserve"> </w:t>
      </w:r>
      <w:r w:rsidRPr="00FF03AB">
        <w:t xml:space="preserve"> </w:t>
      </w:r>
      <w:r w:rsidRPr="00725ED8">
        <w:rPr>
          <w:i/>
        </w:rPr>
        <w:t>Bio sciences and agricultural subjects</w:t>
      </w:r>
      <w:r w:rsidRPr="00FF03AB">
        <w:t xml:space="preserve"> have a lower rate of return, falling somewhat in the more recent period.</w:t>
      </w:r>
      <w:r>
        <w:rPr>
          <w:i/>
        </w:rPr>
        <w:t xml:space="preserve"> </w:t>
      </w:r>
      <w:r w:rsidRPr="00FF03AB">
        <w:t xml:space="preserve"> </w:t>
      </w:r>
      <w:r w:rsidRPr="004C105D">
        <w:rPr>
          <w:i/>
        </w:rPr>
        <w:t>Social science, business administration and library subjects</w:t>
      </w:r>
      <w:r w:rsidRPr="00FF03AB">
        <w:t xml:space="preserve"> show reasonable rates of return (25-30% higher than ‘A’ levels) but again these </w:t>
      </w:r>
      <w:r>
        <w:t xml:space="preserve">returns </w:t>
      </w:r>
      <w:r w:rsidRPr="00FF03AB">
        <w:t xml:space="preserve">decline slightly in the later </w:t>
      </w:r>
      <w:r w:rsidRPr="00FF03AB">
        <w:lastRenderedPageBreak/>
        <w:t>period.</w:t>
      </w:r>
      <w:r>
        <w:rPr>
          <w:i/>
        </w:rPr>
        <w:t xml:space="preserve"> </w:t>
      </w:r>
      <w:r w:rsidRPr="00FF03AB">
        <w:t xml:space="preserve"> </w:t>
      </w:r>
      <w:r w:rsidRPr="004C105D">
        <w:t>Arts degrees</w:t>
      </w:r>
      <w:r w:rsidRPr="00FF03AB">
        <w:t xml:space="preserve"> show the lowest economic return, falling considerably over the fifteen year</w:t>
      </w:r>
      <w:r>
        <w:t xml:space="preserve"> period</w:t>
      </w:r>
      <w:r w:rsidRPr="00FF03AB">
        <w:t>.</w:t>
      </w:r>
    </w:p>
    <w:p w:rsidR="00725ED8" w:rsidRPr="00725ED8" w:rsidRDefault="00725ED8" w:rsidP="004137C3">
      <w:pPr>
        <w:ind w:left="142" w:hanging="284"/>
      </w:pPr>
    </w:p>
    <w:p w:rsidR="004137C3" w:rsidRDefault="004137C3" w:rsidP="004137C3">
      <w:pPr>
        <w:tabs>
          <w:tab w:val="left" w:pos="1418"/>
        </w:tabs>
        <w:spacing w:after="0" w:line="240" w:lineRule="auto"/>
        <w:ind w:left="142" w:hanging="284"/>
        <w:rPr>
          <w:b/>
        </w:rPr>
      </w:pPr>
    </w:p>
    <w:p w:rsidR="004137C3" w:rsidRDefault="004137C3" w:rsidP="004137C3">
      <w:pPr>
        <w:tabs>
          <w:tab w:val="left" w:pos="1418"/>
        </w:tabs>
        <w:spacing w:after="0" w:line="240" w:lineRule="auto"/>
        <w:ind w:left="142" w:hanging="284"/>
        <w:rPr>
          <w:b/>
        </w:rPr>
      </w:pPr>
    </w:p>
    <w:p w:rsidR="004137C3" w:rsidRDefault="004137C3">
      <w:pPr>
        <w:rPr>
          <w:b/>
        </w:rPr>
      </w:pPr>
      <w:r>
        <w:rPr>
          <w:b/>
        </w:rPr>
        <w:br w:type="page"/>
      </w:r>
    </w:p>
    <w:p w:rsidR="00B96235" w:rsidRPr="00B96235" w:rsidRDefault="00B96235" w:rsidP="00B96235">
      <w:pPr>
        <w:tabs>
          <w:tab w:val="left" w:pos="1418"/>
        </w:tabs>
        <w:spacing w:after="0" w:line="240" w:lineRule="auto"/>
        <w:ind w:hanging="284"/>
        <w:rPr>
          <w:b/>
        </w:rPr>
      </w:pPr>
      <w:r>
        <w:rPr>
          <w:b/>
        </w:rPr>
        <w:lastRenderedPageBreak/>
        <w:t>Table 4:</w:t>
      </w:r>
      <w:r>
        <w:rPr>
          <w:b/>
        </w:rPr>
        <w:tab/>
        <w:t>Earnings and qualifications, by age groups and gender 1994/95 and 2009/10</w:t>
      </w:r>
    </w:p>
    <w:p w:rsidR="00B96235" w:rsidRDefault="00B96235" w:rsidP="00B96235">
      <w:pPr>
        <w:spacing w:after="0" w:line="240" w:lineRule="auto"/>
        <w:ind w:hanging="284"/>
        <w:rPr>
          <w:sz w:val="18"/>
          <w:szCs w:val="18"/>
        </w:rPr>
      </w:pPr>
    </w:p>
    <w:tbl>
      <w:tblPr>
        <w:tblW w:w="9923" w:type="dxa"/>
        <w:tblInd w:w="-176" w:type="dxa"/>
        <w:tblLayout w:type="fixed"/>
        <w:tblLook w:val="04A0" w:firstRow="1" w:lastRow="0" w:firstColumn="1" w:lastColumn="0" w:noHBand="0" w:noVBand="1"/>
      </w:tblPr>
      <w:tblGrid>
        <w:gridCol w:w="2694"/>
        <w:gridCol w:w="1276"/>
        <w:gridCol w:w="1134"/>
        <w:gridCol w:w="283"/>
        <w:gridCol w:w="993"/>
        <w:gridCol w:w="567"/>
        <w:gridCol w:w="567"/>
        <w:gridCol w:w="283"/>
        <w:gridCol w:w="851"/>
        <w:gridCol w:w="1275"/>
      </w:tblGrid>
      <w:tr w:rsidR="00B96235" w:rsidRPr="00344AFA" w:rsidTr="00B96235">
        <w:trPr>
          <w:trHeight w:val="288"/>
        </w:trPr>
        <w:tc>
          <w:tcPr>
            <w:tcW w:w="2694" w:type="dxa"/>
            <w:tcBorders>
              <w:top w:val="single" w:sz="4" w:space="0" w:color="auto"/>
              <w:left w:val="nil"/>
              <w:right w:val="nil"/>
            </w:tcBorders>
            <w:shd w:val="clear" w:color="auto" w:fill="auto"/>
            <w:noWrap/>
            <w:vAlign w:val="center"/>
            <w:hideMark/>
          </w:tcPr>
          <w:p w:rsidR="00B96235" w:rsidRPr="00B96235" w:rsidRDefault="00B96235" w:rsidP="00B96235">
            <w:pPr>
              <w:spacing w:after="0" w:line="240" w:lineRule="auto"/>
              <w:rPr>
                <w:rFonts w:ascii="Calibri" w:eastAsia="Times New Roman" w:hAnsi="Calibri" w:cs="Calibri"/>
                <w:b/>
                <w:color w:val="000000"/>
                <w:sz w:val="20"/>
                <w:szCs w:val="20"/>
              </w:rPr>
            </w:pPr>
            <w:r w:rsidRPr="00B96235">
              <w:rPr>
                <w:rFonts w:ascii="Calibri" w:eastAsia="Times New Roman" w:hAnsi="Calibri" w:cs="Calibri"/>
                <w:b/>
                <w:color w:val="000000"/>
                <w:sz w:val="20"/>
                <w:szCs w:val="20"/>
              </w:rPr>
              <w:t>1994/95</w:t>
            </w:r>
          </w:p>
        </w:tc>
        <w:tc>
          <w:tcPr>
            <w:tcW w:w="2693" w:type="dxa"/>
            <w:gridSpan w:val="3"/>
            <w:tcBorders>
              <w:top w:val="single" w:sz="4" w:space="0" w:color="auto"/>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b/>
                <w:color w:val="000000"/>
                <w:sz w:val="20"/>
                <w:szCs w:val="20"/>
              </w:rPr>
            </w:pPr>
            <w:r w:rsidRPr="00B96235">
              <w:rPr>
                <w:rFonts w:ascii="Calibri" w:eastAsia="Times New Roman" w:hAnsi="Calibri" w:cs="Calibri"/>
                <w:b/>
                <w:color w:val="000000"/>
                <w:sz w:val="20"/>
                <w:szCs w:val="20"/>
              </w:rPr>
              <w:t>All ages (22 and over), men and women</w:t>
            </w:r>
          </w:p>
        </w:tc>
        <w:tc>
          <w:tcPr>
            <w:tcW w:w="2127" w:type="dxa"/>
            <w:gridSpan w:val="3"/>
            <w:tcBorders>
              <w:top w:val="single" w:sz="4" w:space="0" w:color="auto"/>
              <w:left w:val="nil"/>
              <w:bottom w:val="single" w:sz="4" w:space="0" w:color="auto"/>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b/>
                <w:color w:val="000000"/>
                <w:sz w:val="20"/>
                <w:szCs w:val="20"/>
              </w:rPr>
            </w:pPr>
            <w:r w:rsidRPr="00B96235">
              <w:rPr>
                <w:rFonts w:ascii="Calibri" w:eastAsia="Times New Roman" w:hAnsi="Calibri" w:cs="Calibri"/>
                <w:b/>
                <w:color w:val="000000"/>
                <w:sz w:val="20"/>
                <w:szCs w:val="20"/>
              </w:rPr>
              <w:t>Men (22 and over)</w:t>
            </w:r>
          </w:p>
        </w:tc>
        <w:tc>
          <w:tcPr>
            <w:tcW w:w="283" w:type="dxa"/>
            <w:tcBorders>
              <w:top w:val="single" w:sz="4" w:space="0" w:color="auto"/>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b/>
                <w:color w:val="000000"/>
                <w:sz w:val="20"/>
                <w:szCs w:val="20"/>
              </w:rPr>
            </w:pPr>
          </w:p>
        </w:tc>
        <w:tc>
          <w:tcPr>
            <w:tcW w:w="2126" w:type="dxa"/>
            <w:gridSpan w:val="2"/>
            <w:tcBorders>
              <w:top w:val="single" w:sz="4" w:space="0" w:color="auto"/>
              <w:left w:val="nil"/>
              <w:bottom w:val="single" w:sz="4" w:space="0" w:color="auto"/>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b/>
                <w:color w:val="000000"/>
                <w:sz w:val="20"/>
                <w:szCs w:val="20"/>
              </w:rPr>
            </w:pPr>
            <w:r w:rsidRPr="00B96235">
              <w:rPr>
                <w:rFonts w:ascii="Calibri" w:eastAsia="Times New Roman" w:hAnsi="Calibri" w:cs="Calibri"/>
                <w:b/>
                <w:color w:val="000000"/>
                <w:sz w:val="20"/>
                <w:szCs w:val="20"/>
              </w:rPr>
              <w:t>Women (22 and over)</w:t>
            </w:r>
          </w:p>
        </w:tc>
      </w:tr>
      <w:tr w:rsidR="00B96235" w:rsidRPr="00A30284" w:rsidTr="00B96235">
        <w:trPr>
          <w:trHeight w:val="68"/>
        </w:trPr>
        <w:tc>
          <w:tcPr>
            <w:tcW w:w="2694" w:type="dxa"/>
            <w:tcBorders>
              <w:top w:val="nil"/>
              <w:left w:val="nil"/>
              <w:bottom w:val="single" w:sz="4" w:space="0" w:color="auto"/>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1276" w:type="dxa"/>
            <w:tcBorders>
              <w:top w:val="single" w:sz="4" w:space="0" w:color="auto"/>
              <w:left w:val="nil"/>
              <w:bottom w:val="single" w:sz="4" w:space="0" w:color="auto"/>
              <w:right w:val="nil"/>
            </w:tcBorders>
            <w:shd w:val="clear" w:color="auto" w:fill="auto"/>
            <w:vAlign w:val="center"/>
          </w:tcPr>
          <w:p w:rsidR="00B96235" w:rsidRPr="00B96235" w:rsidRDefault="00B96235" w:rsidP="00B96235">
            <w:pPr>
              <w:spacing w:after="0" w:line="240" w:lineRule="auto"/>
              <w:jc w:val="center"/>
              <w:rPr>
                <w:rFonts w:ascii="Calibri" w:eastAsia="Times New Roman" w:hAnsi="Calibri" w:cs="Calibri"/>
                <w:color w:val="000000"/>
                <w:sz w:val="20"/>
                <w:szCs w:val="20"/>
              </w:rPr>
            </w:pPr>
            <w:proofErr w:type="spellStart"/>
            <w:r w:rsidRPr="00B96235">
              <w:rPr>
                <w:rFonts w:ascii="Calibri" w:eastAsia="Times New Roman" w:hAnsi="Calibri" w:cs="Calibri"/>
                <w:color w:val="000000"/>
                <w:sz w:val="20"/>
                <w:szCs w:val="20"/>
              </w:rPr>
              <w:t>Coeff</w:t>
            </w:r>
            <w:proofErr w:type="spellEnd"/>
            <w:r w:rsidRPr="00B96235">
              <w:rPr>
                <w:rFonts w:ascii="Calibri" w:eastAsia="Times New Roman" w:hAnsi="Calibri" w:cs="Calibri"/>
                <w:color w:val="000000"/>
                <w:sz w:val="20"/>
                <w:szCs w:val="20"/>
              </w:rPr>
              <w:t>.</w:t>
            </w:r>
          </w:p>
        </w:tc>
        <w:tc>
          <w:tcPr>
            <w:tcW w:w="1134" w:type="dxa"/>
            <w:tcBorders>
              <w:top w:val="single" w:sz="4" w:space="0" w:color="auto"/>
              <w:left w:val="nil"/>
              <w:bottom w:val="single" w:sz="4" w:space="0" w:color="auto"/>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Std. error</w:t>
            </w:r>
          </w:p>
        </w:tc>
        <w:tc>
          <w:tcPr>
            <w:tcW w:w="283" w:type="dxa"/>
            <w:tcBorders>
              <w:top w:val="nil"/>
              <w:left w:val="nil"/>
              <w:bottom w:val="nil"/>
              <w:right w:val="nil"/>
            </w:tcBorders>
            <w:shd w:val="clear" w:color="auto" w:fill="auto"/>
            <w:vAlign w:val="center"/>
          </w:tcPr>
          <w:p w:rsidR="00B96235" w:rsidRPr="00B96235" w:rsidRDefault="00B96235" w:rsidP="00B96235">
            <w:pPr>
              <w:spacing w:after="0" w:line="240" w:lineRule="auto"/>
              <w:jc w:val="center"/>
              <w:rPr>
                <w:rFonts w:ascii="Calibri" w:eastAsia="Times New Roman" w:hAnsi="Calibri" w:cs="Calibri"/>
                <w:i/>
                <w:color w:val="000000"/>
                <w:sz w:val="20"/>
                <w:szCs w:val="20"/>
              </w:rPr>
            </w:pPr>
          </w:p>
        </w:tc>
        <w:tc>
          <w:tcPr>
            <w:tcW w:w="993" w:type="dxa"/>
            <w:tcBorders>
              <w:top w:val="single" w:sz="4" w:space="0" w:color="auto"/>
              <w:left w:val="nil"/>
              <w:bottom w:val="single" w:sz="4" w:space="0" w:color="auto"/>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roofErr w:type="spellStart"/>
            <w:r w:rsidRPr="00B96235">
              <w:rPr>
                <w:rFonts w:ascii="Calibri" w:eastAsia="Times New Roman" w:hAnsi="Calibri" w:cs="Calibri"/>
                <w:color w:val="000000"/>
                <w:sz w:val="20"/>
                <w:szCs w:val="20"/>
              </w:rPr>
              <w:t>Coeff</w:t>
            </w:r>
            <w:proofErr w:type="spellEnd"/>
            <w:r w:rsidRPr="00B96235">
              <w:rPr>
                <w:rFonts w:ascii="Calibri" w:eastAsia="Times New Roman" w:hAnsi="Calibri" w:cs="Calibri"/>
                <w:color w:val="000000"/>
                <w:sz w:val="20"/>
                <w:szCs w:val="20"/>
              </w:rPr>
              <w:t>.</w:t>
            </w:r>
          </w:p>
        </w:tc>
        <w:tc>
          <w:tcPr>
            <w:tcW w:w="1134" w:type="dxa"/>
            <w:gridSpan w:val="2"/>
            <w:tcBorders>
              <w:top w:val="single" w:sz="4" w:space="0" w:color="auto"/>
              <w:left w:val="nil"/>
              <w:bottom w:val="single" w:sz="4" w:space="0" w:color="auto"/>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Std. error</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p>
        </w:tc>
        <w:tc>
          <w:tcPr>
            <w:tcW w:w="851" w:type="dxa"/>
            <w:tcBorders>
              <w:top w:val="single" w:sz="4" w:space="0" w:color="auto"/>
              <w:left w:val="nil"/>
              <w:bottom w:val="single" w:sz="4" w:space="0" w:color="auto"/>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roofErr w:type="spellStart"/>
            <w:r w:rsidRPr="00B96235">
              <w:rPr>
                <w:rFonts w:ascii="Calibri" w:eastAsia="Times New Roman" w:hAnsi="Calibri" w:cs="Calibri"/>
                <w:color w:val="000000"/>
                <w:sz w:val="20"/>
                <w:szCs w:val="20"/>
              </w:rPr>
              <w:t>Coeff</w:t>
            </w:r>
            <w:proofErr w:type="spellEnd"/>
            <w:r w:rsidRPr="00B96235">
              <w:rPr>
                <w:rFonts w:ascii="Calibri" w:eastAsia="Times New Roman" w:hAnsi="Calibri" w:cs="Calibri"/>
                <w:color w:val="000000"/>
                <w:sz w:val="20"/>
                <w:szCs w:val="20"/>
              </w:rPr>
              <w:t>.</w:t>
            </w:r>
          </w:p>
        </w:tc>
        <w:tc>
          <w:tcPr>
            <w:tcW w:w="1275" w:type="dxa"/>
            <w:tcBorders>
              <w:top w:val="single" w:sz="4" w:space="0" w:color="auto"/>
              <w:left w:val="nil"/>
              <w:bottom w:val="single" w:sz="4" w:space="0" w:color="auto"/>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Std. error</w:t>
            </w:r>
          </w:p>
        </w:tc>
      </w:tr>
      <w:tr w:rsidR="00B96235" w:rsidRPr="00A30284" w:rsidTr="00B96235">
        <w:trPr>
          <w:trHeight w:val="196"/>
        </w:trPr>
        <w:tc>
          <w:tcPr>
            <w:tcW w:w="2694" w:type="dxa"/>
            <w:tcBorders>
              <w:top w:val="single" w:sz="4" w:space="0" w:color="auto"/>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Highest qualification:</w:t>
            </w:r>
          </w:p>
        </w:tc>
        <w:tc>
          <w:tcPr>
            <w:tcW w:w="1276" w:type="dxa"/>
            <w:tcBorders>
              <w:top w:val="single" w:sz="4" w:space="0" w:color="auto"/>
              <w:left w:val="nil"/>
              <w:bottom w:val="nil"/>
              <w:right w:val="nil"/>
            </w:tcBorders>
            <w:shd w:val="clear" w:color="auto" w:fill="auto"/>
            <w:noWrap/>
            <w:vAlign w:val="center"/>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1134" w:type="dxa"/>
            <w:tcBorders>
              <w:top w:val="single" w:sz="4" w:space="0" w:color="auto"/>
              <w:left w:val="nil"/>
              <w:bottom w:val="nil"/>
              <w:right w:val="nil"/>
            </w:tcBorders>
            <w:shd w:val="clear" w:color="auto" w:fill="auto"/>
            <w:noWrap/>
            <w:vAlign w:val="center"/>
          </w:tcPr>
          <w:p w:rsidR="00B96235" w:rsidRPr="00B96235" w:rsidRDefault="00B96235" w:rsidP="00B96235">
            <w:pPr>
              <w:spacing w:after="0" w:line="240" w:lineRule="auto"/>
              <w:jc w:val="center"/>
              <w:rPr>
                <w:rFonts w:ascii="Calibri" w:eastAsia="Times New Roman" w:hAnsi="Calibri" w:cs="Calibri"/>
                <w:i/>
                <w:color w:val="000000"/>
                <w:sz w:val="20"/>
                <w:szCs w:val="20"/>
              </w:rPr>
            </w:pPr>
          </w:p>
        </w:tc>
        <w:tc>
          <w:tcPr>
            <w:tcW w:w="283" w:type="dxa"/>
            <w:tcBorders>
              <w:top w:val="single" w:sz="4" w:space="0" w:color="auto"/>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993" w:type="dxa"/>
            <w:tcBorders>
              <w:top w:val="single" w:sz="4" w:space="0" w:color="auto"/>
              <w:left w:val="nil"/>
              <w:bottom w:val="nil"/>
              <w:right w:val="nil"/>
            </w:tcBorders>
            <w:shd w:val="clear" w:color="auto" w:fill="auto"/>
            <w:noWrap/>
            <w:vAlign w:val="center"/>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1134" w:type="dxa"/>
            <w:gridSpan w:val="2"/>
            <w:tcBorders>
              <w:top w:val="single" w:sz="4" w:space="0" w:color="auto"/>
              <w:left w:val="nil"/>
              <w:bottom w:val="nil"/>
              <w:right w:val="nil"/>
            </w:tcBorders>
            <w:shd w:val="clear" w:color="auto" w:fill="auto"/>
            <w:noWrap/>
            <w:vAlign w:val="center"/>
          </w:tcPr>
          <w:p w:rsidR="00B96235" w:rsidRPr="00B96235" w:rsidRDefault="00B96235" w:rsidP="00B96235">
            <w:pPr>
              <w:spacing w:after="0" w:line="240" w:lineRule="auto"/>
              <w:jc w:val="center"/>
              <w:rPr>
                <w:rFonts w:ascii="Calibri" w:eastAsia="Times New Roman" w:hAnsi="Calibri" w:cs="Calibri"/>
                <w:i/>
                <w:color w:val="000000"/>
                <w:sz w:val="20"/>
                <w:szCs w:val="20"/>
              </w:rPr>
            </w:pPr>
          </w:p>
        </w:tc>
        <w:tc>
          <w:tcPr>
            <w:tcW w:w="283" w:type="dxa"/>
            <w:tcBorders>
              <w:top w:val="single" w:sz="4" w:space="0" w:color="auto"/>
              <w:left w:val="nil"/>
              <w:bottom w:val="nil"/>
              <w:right w:val="nil"/>
            </w:tcBorders>
            <w:shd w:val="clear" w:color="auto" w:fill="auto"/>
            <w:noWrap/>
            <w:vAlign w:val="center"/>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single" w:sz="4" w:space="0" w:color="auto"/>
              <w:left w:val="nil"/>
              <w:bottom w:val="nil"/>
              <w:right w:val="nil"/>
            </w:tcBorders>
            <w:shd w:val="clear" w:color="auto" w:fill="auto"/>
            <w:noWrap/>
            <w:vAlign w:val="center"/>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1275" w:type="dxa"/>
            <w:tcBorders>
              <w:top w:val="single" w:sz="4" w:space="0" w:color="auto"/>
              <w:left w:val="nil"/>
              <w:bottom w:val="nil"/>
              <w:right w:val="nil"/>
            </w:tcBorders>
            <w:shd w:val="clear" w:color="auto" w:fill="auto"/>
            <w:noWrap/>
            <w:vAlign w:val="center"/>
          </w:tcPr>
          <w:p w:rsidR="00B96235" w:rsidRPr="00B96235" w:rsidRDefault="00B96235" w:rsidP="00B96235">
            <w:pPr>
              <w:spacing w:after="0" w:line="240" w:lineRule="auto"/>
              <w:jc w:val="center"/>
              <w:rPr>
                <w:rFonts w:ascii="Calibri" w:eastAsia="Times New Roman" w:hAnsi="Calibri" w:cs="Calibri"/>
                <w:i/>
                <w:color w:val="000000"/>
                <w:sz w:val="20"/>
                <w:szCs w:val="20"/>
              </w:rPr>
            </w:pPr>
          </w:p>
        </w:tc>
      </w:tr>
      <w:tr w:rsidR="00B96235" w:rsidRPr="00A30284" w:rsidTr="00B96235">
        <w:trPr>
          <w:trHeight w:val="196"/>
        </w:trPr>
        <w:tc>
          <w:tcPr>
            <w:tcW w:w="2694" w:type="dxa"/>
            <w:tcBorders>
              <w:top w:val="nil"/>
              <w:left w:val="nil"/>
              <w:bottom w:val="nil"/>
              <w:right w:val="nil"/>
            </w:tcBorders>
            <w:shd w:val="clear" w:color="auto" w:fill="auto"/>
            <w:noWrap/>
            <w:vAlign w:val="center"/>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PhD</w:t>
            </w:r>
          </w:p>
        </w:tc>
        <w:tc>
          <w:tcPr>
            <w:tcW w:w="1276" w:type="dxa"/>
            <w:tcBorders>
              <w:top w:val="nil"/>
              <w:left w:val="nil"/>
              <w:bottom w:val="nil"/>
              <w:right w:val="nil"/>
            </w:tcBorders>
            <w:shd w:val="clear" w:color="auto" w:fill="auto"/>
            <w:noWrap/>
            <w:vAlign w:val="center"/>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0.572</w:t>
            </w:r>
          </w:p>
        </w:tc>
        <w:tc>
          <w:tcPr>
            <w:tcW w:w="1134" w:type="dxa"/>
            <w:tcBorders>
              <w:top w:val="nil"/>
              <w:left w:val="nil"/>
              <w:bottom w:val="nil"/>
              <w:right w:val="nil"/>
            </w:tcBorders>
            <w:shd w:val="clear" w:color="auto" w:fill="auto"/>
            <w:noWrap/>
            <w:vAlign w:val="center"/>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0.022</w:t>
            </w:r>
          </w:p>
        </w:tc>
        <w:tc>
          <w:tcPr>
            <w:tcW w:w="283" w:type="dxa"/>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bottom"/>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0.573</w:t>
            </w:r>
          </w:p>
        </w:tc>
        <w:tc>
          <w:tcPr>
            <w:tcW w:w="1134" w:type="dxa"/>
            <w:gridSpan w:val="2"/>
            <w:tcBorders>
              <w:top w:val="nil"/>
              <w:left w:val="nil"/>
              <w:bottom w:val="nil"/>
              <w:right w:val="nil"/>
            </w:tcBorders>
            <w:shd w:val="clear" w:color="auto" w:fill="auto"/>
            <w:noWrap/>
            <w:vAlign w:val="bottom"/>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0.025</w:t>
            </w:r>
          </w:p>
        </w:tc>
        <w:tc>
          <w:tcPr>
            <w:tcW w:w="283" w:type="dxa"/>
            <w:tcBorders>
              <w:top w:val="nil"/>
              <w:left w:val="nil"/>
              <w:bottom w:val="nil"/>
              <w:right w:val="nil"/>
            </w:tcBorders>
            <w:shd w:val="clear" w:color="auto" w:fill="auto"/>
            <w:noWrap/>
            <w:vAlign w:val="center"/>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bottom"/>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0.567</w:t>
            </w:r>
          </w:p>
        </w:tc>
        <w:tc>
          <w:tcPr>
            <w:tcW w:w="1275" w:type="dxa"/>
            <w:tcBorders>
              <w:top w:val="nil"/>
              <w:left w:val="nil"/>
              <w:bottom w:val="nil"/>
              <w:right w:val="nil"/>
            </w:tcBorders>
            <w:shd w:val="clear" w:color="auto" w:fill="auto"/>
            <w:noWrap/>
            <w:vAlign w:val="bottom"/>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0.044</w:t>
            </w:r>
          </w:p>
        </w:tc>
      </w:tr>
      <w:tr w:rsidR="00B96235" w:rsidRPr="00A30284" w:rsidTr="00B96235">
        <w:trPr>
          <w:trHeight w:val="288"/>
        </w:trPr>
        <w:tc>
          <w:tcPr>
            <w:tcW w:w="269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Master's degree</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0.539</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0.015</w:t>
            </w:r>
          </w:p>
        </w:tc>
        <w:tc>
          <w:tcPr>
            <w:tcW w:w="28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0.521</w:t>
            </w:r>
          </w:p>
        </w:tc>
        <w:tc>
          <w:tcPr>
            <w:tcW w:w="1134"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0.018</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0.577</w:t>
            </w:r>
          </w:p>
        </w:tc>
        <w:tc>
          <w:tcPr>
            <w:tcW w:w="1275"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0.025</w:t>
            </w:r>
          </w:p>
        </w:tc>
      </w:tr>
      <w:tr w:rsidR="00B96235" w:rsidRPr="00A30284" w:rsidTr="00B96235">
        <w:trPr>
          <w:trHeight w:val="288"/>
        </w:trPr>
        <w:tc>
          <w:tcPr>
            <w:tcW w:w="269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Other postgraduate qualification</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0.528</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0.022</w:t>
            </w:r>
          </w:p>
        </w:tc>
        <w:tc>
          <w:tcPr>
            <w:tcW w:w="28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0.509</w:t>
            </w:r>
          </w:p>
        </w:tc>
        <w:tc>
          <w:tcPr>
            <w:tcW w:w="1134" w:type="dxa"/>
            <w:gridSpan w:val="2"/>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0.030</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0.547</w:t>
            </w:r>
          </w:p>
        </w:tc>
        <w:tc>
          <w:tcPr>
            <w:tcW w:w="127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0.034</w:t>
            </w:r>
          </w:p>
        </w:tc>
      </w:tr>
      <w:tr w:rsidR="00B96235" w:rsidRPr="00A30284" w:rsidTr="00B96235">
        <w:trPr>
          <w:trHeight w:val="288"/>
        </w:trPr>
        <w:tc>
          <w:tcPr>
            <w:tcW w:w="269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First degree</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0.447</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0.006</w:t>
            </w:r>
          </w:p>
        </w:tc>
        <w:tc>
          <w:tcPr>
            <w:tcW w:w="28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0.444</w:t>
            </w:r>
          </w:p>
        </w:tc>
        <w:tc>
          <w:tcPr>
            <w:tcW w:w="1134"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0.008</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0.446</w:t>
            </w:r>
          </w:p>
        </w:tc>
        <w:tc>
          <w:tcPr>
            <w:tcW w:w="1275"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0.009</w:t>
            </w:r>
          </w:p>
        </w:tc>
      </w:tr>
      <w:tr w:rsidR="00B96235" w:rsidRPr="00A30284" w:rsidTr="00B96235">
        <w:trPr>
          <w:trHeight w:val="288"/>
        </w:trPr>
        <w:tc>
          <w:tcPr>
            <w:tcW w:w="269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'A' levels or equivalent</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0.199</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0.008</w:t>
            </w:r>
          </w:p>
        </w:tc>
        <w:tc>
          <w:tcPr>
            <w:tcW w:w="28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0.255</w:t>
            </w:r>
          </w:p>
        </w:tc>
        <w:tc>
          <w:tcPr>
            <w:tcW w:w="1134"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0.012</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0.142</w:t>
            </w:r>
          </w:p>
        </w:tc>
        <w:tc>
          <w:tcPr>
            <w:tcW w:w="1275"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0.012</w:t>
            </w:r>
          </w:p>
        </w:tc>
      </w:tr>
      <w:tr w:rsidR="00B96235" w:rsidRPr="00A30284" w:rsidTr="00B96235">
        <w:trPr>
          <w:trHeight w:val="288"/>
        </w:trPr>
        <w:tc>
          <w:tcPr>
            <w:tcW w:w="269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'O' level and equivalent</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0.045</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0.004</w:t>
            </w:r>
          </w:p>
        </w:tc>
        <w:tc>
          <w:tcPr>
            <w:tcW w:w="28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0.077</w:t>
            </w:r>
          </w:p>
        </w:tc>
        <w:tc>
          <w:tcPr>
            <w:tcW w:w="1134"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0.006</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0.003</w:t>
            </w:r>
          </w:p>
        </w:tc>
        <w:tc>
          <w:tcPr>
            <w:tcW w:w="1275"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0.006</w:t>
            </w:r>
          </w:p>
        </w:tc>
      </w:tr>
      <w:tr w:rsidR="00B96235" w:rsidRPr="00E23F1A" w:rsidTr="00B96235">
        <w:trPr>
          <w:trHeight w:val="288"/>
        </w:trPr>
        <w:tc>
          <w:tcPr>
            <w:tcW w:w="2694" w:type="dxa"/>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127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N = 65,148</w:t>
            </w:r>
          </w:p>
        </w:tc>
        <w:tc>
          <w:tcPr>
            <w:tcW w:w="1417"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127"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N = 32,093</w:t>
            </w:r>
          </w:p>
        </w:tc>
        <w:tc>
          <w:tcPr>
            <w:tcW w:w="28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126"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N = 33,054</w:t>
            </w:r>
          </w:p>
        </w:tc>
      </w:tr>
      <w:tr w:rsidR="00B96235" w:rsidRPr="00E56651" w:rsidTr="00B96235">
        <w:trPr>
          <w:trHeight w:val="288"/>
        </w:trPr>
        <w:tc>
          <w:tcPr>
            <w:tcW w:w="2694" w:type="dxa"/>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2693" w:type="dxa"/>
            <w:gridSpan w:val="3"/>
            <w:tcBorders>
              <w:top w:val="nil"/>
              <w:left w:val="nil"/>
              <w:bottom w:val="nil"/>
              <w:right w:val="nil"/>
            </w:tcBorders>
            <w:shd w:val="clear" w:color="auto" w:fill="auto"/>
            <w:vAlign w:val="bottom"/>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Adj.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0.687</w:t>
            </w:r>
          </w:p>
        </w:tc>
        <w:tc>
          <w:tcPr>
            <w:tcW w:w="2127"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Adj.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0.441</w:t>
            </w:r>
          </w:p>
        </w:tc>
        <w:tc>
          <w:tcPr>
            <w:tcW w:w="28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126"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Adj.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0.695</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b/>
                <w:color w:val="000000"/>
                <w:sz w:val="20"/>
                <w:szCs w:val="20"/>
              </w:rPr>
            </w:pPr>
            <w:r w:rsidRPr="00B96235">
              <w:rPr>
                <w:rFonts w:ascii="Calibri" w:eastAsia="Times New Roman" w:hAnsi="Calibri" w:cs="Calibri"/>
                <w:b/>
                <w:color w:val="000000"/>
                <w:sz w:val="20"/>
                <w:szCs w:val="20"/>
              </w:rPr>
              <w:t>2009/10</w:t>
            </w:r>
          </w:p>
        </w:tc>
        <w:tc>
          <w:tcPr>
            <w:tcW w:w="1276" w:type="dxa"/>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1417" w:type="dxa"/>
            <w:gridSpan w:val="2"/>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2127" w:type="dxa"/>
            <w:gridSpan w:val="3"/>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283" w:type="dxa"/>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2126" w:type="dxa"/>
            <w:gridSpan w:val="2"/>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PhD</w:t>
            </w:r>
          </w:p>
        </w:tc>
        <w:tc>
          <w:tcPr>
            <w:tcW w:w="127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0.639</w:t>
            </w:r>
          </w:p>
        </w:tc>
        <w:tc>
          <w:tcPr>
            <w:tcW w:w="113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0.015</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0.624</w:t>
            </w:r>
          </w:p>
        </w:tc>
        <w:tc>
          <w:tcPr>
            <w:tcW w:w="1134"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0.020</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0.679</w:t>
            </w:r>
          </w:p>
        </w:tc>
        <w:tc>
          <w:tcPr>
            <w:tcW w:w="1275"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0.025</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Master's degree</w:t>
            </w:r>
          </w:p>
        </w:tc>
        <w:tc>
          <w:tcPr>
            <w:tcW w:w="127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0.510</w:t>
            </w:r>
          </w:p>
        </w:tc>
        <w:tc>
          <w:tcPr>
            <w:tcW w:w="113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0.009</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0.517</w:t>
            </w:r>
          </w:p>
        </w:tc>
        <w:tc>
          <w:tcPr>
            <w:tcW w:w="1134"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0.013</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0.505</w:t>
            </w:r>
          </w:p>
        </w:tc>
        <w:tc>
          <w:tcPr>
            <w:tcW w:w="1275"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0.012</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Other postgraduate qualification</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0.456</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0.010</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0.470</w:t>
            </w:r>
          </w:p>
        </w:tc>
        <w:tc>
          <w:tcPr>
            <w:tcW w:w="1134" w:type="dxa"/>
            <w:gridSpan w:val="2"/>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0.017</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0.444</w:t>
            </w:r>
          </w:p>
        </w:tc>
        <w:tc>
          <w:tcPr>
            <w:tcW w:w="127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0.013</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First degree</w:t>
            </w:r>
          </w:p>
        </w:tc>
        <w:tc>
          <w:tcPr>
            <w:tcW w:w="127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0.404</w:t>
            </w:r>
          </w:p>
        </w:tc>
        <w:tc>
          <w:tcPr>
            <w:tcW w:w="113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0.005</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0.438</w:t>
            </w:r>
          </w:p>
        </w:tc>
        <w:tc>
          <w:tcPr>
            <w:tcW w:w="1134"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0.008</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0.367</w:t>
            </w:r>
          </w:p>
        </w:tc>
        <w:tc>
          <w:tcPr>
            <w:tcW w:w="1275"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0.007</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'A' levels or equivalent</w:t>
            </w:r>
          </w:p>
        </w:tc>
        <w:tc>
          <w:tcPr>
            <w:tcW w:w="127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0.091</w:t>
            </w:r>
          </w:p>
        </w:tc>
        <w:tc>
          <w:tcPr>
            <w:tcW w:w="113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0.006</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0.168</w:t>
            </w:r>
          </w:p>
        </w:tc>
        <w:tc>
          <w:tcPr>
            <w:tcW w:w="1134"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0.010</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0.028</w:t>
            </w:r>
          </w:p>
        </w:tc>
        <w:tc>
          <w:tcPr>
            <w:tcW w:w="1275"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0.008</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'O' level and equivalent</w:t>
            </w:r>
          </w:p>
        </w:tc>
        <w:tc>
          <w:tcPr>
            <w:tcW w:w="127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-0.005</w:t>
            </w:r>
          </w:p>
        </w:tc>
        <w:tc>
          <w:tcPr>
            <w:tcW w:w="113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0.004</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0.028</w:t>
            </w:r>
          </w:p>
        </w:tc>
        <w:tc>
          <w:tcPr>
            <w:tcW w:w="1134"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0.007</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-0.041</w:t>
            </w:r>
          </w:p>
        </w:tc>
        <w:tc>
          <w:tcPr>
            <w:tcW w:w="1275"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0.006</w:t>
            </w:r>
          </w:p>
        </w:tc>
      </w:tr>
      <w:tr w:rsidR="00B96235" w:rsidRPr="00E23F1A" w:rsidTr="00B96235">
        <w:trPr>
          <w:trHeight w:val="288"/>
        </w:trPr>
        <w:tc>
          <w:tcPr>
            <w:tcW w:w="2694" w:type="dxa"/>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2693"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N = 75,284</w:t>
            </w:r>
          </w:p>
        </w:tc>
        <w:tc>
          <w:tcPr>
            <w:tcW w:w="2127"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N = 36,070</w:t>
            </w:r>
          </w:p>
        </w:tc>
        <w:tc>
          <w:tcPr>
            <w:tcW w:w="28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126"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250" w:firstLine="250"/>
              <w:rPr>
                <w:rFonts w:ascii="Calibri" w:eastAsia="Times New Roman" w:hAnsi="Calibri" w:cs="Calibri"/>
                <w:color w:val="000000"/>
                <w:sz w:val="20"/>
                <w:szCs w:val="20"/>
              </w:rPr>
            </w:pPr>
            <w:r w:rsidRPr="00B96235">
              <w:rPr>
                <w:rFonts w:ascii="Calibri" w:eastAsia="Times New Roman" w:hAnsi="Calibri" w:cs="Calibri"/>
                <w:color w:val="000000"/>
                <w:sz w:val="20"/>
                <w:szCs w:val="20"/>
              </w:rPr>
              <w:t>N = 39,213</w:t>
            </w:r>
          </w:p>
        </w:tc>
      </w:tr>
      <w:tr w:rsidR="00B96235" w:rsidRPr="00E23F1A" w:rsidTr="00B96235">
        <w:trPr>
          <w:trHeight w:val="288"/>
        </w:trPr>
        <w:tc>
          <w:tcPr>
            <w:tcW w:w="2694" w:type="dxa"/>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2693"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Adj.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0.630</w:t>
            </w:r>
          </w:p>
        </w:tc>
        <w:tc>
          <w:tcPr>
            <w:tcW w:w="2127"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Adj.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0.484</w:t>
            </w:r>
          </w:p>
        </w:tc>
        <w:tc>
          <w:tcPr>
            <w:tcW w:w="28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126"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Adj.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0.662</w:t>
            </w:r>
          </w:p>
        </w:tc>
      </w:tr>
      <w:tr w:rsidR="00B96235" w:rsidRPr="0047434A" w:rsidTr="00B96235">
        <w:trPr>
          <w:trHeight w:val="288"/>
        </w:trPr>
        <w:tc>
          <w:tcPr>
            <w:tcW w:w="2694" w:type="dxa"/>
            <w:tcBorders>
              <w:top w:val="single" w:sz="4" w:space="0" w:color="auto"/>
              <w:left w:val="nil"/>
              <w:bottom w:val="nil"/>
              <w:right w:val="nil"/>
            </w:tcBorders>
            <w:shd w:val="clear" w:color="auto" w:fill="auto"/>
            <w:noWrap/>
            <w:vAlign w:val="center"/>
            <w:hideMark/>
          </w:tcPr>
          <w:p w:rsidR="00B96235" w:rsidRPr="00B96235" w:rsidRDefault="00B96235" w:rsidP="00B96235">
            <w:pPr>
              <w:spacing w:after="0" w:line="240" w:lineRule="auto"/>
              <w:rPr>
                <w:rFonts w:ascii="Calibri" w:eastAsia="Times New Roman" w:hAnsi="Calibri" w:cs="Calibri"/>
                <w:b/>
                <w:color w:val="000000"/>
                <w:sz w:val="20"/>
                <w:szCs w:val="20"/>
              </w:rPr>
            </w:pPr>
            <w:r w:rsidRPr="00B96235">
              <w:rPr>
                <w:rFonts w:ascii="Calibri" w:eastAsia="Times New Roman" w:hAnsi="Calibri" w:cs="Calibri"/>
                <w:b/>
                <w:color w:val="000000"/>
                <w:sz w:val="20"/>
                <w:szCs w:val="20"/>
              </w:rPr>
              <w:t>1994/95</w:t>
            </w:r>
          </w:p>
        </w:tc>
        <w:tc>
          <w:tcPr>
            <w:tcW w:w="2410" w:type="dxa"/>
            <w:gridSpan w:val="2"/>
            <w:tcBorders>
              <w:top w:val="single" w:sz="4" w:space="0" w:color="auto"/>
              <w:left w:val="nil"/>
              <w:bottom w:val="single" w:sz="4" w:space="0" w:color="auto"/>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b/>
                <w:color w:val="000000"/>
                <w:sz w:val="20"/>
                <w:szCs w:val="20"/>
              </w:rPr>
            </w:pPr>
            <w:r w:rsidRPr="00B96235">
              <w:rPr>
                <w:rFonts w:ascii="Calibri" w:eastAsia="Times New Roman" w:hAnsi="Calibri" w:cs="Calibri"/>
                <w:b/>
                <w:color w:val="000000"/>
                <w:sz w:val="20"/>
                <w:szCs w:val="20"/>
              </w:rPr>
              <w:t xml:space="preserve">Men and women (22-34 years) </w:t>
            </w:r>
          </w:p>
        </w:tc>
        <w:tc>
          <w:tcPr>
            <w:tcW w:w="283" w:type="dxa"/>
            <w:tcBorders>
              <w:top w:val="single" w:sz="4" w:space="0" w:color="auto"/>
              <w:left w:val="nil"/>
              <w:bottom w:val="nil"/>
              <w:right w:val="nil"/>
            </w:tcBorders>
            <w:shd w:val="clear" w:color="auto" w:fill="auto"/>
            <w:vAlign w:val="center"/>
          </w:tcPr>
          <w:p w:rsidR="00B96235" w:rsidRPr="00B96235" w:rsidRDefault="00B96235" w:rsidP="00B96235">
            <w:pPr>
              <w:spacing w:after="0" w:line="240" w:lineRule="auto"/>
              <w:jc w:val="center"/>
              <w:rPr>
                <w:rFonts w:ascii="Calibri" w:eastAsia="Times New Roman" w:hAnsi="Calibri" w:cs="Calibri"/>
                <w:b/>
                <w:color w:val="000000"/>
                <w:sz w:val="20"/>
                <w:szCs w:val="20"/>
              </w:rPr>
            </w:pPr>
          </w:p>
        </w:tc>
        <w:tc>
          <w:tcPr>
            <w:tcW w:w="2127" w:type="dxa"/>
            <w:gridSpan w:val="3"/>
            <w:tcBorders>
              <w:top w:val="single" w:sz="4" w:space="0" w:color="auto"/>
              <w:left w:val="nil"/>
              <w:bottom w:val="single" w:sz="4" w:space="0" w:color="auto"/>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b/>
                <w:color w:val="000000"/>
                <w:sz w:val="20"/>
                <w:szCs w:val="20"/>
              </w:rPr>
            </w:pPr>
            <w:r w:rsidRPr="00B96235">
              <w:rPr>
                <w:rFonts w:ascii="Calibri" w:eastAsia="Times New Roman" w:hAnsi="Calibri" w:cs="Calibri"/>
                <w:b/>
                <w:color w:val="000000"/>
                <w:sz w:val="20"/>
                <w:szCs w:val="20"/>
              </w:rPr>
              <w:t>Men (22-34 years)</w:t>
            </w:r>
          </w:p>
        </w:tc>
        <w:tc>
          <w:tcPr>
            <w:tcW w:w="283" w:type="dxa"/>
            <w:tcBorders>
              <w:top w:val="single" w:sz="4" w:space="0" w:color="auto"/>
              <w:left w:val="nil"/>
              <w:bottom w:val="nil"/>
              <w:right w:val="nil"/>
            </w:tcBorders>
            <w:shd w:val="clear" w:color="auto" w:fill="auto"/>
            <w:noWrap/>
            <w:vAlign w:val="center"/>
          </w:tcPr>
          <w:p w:rsidR="00B96235" w:rsidRPr="00B96235" w:rsidRDefault="00B96235" w:rsidP="00B96235">
            <w:pPr>
              <w:spacing w:after="0" w:line="240" w:lineRule="auto"/>
              <w:jc w:val="center"/>
              <w:rPr>
                <w:rFonts w:ascii="Calibri" w:eastAsia="Times New Roman" w:hAnsi="Calibri" w:cs="Calibri"/>
                <w:b/>
                <w:color w:val="000000"/>
                <w:sz w:val="20"/>
                <w:szCs w:val="20"/>
              </w:rPr>
            </w:pPr>
          </w:p>
        </w:tc>
        <w:tc>
          <w:tcPr>
            <w:tcW w:w="2126" w:type="dxa"/>
            <w:gridSpan w:val="2"/>
            <w:tcBorders>
              <w:top w:val="single" w:sz="4" w:space="0" w:color="auto"/>
              <w:left w:val="nil"/>
              <w:bottom w:val="single" w:sz="4" w:space="0" w:color="auto"/>
              <w:right w:val="nil"/>
            </w:tcBorders>
            <w:shd w:val="clear" w:color="auto" w:fill="auto"/>
            <w:vAlign w:val="center"/>
          </w:tcPr>
          <w:p w:rsidR="00B96235" w:rsidRPr="00B96235" w:rsidRDefault="00B96235" w:rsidP="00B96235">
            <w:pPr>
              <w:spacing w:after="0" w:line="240" w:lineRule="auto"/>
              <w:jc w:val="center"/>
              <w:rPr>
                <w:rFonts w:ascii="Calibri" w:eastAsia="Times New Roman" w:hAnsi="Calibri" w:cs="Calibri"/>
                <w:b/>
                <w:color w:val="000000"/>
                <w:sz w:val="20"/>
                <w:szCs w:val="20"/>
              </w:rPr>
            </w:pPr>
            <w:r w:rsidRPr="00B96235">
              <w:rPr>
                <w:rFonts w:ascii="Calibri" w:eastAsia="Times New Roman" w:hAnsi="Calibri" w:cs="Calibri"/>
                <w:b/>
                <w:color w:val="000000"/>
                <w:sz w:val="20"/>
                <w:szCs w:val="20"/>
              </w:rPr>
              <w:t>Women (22-34 years)</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PhD</w:t>
            </w:r>
          </w:p>
        </w:tc>
        <w:tc>
          <w:tcPr>
            <w:tcW w:w="1276" w:type="dxa"/>
            <w:tcBorders>
              <w:top w:val="single" w:sz="4" w:space="0" w:color="auto"/>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0.423</w:t>
            </w:r>
          </w:p>
        </w:tc>
        <w:tc>
          <w:tcPr>
            <w:tcW w:w="1134" w:type="dxa"/>
            <w:tcBorders>
              <w:top w:val="single" w:sz="4" w:space="0" w:color="auto"/>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0.037</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single" w:sz="4" w:space="0" w:color="auto"/>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0.383</w:t>
            </w:r>
          </w:p>
        </w:tc>
        <w:tc>
          <w:tcPr>
            <w:tcW w:w="1134" w:type="dxa"/>
            <w:gridSpan w:val="2"/>
            <w:tcBorders>
              <w:top w:val="single" w:sz="4" w:space="0" w:color="auto"/>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0.043</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single" w:sz="4" w:space="0" w:color="auto"/>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0.540</w:t>
            </w:r>
          </w:p>
        </w:tc>
        <w:tc>
          <w:tcPr>
            <w:tcW w:w="1275" w:type="dxa"/>
            <w:tcBorders>
              <w:top w:val="single" w:sz="4" w:space="0" w:color="auto"/>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0.072</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Master's degree</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0.425</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0.025</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0.444</w:t>
            </w:r>
          </w:p>
        </w:tc>
        <w:tc>
          <w:tcPr>
            <w:tcW w:w="1134" w:type="dxa"/>
            <w:gridSpan w:val="2"/>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0.031</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0.405</w:t>
            </w:r>
          </w:p>
        </w:tc>
        <w:tc>
          <w:tcPr>
            <w:tcW w:w="127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0.041</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Other postgraduate qualification</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0.379</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0.034</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0.377</w:t>
            </w:r>
          </w:p>
        </w:tc>
        <w:tc>
          <w:tcPr>
            <w:tcW w:w="1134" w:type="dxa"/>
            <w:gridSpan w:val="2"/>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0.049</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0.380</w:t>
            </w:r>
          </w:p>
        </w:tc>
        <w:tc>
          <w:tcPr>
            <w:tcW w:w="127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0.047</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First degree</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0.335</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0.009</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0.327</w:t>
            </w:r>
          </w:p>
        </w:tc>
        <w:tc>
          <w:tcPr>
            <w:tcW w:w="1134" w:type="dxa"/>
            <w:gridSpan w:val="2"/>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0.012</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0.349</w:t>
            </w:r>
          </w:p>
        </w:tc>
        <w:tc>
          <w:tcPr>
            <w:tcW w:w="127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0.013</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'A' levels or equivalent</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0.138</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0.011</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0.173</w:t>
            </w:r>
          </w:p>
        </w:tc>
        <w:tc>
          <w:tcPr>
            <w:tcW w:w="1134" w:type="dxa"/>
            <w:gridSpan w:val="2"/>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0.016</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0.105</w:t>
            </w:r>
          </w:p>
        </w:tc>
        <w:tc>
          <w:tcPr>
            <w:tcW w:w="127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0.016</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'O' level and equivalent</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0.014</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0.007</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0.047</w:t>
            </w:r>
          </w:p>
        </w:tc>
        <w:tc>
          <w:tcPr>
            <w:tcW w:w="1134" w:type="dxa"/>
            <w:gridSpan w:val="2"/>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0.009</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-0.019</w:t>
            </w:r>
          </w:p>
        </w:tc>
        <w:tc>
          <w:tcPr>
            <w:tcW w:w="127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0.009</w:t>
            </w:r>
          </w:p>
        </w:tc>
      </w:tr>
      <w:tr w:rsidR="00B96235" w:rsidRPr="00E23F1A" w:rsidTr="00B96235">
        <w:trPr>
          <w:trHeight w:val="288"/>
        </w:trPr>
        <w:tc>
          <w:tcPr>
            <w:tcW w:w="2694" w:type="dxa"/>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2410" w:type="dxa"/>
            <w:gridSpan w:val="2"/>
            <w:tcBorders>
              <w:top w:val="nil"/>
              <w:left w:val="nil"/>
              <w:bottom w:val="nil"/>
              <w:right w:val="nil"/>
            </w:tcBorders>
            <w:shd w:val="clear" w:color="auto" w:fill="auto"/>
            <w:vAlign w:val="bottom"/>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N = 21,219</w:t>
            </w:r>
          </w:p>
        </w:tc>
        <w:tc>
          <w:tcPr>
            <w:tcW w:w="28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127"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N = 12,051</w:t>
            </w:r>
          </w:p>
        </w:tc>
        <w:tc>
          <w:tcPr>
            <w:tcW w:w="28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126"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N = 12,168</w:t>
            </w:r>
          </w:p>
        </w:tc>
      </w:tr>
      <w:tr w:rsidR="00B96235" w:rsidRPr="00E23F1A" w:rsidTr="00B96235">
        <w:trPr>
          <w:trHeight w:val="288"/>
        </w:trPr>
        <w:tc>
          <w:tcPr>
            <w:tcW w:w="2694" w:type="dxa"/>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2410" w:type="dxa"/>
            <w:gridSpan w:val="2"/>
            <w:tcBorders>
              <w:top w:val="nil"/>
              <w:left w:val="nil"/>
              <w:bottom w:val="nil"/>
              <w:right w:val="nil"/>
            </w:tcBorders>
            <w:shd w:val="clear" w:color="auto" w:fill="auto"/>
            <w:vAlign w:val="bottom"/>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Adj.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0.654</w:t>
            </w:r>
          </w:p>
        </w:tc>
        <w:tc>
          <w:tcPr>
            <w:tcW w:w="28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127"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Adj.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0.400</w:t>
            </w:r>
          </w:p>
        </w:tc>
        <w:tc>
          <w:tcPr>
            <w:tcW w:w="28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126"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Adj.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0.694</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b/>
                <w:color w:val="000000"/>
                <w:sz w:val="20"/>
                <w:szCs w:val="20"/>
              </w:rPr>
            </w:pPr>
            <w:r w:rsidRPr="00B96235">
              <w:rPr>
                <w:rFonts w:ascii="Calibri" w:eastAsia="Times New Roman" w:hAnsi="Calibri" w:cs="Calibri"/>
                <w:b/>
                <w:color w:val="000000"/>
                <w:sz w:val="20"/>
                <w:szCs w:val="20"/>
              </w:rPr>
              <w:t>2009/10</w:t>
            </w:r>
          </w:p>
        </w:tc>
        <w:tc>
          <w:tcPr>
            <w:tcW w:w="2410" w:type="dxa"/>
            <w:gridSpan w:val="2"/>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1276" w:type="dxa"/>
            <w:gridSpan w:val="2"/>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1134" w:type="dxa"/>
            <w:gridSpan w:val="2"/>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283" w:type="dxa"/>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2126" w:type="dxa"/>
            <w:gridSpan w:val="2"/>
            <w:tcBorders>
              <w:top w:val="nil"/>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PhD</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0.482</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0.029</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0.483</w:t>
            </w:r>
          </w:p>
        </w:tc>
        <w:tc>
          <w:tcPr>
            <w:tcW w:w="1134" w:type="dxa"/>
            <w:gridSpan w:val="2"/>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0.039</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0.481</w:t>
            </w:r>
          </w:p>
        </w:tc>
        <w:tc>
          <w:tcPr>
            <w:tcW w:w="127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0.043</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Master's degree</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0.385</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0.014</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0.409</w:t>
            </w:r>
          </w:p>
        </w:tc>
        <w:tc>
          <w:tcPr>
            <w:tcW w:w="1134" w:type="dxa"/>
            <w:gridSpan w:val="2"/>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0.019</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0.361</w:t>
            </w:r>
          </w:p>
        </w:tc>
        <w:tc>
          <w:tcPr>
            <w:tcW w:w="127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Other postgraduate qualification</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0.368</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0.016</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0.396</w:t>
            </w:r>
          </w:p>
        </w:tc>
        <w:tc>
          <w:tcPr>
            <w:tcW w:w="1134" w:type="dxa"/>
            <w:gridSpan w:val="2"/>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0.027</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0.348</w:t>
            </w:r>
          </w:p>
        </w:tc>
        <w:tc>
          <w:tcPr>
            <w:tcW w:w="127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0.020</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First degree</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0.300</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0.008</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0.327</w:t>
            </w:r>
          </w:p>
        </w:tc>
        <w:tc>
          <w:tcPr>
            <w:tcW w:w="1134" w:type="dxa"/>
            <w:gridSpan w:val="2"/>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0.012</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0.272</w:t>
            </w:r>
          </w:p>
        </w:tc>
        <w:tc>
          <w:tcPr>
            <w:tcW w:w="127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0.012</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'A' levels or equivalent</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0.073</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0.010</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0.136</w:t>
            </w:r>
          </w:p>
        </w:tc>
        <w:tc>
          <w:tcPr>
            <w:tcW w:w="1134" w:type="dxa"/>
            <w:gridSpan w:val="2"/>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0.014</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0.010</w:t>
            </w:r>
          </w:p>
        </w:tc>
        <w:tc>
          <w:tcPr>
            <w:tcW w:w="127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0.013</w:t>
            </w:r>
          </w:p>
        </w:tc>
      </w:tr>
      <w:tr w:rsidR="00B96235" w:rsidRPr="00A30284" w:rsidTr="00B96235">
        <w:trPr>
          <w:trHeight w:val="288"/>
        </w:trPr>
        <w:tc>
          <w:tcPr>
            <w:tcW w:w="269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'O' level and equivalent</w:t>
            </w:r>
          </w:p>
        </w:tc>
        <w:tc>
          <w:tcPr>
            <w:tcW w:w="1276"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-0.003</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0.009</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0.035</w:t>
            </w:r>
          </w:p>
        </w:tc>
        <w:tc>
          <w:tcPr>
            <w:tcW w:w="1134" w:type="dxa"/>
            <w:gridSpan w:val="2"/>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0.012</w:t>
            </w:r>
          </w:p>
        </w:tc>
        <w:tc>
          <w:tcPr>
            <w:tcW w:w="283"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851"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-0.046</w:t>
            </w:r>
          </w:p>
        </w:tc>
        <w:tc>
          <w:tcPr>
            <w:tcW w:w="127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0.012</w:t>
            </w:r>
          </w:p>
        </w:tc>
      </w:tr>
      <w:tr w:rsidR="00B96235" w:rsidRPr="00E23F1A" w:rsidTr="00B96235">
        <w:trPr>
          <w:trHeight w:val="288"/>
        </w:trPr>
        <w:tc>
          <w:tcPr>
            <w:tcW w:w="2694" w:type="dxa"/>
            <w:tcBorders>
              <w:top w:val="nil"/>
              <w:left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2410" w:type="dxa"/>
            <w:gridSpan w:val="2"/>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N = 20,797</w:t>
            </w:r>
          </w:p>
        </w:tc>
        <w:tc>
          <w:tcPr>
            <w:tcW w:w="283" w:type="dxa"/>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560" w:type="dxa"/>
            <w:gridSpan w:val="2"/>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N = 9,914</w:t>
            </w:r>
          </w:p>
        </w:tc>
        <w:tc>
          <w:tcPr>
            <w:tcW w:w="850" w:type="dxa"/>
            <w:gridSpan w:val="2"/>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126" w:type="dxa"/>
            <w:gridSpan w:val="2"/>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N = 10,883</w:t>
            </w:r>
          </w:p>
        </w:tc>
      </w:tr>
      <w:tr w:rsidR="00B96235" w:rsidRPr="00E23F1A" w:rsidTr="00B96235">
        <w:trPr>
          <w:trHeight w:val="288"/>
        </w:trPr>
        <w:tc>
          <w:tcPr>
            <w:tcW w:w="2694" w:type="dxa"/>
            <w:tcBorders>
              <w:top w:val="nil"/>
              <w:left w:val="nil"/>
              <w:bottom w:val="single" w:sz="4" w:space="0" w:color="auto"/>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color w:val="000000"/>
                <w:sz w:val="20"/>
                <w:szCs w:val="20"/>
              </w:rPr>
            </w:pPr>
          </w:p>
        </w:tc>
        <w:tc>
          <w:tcPr>
            <w:tcW w:w="2410" w:type="dxa"/>
            <w:gridSpan w:val="2"/>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Adj.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0.625</w:t>
            </w:r>
          </w:p>
        </w:tc>
        <w:tc>
          <w:tcPr>
            <w:tcW w:w="283" w:type="dxa"/>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560" w:type="dxa"/>
            <w:gridSpan w:val="2"/>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Adj.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0.521</w:t>
            </w:r>
          </w:p>
        </w:tc>
        <w:tc>
          <w:tcPr>
            <w:tcW w:w="850" w:type="dxa"/>
            <w:gridSpan w:val="2"/>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126" w:type="dxa"/>
            <w:gridSpan w:val="2"/>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Adj.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0.660</w:t>
            </w:r>
          </w:p>
        </w:tc>
      </w:tr>
    </w:tbl>
    <w:p w:rsidR="00B96235" w:rsidRPr="004137C3" w:rsidRDefault="00231863" w:rsidP="00231863">
      <w:pPr>
        <w:spacing w:after="0" w:line="240" w:lineRule="auto"/>
        <w:ind w:left="-284"/>
        <w:rPr>
          <w:sz w:val="16"/>
          <w:szCs w:val="16"/>
        </w:rPr>
      </w:pPr>
      <w:r w:rsidRPr="004137C3">
        <w:rPr>
          <w:sz w:val="16"/>
          <w:szCs w:val="16"/>
        </w:rPr>
        <w:t>Source: Labour Force Surveys, composite files for 1994/95 and 2009/10.</w:t>
      </w:r>
    </w:p>
    <w:p w:rsidR="00B96235" w:rsidRPr="004137C3" w:rsidRDefault="00B96235" w:rsidP="00B96235">
      <w:pPr>
        <w:spacing w:after="0" w:line="240" w:lineRule="auto"/>
        <w:ind w:hanging="284"/>
        <w:rPr>
          <w:sz w:val="16"/>
          <w:szCs w:val="16"/>
        </w:rPr>
      </w:pPr>
      <w:r w:rsidRPr="004137C3">
        <w:rPr>
          <w:sz w:val="16"/>
          <w:szCs w:val="16"/>
        </w:rPr>
        <w:t>All earnings equations include the following variables (where relevant):</w:t>
      </w:r>
    </w:p>
    <w:p w:rsidR="00B96235" w:rsidRPr="004137C3" w:rsidRDefault="00B96235" w:rsidP="00B96235">
      <w:pPr>
        <w:spacing w:line="240" w:lineRule="auto"/>
        <w:rPr>
          <w:sz w:val="16"/>
          <w:szCs w:val="16"/>
        </w:rPr>
      </w:pPr>
      <w:r w:rsidRPr="004137C3">
        <w:rPr>
          <w:sz w:val="16"/>
          <w:szCs w:val="16"/>
        </w:rPr>
        <w:t>age (single years); age</w:t>
      </w:r>
      <w:r w:rsidRPr="004137C3">
        <w:rPr>
          <w:sz w:val="16"/>
          <w:szCs w:val="16"/>
          <w:vertAlign w:val="superscript"/>
        </w:rPr>
        <w:t>2</w:t>
      </w:r>
      <w:r w:rsidRPr="004137C3">
        <w:rPr>
          <w:sz w:val="16"/>
          <w:szCs w:val="16"/>
        </w:rPr>
        <w:t>; gender; young children present in household (0-1 years, 2-4 years, 5-9 years, 10-14 years); tenure in current job (&lt; 1 year; 1-2 years; 2-3 years; 3-6 years; &gt; 6 years); ethnicity (White; Mixed; Asian; Black; Chinese; Other); area of residence (Inner London, Outer London, Rest of SE, Rest of UK exc. N Ireland, N. Ireland); self-declared part time working; usual weekly hours worked (0-10; 11-20; 21-30; 31-40; 41-50; 51-60; 61+); respondent was proxy.</w:t>
      </w:r>
    </w:p>
    <w:p w:rsidR="00B96235" w:rsidRPr="00B96235" w:rsidRDefault="00B96235" w:rsidP="00B96235">
      <w:pPr>
        <w:spacing w:line="240" w:lineRule="auto"/>
        <w:rPr>
          <w:b/>
        </w:rPr>
      </w:pPr>
      <w:r>
        <w:rPr>
          <w:b/>
        </w:rPr>
        <w:lastRenderedPageBreak/>
        <w:t>Table 5:</w:t>
      </w:r>
      <w:r>
        <w:rPr>
          <w:b/>
        </w:rPr>
        <w:tab/>
        <w:t>Earnings and subject of qualification, 1994/95 and 2009/10</w:t>
      </w:r>
    </w:p>
    <w:tbl>
      <w:tblPr>
        <w:tblW w:w="8918" w:type="dxa"/>
        <w:tblInd w:w="93" w:type="dxa"/>
        <w:tblLook w:val="04A0" w:firstRow="1" w:lastRow="0" w:firstColumn="1" w:lastColumn="0" w:noHBand="0" w:noVBand="1"/>
      </w:tblPr>
      <w:tblGrid>
        <w:gridCol w:w="441"/>
        <w:gridCol w:w="501"/>
        <w:gridCol w:w="1541"/>
        <w:gridCol w:w="1323"/>
        <w:gridCol w:w="320"/>
        <w:gridCol w:w="1134"/>
        <w:gridCol w:w="1134"/>
        <w:gridCol w:w="425"/>
        <w:gridCol w:w="992"/>
        <w:gridCol w:w="1107"/>
      </w:tblGrid>
      <w:tr w:rsidR="00B96235" w:rsidRPr="00B96235" w:rsidTr="00B96235">
        <w:trPr>
          <w:trHeight w:val="288"/>
        </w:trPr>
        <w:tc>
          <w:tcPr>
            <w:tcW w:w="942" w:type="dxa"/>
            <w:gridSpan w:val="2"/>
            <w:tcBorders>
              <w:top w:val="single" w:sz="4" w:space="0" w:color="auto"/>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b/>
                <w:color w:val="000000"/>
                <w:sz w:val="20"/>
                <w:szCs w:val="20"/>
              </w:rPr>
            </w:pPr>
          </w:p>
        </w:tc>
        <w:tc>
          <w:tcPr>
            <w:tcW w:w="1541" w:type="dxa"/>
            <w:tcBorders>
              <w:top w:val="single" w:sz="4" w:space="0" w:color="auto"/>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b/>
                <w:color w:val="000000"/>
                <w:sz w:val="20"/>
                <w:szCs w:val="20"/>
              </w:rPr>
            </w:pPr>
          </w:p>
        </w:tc>
        <w:tc>
          <w:tcPr>
            <w:tcW w:w="1323" w:type="dxa"/>
            <w:tcBorders>
              <w:top w:val="single" w:sz="4" w:space="0" w:color="auto"/>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b/>
                <w:color w:val="000000"/>
                <w:sz w:val="20"/>
                <w:szCs w:val="20"/>
              </w:rPr>
            </w:pPr>
          </w:p>
        </w:tc>
        <w:tc>
          <w:tcPr>
            <w:tcW w:w="320" w:type="dxa"/>
            <w:tcBorders>
              <w:top w:val="single" w:sz="4" w:space="0" w:color="auto"/>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b/>
                <w:color w:val="000000"/>
                <w:sz w:val="20"/>
                <w:szCs w:val="20"/>
              </w:rPr>
            </w:pPr>
          </w:p>
        </w:tc>
        <w:tc>
          <w:tcPr>
            <w:tcW w:w="2268" w:type="dxa"/>
            <w:gridSpan w:val="2"/>
            <w:tcBorders>
              <w:top w:val="single" w:sz="4" w:space="0" w:color="auto"/>
              <w:left w:val="nil"/>
              <w:bottom w:val="single" w:sz="4" w:space="0" w:color="auto"/>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b/>
                <w:color w:val="000000"/>
                <w:sz w:val="20"/>
                <w:szCs w:val="20"/>
              </w:rPr>
            </w:pPr>
            <w:r w:rsidRPr="00B96235">
              <w:rPr>
                <w:rFonts w:ascii="Calibri" w:eastAsia="Times New Roman" w:hAnsi="Calibri" w:cs="Calibri"/>
                <w:b/>
                <w:color w:val="000000"/>
                <w:sz w:val="20"/>
                <w:szCs w:val="20"/>
              </w:rPr>
              <w:t>1994/95</w:t>
            </w:r>
          </w:p>
        </w:tc>
        <w:tc>
          <w:tcPr>
            <w:tcW w:w="425" w:type="dxa"/>
            <w:tcBorders>
              <w:top w:val="single" w:sz="4" w:space="0" w:color="auto"/>
              <w:left w:val="nil"/>
              <w:bottom w:val="single" w:sz="4" w:space="0" w:color="auto"/>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b/>
                <w:color w:val="000000"/>
                <w:sz w:val="20"/>
                <w:szCs w:val="20"/>
              </w:rPr>
            </w:pPr>
          </w:p>
        </w:tc>
        <w:tc>
          <w:tcPr>
            <w:tcW w:w="2099" w:type="dxa"/>
            <w:gridSpan w:val="2"/>
            <w:tcBorders>
              <w:top w:val="single" w:sz="4" w:space="0" w:color="auto"/>
              <w:left w:val="nil"/>
              <w:bottom w:val="single" w:sz="4" w:space="0" w:color="auto"/>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b/>
                <w:color w:val="000000"/>
                <w:sz w:val="20"/>
                <w:szCs w:val="20"/>
              </w:rPr>
            </w:pPr>
            <w:r w:rsidRPr="00B96235">
              <w:rPr>
                <w:rFonts w:ascii="Calibri" w:eastAsia="Times New Roman" w:hAnsi="Calibri" w:cs="Calibri"/>
                <w:b/>
                <w:color w:val="000000"/>
                <w:sz w:val="20"/>
                <w:szCs w:val="20"/>
              </w:rPr>
              <w:t>2009/10</w:t>
            </w:r>
          </w:p>
        </w:tc>
      </w:tr>
      <w:tr w:rsidR="00B96235" w:rsidRPr="00B96235" w:rsidTr="00B96235">
        <w:trPr>
          <w:trHeight w:val="288"/>
        </w:trPr>
        <w:tc>
          <w:tcPr>
            <w:tcW w:w="2483" w:type="dxa"/>
            <w:gridSpan w:val="3"/>
            <w:tcBorders>
              <w:top w:val="single" w:sz="4" w:space="0" w:color="auto"/>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Highest degree is:</w:t>
            </w:r>
          </w:p>
        </w:tc>
        <w:tc>
          <w:tcPr>
            <w:tcW w:w="1323" w:type="dxa"/>
            <w:tcBorders>
              <w:top w:val="single" w:sz="4" w:space="0" w:color="auto"/>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20" w:type="dxa"/>
            <w:tcBorders>
              <w:top w:val="single" w:sz="4" w:space="0" w:color="auto"/>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34" w:type="dxa"/>
            <w:tcBorders>
              <w:top w:val="single" w:sz="4" w:space="0" w:color="auto"/>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roofErr w:type="spellStart"/>
            <w:r w:rsidRPr="00B96235">
              <w:rPr>
                <w:rFonts w:ascii="Calibri" w:eastAsia="Times New Roman" w:hAnsi="Calibri" w:cs="Calibri"/>
                <w:color w:val="000000"/>
                <w:sz w:val="20"/>
                <w:szCs w:val="20"/>
              </w:rPr>
              <w:t>Coeff</w:t>
            </w:r>
            <w:proofErr w:type="spellEnd"/>
            <w:r w:rsidRPr="00B96235">
              <w:rPr>
                <w:rFonts w:ascii="Calibri" w:eastAsia="Times New Roman" w:hAnsi="Calibri" w:cs="Calibri"/>
                <w:color w:val="000000"/>
                <w:sz w:val="20"/>
                <w:szCs w:val="20"/>
              </w:rPr>
              <w:t>.</w:t>
            </w:r>
          </w:p>
        </w:tc>
        <w:tc>
          <w:tcPr>
            <w:tcW w:w="1134" w:type="dxa"/>
            <w:tcBorders>
              <w:top w:val="single" w:sz="4" w:space="0" w:color="auto"/>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Std. error</w:t>
            </w:r>
          </w:p>
        </w:tc>
        <w:tc>
          <w:tcPr>
            <w:tcW w:w="425" w:type="dxa"/>
            <w:tcBorders>
              <w:top w:val="single" w:sz="4" w:space="0" w:color="auto"/>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single" w:sz="4" w:space="0" w:color="auto"/>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roofErr w:type="spellStart"/>
            <w:r w:rsidRPr="00B96235">
              <w:rPr>
                <w:rFonts w:ascii="Calibri" w:eastAsia="Times New Roman" w:hAnsi="Calibri" w:cs="Calibri"/>
                <w:color w:val="000000"/>
                <w:sz w:val="20"/>
                <w:szCs w:val="20"/>
              </w:rPr>
              <w:t>Coeff</w:t>
            </w:r>
            <w:proofErr w:type="spellEnd"/>
            <w:r w:rsidRPr="00B96235">
              <w:rPr>
                <w:rFonts w:ascii="Calibri" w:eastAsia="Times New Roman" w:hAnsi="Calibri" w:cs="Calibri"/>
                <w:color w:val="000000"/>
                <w:sz w:val="20"/>
                <w:szCs w:val="20"/>
              </w:rPr>
              <w:t>.</w:t>
            </w:r>
          </w:p>
        </w:tc>
        <w:tc>
          <w:tcPr>
            <w:tcW w:w="1107" w:type="dxa"/>
            <w:tcBorders>
              <w:top w:val="single" w:sz="4" w:space="0" w:color="auto"/>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Std. error</w:t>
            </w:r>
          </w:p>
        </w:tc>
      </w:tr>
      <w:tr w:rsidR="00B96235" w:rsidRPr="00B96235" w:rsidTr="00B96235">
        <w:trPr>
          <w:trHeight w:val="288"/>
        </w:trPr>
        <w:tc>
          <w:tcPr>
            <w:tcW w:w="942"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PhD</w:t>
            </w:r>
          </w:p>
        </w:tc>
        <w:tc>
          <w:tcPr>
            <w:tcW w:w="15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32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2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685" w:type="dxa"/>
            <w:gridSpan w:val="4"/>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Medicine and related</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0.739</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0.062</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0.901</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0.037</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685" w:type="dxa"/>
            <w:gridSpan w:val="4"/>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Science and engineering</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0.560</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0.027</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0.586</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0.020</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685" w:type="dxa"/>
            <w:gridSpan w:val="4"/>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Social sciences, arts and humanities</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0.475</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0.046</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0.575</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0.032</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365"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Education</w:t>
            </w:r>
          </w:p>
        </w:tc>
        <w:tc>
          <w:tcPr>
            <w:tcW w:w="32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1.189</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0.233</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0.675</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0.104</w:t>
            </w:r>
          </w:p>
        </w:tc>
      </w:tr>
      <w:tr w:rsidR="00B96235" w:rsidRPr="00B96235" w:rsidTr="00B96235">
        <w:trPr>
          <w:trHeight w:val="288"/>
        </w:trPr>
        <w:tc>
          <w:tcPr>
            <w:tcW w:w="942"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Masters</w:t>
            </w:r>
          </w:p>
        </w:tc>
        <w:tc>
          <w:tcPr>
            <w:tcW w:w="15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32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2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685" w:type="dxa"/>
            <w:gridSpan w:val="4"/>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Medicine and related</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0.758</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0.066</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0.692</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0.031</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685" w:type="dxa"/>
            <w:gridSpan w:val="4"/>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Science and engineering</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0.487</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0.026</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0.501</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0.014</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685" w:type="dxa"/>
            <w:gridSpan w:val="4"/>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Social sciences, arts and humanities</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0.535</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0.484</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0.012</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365"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Education</w:t>
            </w:r>
          </w:p>
        </w:tc>
        <w:tc>
          <w:tcPr>
            <w:tcW w:w="32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0.559</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0.039</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0.528</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0.033</w:t>
            </w:r>
          </w:p>
        </w:tc>
      </w:tr>
      <w:tr w:rsidR="00B96235" w:rsidRPr="00B96235" w:rsidTr="00B96235">
        <w:trPr>
          <w:trHeight w:val="288"/>
        </w:trPr>
        <w:tc>
          <w:tcPr>
            <w:tcW w:w="4126" w:type="dxa"/>
            <w:gridSpan w:val="5"/>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Other postgraduate qualification</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685" w:type="dxa"/>
            <w:gridSpan w:val="4"/>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Medicine and related</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0.854</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0.054</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0.842</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0.038</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685" w:type="dxa"/>
            <w:gridSpan w:val="4"/>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Science and engineering</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0.429</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0.044</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0.420</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0.023</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685" w:type="dxa"/>
            <w:gridSpan w:val="4"/>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Social sciences, arts and humanities</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0.483</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0.035</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0.455</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0.016</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365"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Education</w:t>
            </w:r>
          </w:p>
        </w:tc>
        <w:tc>
          <w:tcPr>
            <w:tcW w:w="32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0.429</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0.057</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0.400</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0.016</w:t>
            </w:r>
          </w:p>
        </w:tc>
      </w:tr>
      <w:tr w:rsidR="00B96235" w:rsidRPr="00B96235" w:rsidTr="00B96235">
        <w:trPr>
          <w:trHeight w:val="288"/>
        </w:trPr>
        <w:tc>
          <w:tcPr>
            <w:tcW w:w="2483"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First degree:</w:t>
            </w:r>
          </w:p>
        </w:tc>
        <w:tc>
          <w:tcPr>
            <w:tcW w:w="132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2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685" w:type="dxa"/>
            <w:gridSpan w:val="4"/>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Medicine and related</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0.595</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0.022</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0.577</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0.016</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365"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Nursing</w:t>
            </w:r>
          </w:p>
        </w:tc>
        <w:tc>
          <w:tcPr>
            <w:tcW w:w="32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0.509</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0.073</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0.420</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0.022</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685" w:type="dxa"/>
            <w:gridSpan w:val="4"/>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Bio sciences/agriculture</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0.382</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0.023</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0.335</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0.015</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685" w:type="dxa"/>
            <w:gridSpan w:val="4"/>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Other sciences, maths, computing</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0.455</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0.014</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0.427</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0.012</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685" w:type="dxa"/>
            <w:gridSpan w:val="4"/>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Engineering/technology</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0.445</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0.014</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0.486</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0.014</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685" w:type="dxa"/>
            <w:gridSpan w:val="4"/>
            <w:tcBorders>
              <w:top w:val="nil"/>
              <w:left w:val="nil"/>
              <w:bottom w:val="nil"/>
              <w:right w:val="nil"/>
            </w:tcBorders>
            <w:shd w:val="clear" w:color="auto" w:fill="auto"/>
            <w:noWrap/>
            <w:vAlign w:val="bottom"/>
            <w:hideMark/>
          </w:tcPr>
          <w:p w:rsidR="00B96235" w:rsidRPr="00B96235" w:rsidRDefault="00B96235" w:rsidP="00B96235">
            <w:pPr>
              <w:spacing w:after="0" w:line="240" w:lineRule="auto"/>
              <w:ind w:left="175"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Social sciences, bus. admin, library studies</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0.470</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0.010</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0.428</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0.008</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365"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Languages</w:t>
            </w:r>
          </w:p>
        </w:tc>
        <w:tc>
          <w:tcPr>
            <w:tcW w:w="32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0.442</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0.019</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0.337</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0.017</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365"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Humanities</w:t>
            </w:r>
          </w:p>
        </w:tc>
        <w:tc>
          <w:tcPr>
            <w:tcW w:w="32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0.335</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0.021</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0.264</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0.020</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042"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Arts</w:t>
            </w:r>
          </w:p>
        </w:tc>
        <w:tc>
          <w:tcPr>
            <w:tcW w:w="132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2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0.280</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0.025</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0.199</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0.017</w:t>
            </w:r>
          </w:p>
        </w:tc>
      </w:tr>
      <w:tr w:rsidR="00B96235" w:rsidRPr="00B96235" w:rsidTr="00B96235">
        <w:trPr>
          <w:trHeight w:val="288"/>
        </w:trPr>
        <w:tc>
          <w:tcPr>
            <w:tcW w:w="4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365"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Education</w:t>
            </w:r>
          </w:p>
        </w:tc>
        <w:tc>
          <w:tcPr>
            <w:tcW w:w="32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0.429</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0.020</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0.359</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0.016</w:t>
            </w:r>
          </w:p>
        </w:tc>
      </w:tr>
      <w:tr w:rsidR="00B96235" w:rsidRPr="00B96235" w:rsidTr="00B96235">
        <w:trPr>
          <w:trHeight w:val="288"/>
        </w:trPr>
        <w:tc>
          <w:tcPr>
            <w:tcW w:w="3806" w:type="dxa"/>
            <w:gridSpan w:val="4"/>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firstLineChars="200" w:firstLine="400"/>
              <w:rPr>
                <w:rFonts w:ascii="Calibri" w:eastAsia="Times New Roman" w:hAnsi="Calibri" w:cs="Calibri"/>
                <w:color w:val="000000"/>
                <w:sz w:val="20"/>
                <w:szCs w:val="20"/>
              </w:rPr>
            </w:pPr>
            <w:r w:rsidRPr="00B96235">
              <w:rPr>
                <w:rFonts w:ascii="Calibri" w:eastAsia="Times New Roman" w:hAnsi="Calibri" w:cs="Calibri"/>
                <w:color w:val="000000"/>
                <w:sz w:val="20"/>
                <w:szCs w:val="20"/>
              </w:rPr>
              <w:t>'A' levels or equivalent</w:t>
            </w:r>
          </w:p>
        </w:tc>
        <w:tc>
          <w:tcPr>
            <w:tcW w:w="32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0.195</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0.008</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0.087</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0.006</w:t>
            </w:r>
          </w:p>
        </w:tc>
      </w:tr>
      <w:tr w:rsidR="00B96235" w:rsidRPr="00B96235" w:rsidTr="00B96235">
        <w:trPr>
          <w:trHeight w:val="288"/>
        </w:trPr>
        <w:tc>
          <w:tcPr>
            <w:tcW w:w="3806" w:type="dxa"/>
            <w:gridSpan w:val="4"/>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firstLineChars="200" w:firstLine="400"/>
              <w:rPr>
                <w:rFonts w:ascii="Calibri" w:eastAsia="Times New Roman" w:hAnsi="Calibri" w:cs="Calibri"/>
                <w:color w:val="000000"/>
                <w:sz w:val="20"/>
                <w:szCs w:val="20"/>
              </w:rPr>
            </w:pPr>
            <w:r w:rsidRPr="00B96235">
              <w:rPr>
                <w:rFonts w:ascii="Calibri" w:eastAsia="Times New Roman" w:hAnsi="Calibri" w:cs="Calibri"/>
                <w:color w:val="000000"/>
                <w:sz w:val="20"/>
                <w:szCs w:val="20"/>
              </w:rPr>
              <w:t>'O' level and equivalent</w:t>
            </w:r>
          </w:p>
        </w:tc>
        <w:tc>
          <w:tcPr>
            <w:tcW w:w="32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0.041</w:t>
            </w: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0.004</w:t>
            </w: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-0.009</w:t>
            </w: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0.004</w:t>
            </w:r>
          </w:p>
        </w:tc>
      </w:tr>
      <w:tr w:rsidR="00B96235" w:rsidRPr="00B96235" w:rsidTr="00B96235">
        <w:trPr>
          <w:trHeight w:val="288"/>
        </w:trPr>
        <w:tc>
          <w:tcPr>
            <w:tcW w:w="942"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541"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32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2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1134"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p>
        </w:tc>
        <w:tc>
          <w:tcPr>
            <w:tcW w:w="425"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99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color w:val="000000"/>
                <w:sz w:val="20"/>
                <w:szCs w:val="20"/>
              </w:rPr>
            </w:pPr>
          </w:p>
        </w:tc>
        <w:tc>
          <w:tcPr>
            <w:tcW w:w="1107"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p>
        </w:tc>
      </w:tr>
      <w:tr w:rsidR="00B96235" w:rsidRPr="00B96235" w:rsidTr="00B96235">
        <w:trPr>
          <w:trHeight w:val="288"/>
        </w:trPr>
        <w:tc>
          <w:tcPr>
            <w:tcW w:w="942" w:type="dxa"/>
            <w:gridSpan w:val="2"/>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541" w:type="dxa"/>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323" w:type="dxa"/>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20" w:type="dxa"/>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268" w:type="dxa"/>
            <w:gridSpan w:val="2"/>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N = 65,148</w:t>
            </w:r>
          </w:p>
        </w:tc>
        <w:tc>
          <w:tcPr>
            <w:tcW w:w="425" w:type="dxa"/>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099" w:type="dxa"/>
            <w:gridSpan w:val="2"/>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N = 75,284</w:t>
            </w:r>
          </w:p>
        </w:tc>
      </w:tr>
      <w:tr w:rsidR="00B96235" w:rsidRPr="00B96235" w:rsidTr="00B96235">
        <w:trPr>
          <w:trHeight w:val="288"/>
        </w:trPr>
        <w:tc>
          <w:tcPr>
            <w:tcW w:w="942" w:type="dxa"/>
            <w:gridSpan w:val="2"/>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541" w:type="dxa"/>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323" w:type="dxa"/>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320" w:type="dxa"/>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268" w:type="dxa"/>
            <w:gridSpan w:val="2"/>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Adj.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0.687</w:t>
            </w:r>
          </w:p>
        </w:tc>
        <w:tc>
          <w:tcPr>
            <w:tcW w:w="425" w:type="dxa"/>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099" w:type="dxa"/>
            <w:gridSpan w:val="2"/>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Adj.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0.633</w:t>
            </w:r>
          </w:p>
        </w:tc>
      </w:tr>
    </w:tbl>
    <w:p w:rsidR="00B96235" w:rsidRPr="004137C3" w:rsidRDefault="00231863" w:rsidP="00231863">
      <w:pPr>
        <w:spacing w:after="0" w:line="240" w:lineRule="auto"/>
        <w:rPr>
          <w:sz w:val="16"/>
          <w:szCs w:val="16"/>
        </w:rPr>
      </w:pPr>
      <w:r w:rsidRPr="004137C3">
        <w:rPr>
          <w:sz w:val="16"/>
          <w:szCs w:val="16"/>
        </w:rPr>
        <w:t>Source: Labour Force Surveys, composite files for 1994/95 and 2009/10.</w:t>
      </w:r>
    </w:p>
    <w:p w:rsidR="00B96235" w:rsidRPr="004137C3" w:rsidRDefault="00B96235" w:rsidP="00B96235">
      <w:pPr>
        <w:spacing w:after="0" w:line="240" w:lineRule="auto"/>
        <w:ind w:left="284" w:hanging="284"/>
        <w:rPr>
          <w:sz w:val="16"/>
          <w:szCs w:val="16"/>
        </w:rPr>
      </w:pPr>
      <w:r w:rsidRPr="004137C3">
        <w:rPr>
          <w:sz w:val="16"/>
          <w:szCs w:val="16"/>
        </w:rPr>
        <w:t>All earnings equations include the following variables (where relevant):</w:t>
      </w:r>
    </w:p>
    <w:p w:rsidR="00B96235" w:rsidRPr="004137C3" w:rsidRDefault="00B96235" w:rsidP="00B96235">
      <w:pPr>
        <w:spacing w:line="240" w:lineRule="auto"/>
        <w:ind w:left="284"/>
        <w:rPr>
          <w:sz w:val="16"/>
          <w:szCs w:val="16"/>
        </w:rPr>
      </w:pPr>
      <w:r w:rsidRPr="004137C3">
        <w:rPr>
          <w:sz w:val="16"/>
          <w:szCs w:val="16"/>
        </w:rPr>
        <w:t>age (single years); age</w:t>
      </w:r>
      <w:r w:rsidRPr="004137C3">
        <w:rPr>
          <w:sz w:val="16"/>
          <w:szCs w:val="16"/>
          <w:vertAlign w:val="superscript"/>
        </w:rPr>
        <w:t>2</w:t>
      </w:r>
      <w:r w:rsidRPr="004137C3">
        <w:rPr>
          <w:sz w:val="16"/>
          <w:szCs w:val="16"/>
        </w:rPr>
        <w:t>; gender; young children present in household (0-1 years, 2-4 years, 5-9 years, 10-14 years); tenure in current job (&lt; 1 year; 1-2 years; 2-3 years; 3-6 years; &gt; 6 years); ethnicity (White; Mixed; Asian; Black; Chinese; Other); area of residence (Inner London, Outer London, Rest of SE, Rest of UK exc. N Ireland, N. Ireland); self-declared part time working; usual weekly hours worked (0-10; 11-20; 21-30; 31-40; 41-50; 51-60; 61+); respondent was proxy.</w:t>
      </w:r>
    </w:p>
    <w:p w:rsidR="00B96235" w:rsidRDefault="00B96235" w:rsidP="00B96235">
      <w:pPr>
        <w:spacing w:line="240" w:lineRule="auto"/>
        <w:rPr>
          <w:sz w:val="18"/>
          <w:szCs w:val="18"/>
        </w:rPr>
      </w:pPr>
    </w:p>
    <w:p w:rsidR="00B96235" w:rsidRDefault="00B96235" w:rsidP="00B96235">
      <w:pPr>
        <w:spacing w:line="240" w:lineRule="auto"/>
        <w:rPr>
          <w:sz w:val="18"/>
          <w:szCs w:val="18"/>
        </w:rPr>
      </w:pPr>
    </w:p>
    <w:p w:rsidR="00B96235" w:rsidRDefault="00B96235" w:rsidP="00B96235">
      <w:pPr>
        <w:spacing w:line="240" w:lineRule="auto"/>
        <w:rPr>
          <w:sz w:val="18"/>
          <w:szCs w:val="18"/>
        </w:rPr>
      </w:pPr>
    </w:p>
    <w:p w:rsidR="00B96235" w:rsidRDefault="00B96235" w:rsidP="00B96235">
      <w:pPr>
        <w:rPr>
          <w:sz w:val="18"/>
          <w:szCs w:val="18"/>
        </w:rPr>
      </w:pPr>
      <w:r>
        <w:rPr>
          <w:sz w:val="18"/>
          <w:szCs w:val="18"/>
        </w:rPr>
        <w:br w:type="page"/>
      </w:r>
    </w:p>
    <w:p w:rsidR="00B96235" w:rsidRDefault="00B96235" w:rsidP="00B96235">
      <w:pPr>
        <w:rPr>
          <w:sz w:val="18"/>
          <w:szCs w:val="18"/>
        </w:rPr>
        <w:sectPr w:rsidR="00B96235" w:rsidSect="00822DB7">
          <w:pgSz w:w="11906" w:h="16838"/>
          <w:pgMar w:top="1440" w:right="1440" w:bottom="1440" w:left="1440" w:header="708" w:footer="708" w:gutter="0"/>
          <w:cols w:space="708"/>
          <w:docGrid w:linePitch="360"/>
        </w:sectPr>
      </w:pPr>
    </w:p>
    <w:p w:rsidR="00B96235" w:rsidRPr="00B96235" w:rsidRDefault="00B96235" w:rsidP="00B96235">
      <w:pPr>
        <w:spacing w:after="0" w:line="240" w:lineRule="auto"/>
        <w:ind w:left="284" w:hanging="284"/>
        <w:rPr>
          <w:b/>
        </w:rPr>
      </w:pPr>
      <w:r>
        <w:rPr>
          <w:b/>
        </w:rPr>
        <w:lastRenderedPageBreak/>
        <w:t>Table 6:</w:t>
      </w:r>
      <w:r>
        <w:rPr>
          <w:b/>
        </w:rPr>
        <w:tab/>
        <w:t xml:space="preserve">Earnings and qualifications, </w:t>
      </w:r>
      <w:proofErr w:type="spellStart"/>
      <w:r>
        <w:rPr>
          <w:b/>
        </w:rPr>
        <w:t>quantile</w:t>
      </w:r>
      <w:proofErr w:type="spellEnd"/>
      <w:r>
        <w:rPr>
          <w:b/>
        </w:rPr>
        <w:t xml:space="preserve"> regression estimates 1994/95 and 2009/10</w:t>
      </w:r>
    </w:p>
    <w:p w:rsidR="00B96235" w:rsidRDefault="00B96235" w:rsidP="00B96235">
      <w:pPr>
        <w:spacing w:after="0" w:line="240" w:lineRule="auto"/>
        <w:ind w:left="284" w:hanging="284"/>
        <w:rPr>
          <w:sz w:val="18"/>
          <w:szCs w:val="18"/>
        </w:rPr>
      </w:pPr>
    </w:p>
    <w:tbl>
      <w:tblPr>
        <w:tblW w:w="13198" w:type="dxa"/>
        <w:tblInd w:w="93" w:type="dxa"/>
        <w:tblLook w:val="04A0" w:firstRow="1" w:lastRow="0" w:firstColumn="1" w:lastColumn="0" w:noHBand="0" w:noVBand="1"/>
      </w:tblPr>
      <w:tblGrid>
        <w:gridCol w:w="3302"/>
        <w:gridCol w:w="960"/>
        <w:gridCol w:w="1140"/>
        <w:gridCol w:w="780"/>
        <w:gridCol w:w="1204"/>
        <w:gridCol w:w="749"/>
        <w:gridCol w:w="1236"/>
        <w:gridCol w:w="754"/>
        <w:gridCol w:w="1089"/>
        <w:gridCol w:w="774"/>
        <w:gridCol w:w="57"/>
        <w:gridCol w:w="1153"/>
      </w:tblGrid>
      <w:tr w:rsidR="00B96235" w:rsidRPr="00B96235" w:rsidTr="00B96235">
        <w:trPr>
          <w:trHeight w:val="524"/>
        </w:trPr>
        <w:tc>
          <w:tcPr>
            <w:tcW w:w="3302" w:type="dxa"/>
            <w:tcBorders>
              <w:top w:val="single" w:sz="4" w:space="0" w:color="auto"/>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 xml:space="preserve">Men and women (22-34 years) </w:t>
            </w:r>
          </w:p>
        </w:tc>
        <w:tc>
          <w:tcPr>
            <w:tcW w:w="2100" w:type="dxa"/>
            <w:gridSpan w:val="2"/>
            <w:tcBorders>
              <w:top w:val="single" w:sz="4" w:space="0" w:color="auto"/>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 xml:space="preserve">10% </w:t>
            </w:r>
            <w:proofErr w:type="spellStart"/>
            <w:r w:rsidRPr="00B96235">
              <w:rPr>
                <w:rFonts w:ascii="Calibri" w:eastAsia="Times New Roman" w:hAnsi="Calibri" w:cs="Calibri"/>
                <w:color w:val="000000"/>
                <w:sz w:val="20"/>
                <w:szCs w:val="20"/>
              </w:rPr>
              <w:t>quantile</w:t>
            </w:r>
            <w:proofErr w:type="spellEnd"/>
          </w:p>
        </w:tc>
        <w:tc>
          <w:tcPr>
            <w:tcW w:w="1984" w:type="dxa"/>
            <w:gridSpan w:val="2"/>
            <w:tcBorders>
              <w:top w:val="single" w:sz="4" w:space="0" w:color="auto"/>
              <w:left w:val="nil"/>
              <w:bottom w:val="single" w:sz="4" w:space="0" w:color="auto"/>
              <w:right w:val="nil"/>
            </w:tcBorders>
            <w:shd w:val="clear" w:color="auto" w:fill="auto"/>
            <w:vAlign w:val="bottom"/>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 xml:space="preserve">25% </w:t>
            </w:r>
            <w:proofErr w:type="spellStart"/>
            <w:r w:rsidRPr="00B96235">
              <w:rPr>
                <w:rFonts w:ascii="Calibri" w:eastAsia="Times New Roman" w:hAnsi="Calibri" w:cs="Calibri"/>
                <w:color w:val="000000"/>
                <w:sz w:val="20"/>
                <w:szCs w:val="20"/>
              </w:rPr>
              <w:t>quantile</w:t>
            </w:r>
            <w:proofErr w:type="spellEnd"/>
          </w:p>
        </w:tc>
        <w:tc>
          <w:tcPr>
            <w:tcW w:w="1985" w:type="dxa"/>
            <w:gridSpan w:val="2"/>
            <w:tcBorders>
              <w:top w:val="single" w:sz="4" w:space="0" w:color="auto"/>
              <w:left w:val="nil"/>
              <w:bottom w:val="single" w:sz="4" w:space="0" w:color="auto"/>
              <w:right w:val="nil"/>
            </w:tcBorders>
            <w:shd w:val="clear" w:color="auto" w:fill="auto"/>
            <w:vAlign w:val="bottom"/>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 xml:space="preserve">50% </w:t>
            </w:r>
            <w:proofErr w:type="spellStart"/>
            <w:r w:rsidRPr="00B96235">
              <w:rPr>
                <w:rFonts w:ascii="Calibri" w:eastAsia="Times New Roman" w:hAnsi="Calibri" w:cs="Calibri"/>
                <w:color w:val="000000"/>
                <w:sz w:val="20"/>
                <w:szCs w:val="20"/>
              </w:rPr>
              <w:t>quantile</w:t>
            </w:r>
            <w:proofErr w:type="spellEnd"/>
          </w:p>
        </w:tc>
        <w:tc>
          <w:tcPr>
            <w:tcW w:w="1843" w:type="dxa"/>
            <w:gridSpan w:val="2"/>
            <w:tcBorders>
              <w:top w:val="single" w:sz="4" w:space="0" w:color="auto"/>
              <w:left w:val="nil"/>
              <w:bottom w:val="single" w:sz="4" w:space="0" w:color="auto"/>
              <w:right w:val="nil"/>
            </w:tcBorders>
            <w:shd w:val="clear" w:color="auto" w:fill="auto"/>
            <w:vAlign w:val="bottom"/>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 xml:space="preserve">75% </w:t>
            </w:r>
            <w:proofErr w:type="spellStart"/>
            <w:r w:rsidRPr="00B96235">
              <w:rPr>
                <w:rFonts w:ascii="Calibri" w:eastAsia="Times New Roman" w:hAnsi="Calibri" w:cs="Calibri"/>
                <w:color w:val="000000"/>
                <w:sz w:val="20"/>
                <w:szCs w:val="20"/>
              </w:rPr>
              <w:t>quantile</w:t>
            </w:r>
            <w:proofErr w:type="spellEnd"/>
          </w:p>
        </w:tc>
        <w:tc>
          <w:tcPr>
            <w:tcW w:w="1984" w:type="dxa"/>
            <w:gridSpan w:val="3"/>
            <w:tcBorders>
              <w:top w:val="single" w:sz="4" w:space="0" w:color="auto"/>
              <w:left w:val="nil"/>
              <w:bottom w:val="single" w:sz="4" w:space="0" w:color="auto"/>
              <w:right w:val="nil"/>
            </w:tcBorders>
            <w:shd w:val="clear" w:color="auto" w:fill="auto"/>
            <w:vAlign w:val="bottom"/>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 xml:space="preserve">90% </w:t>
            </w:r>
            <w:proofErr w:type="spellStart"/>
            <w:r w:rsidRPr="00B96235">
              <w:rPr>
                <w:rFonts w:ascii="Calibri" w:eastAsia="Times New Roman" w:hAnsi="Calibri" w:cs="Calibri"/>
                <w:color w:val="000000"/>
                <w:sz w:val="20"/>
                <w:szCs w:val="20"/>
              </w:rPr>
              <w:t>quantile</w:t>
            </w:r>
            <w:proofErr w:type="spellEnd"/>
          </w:p>
        </w:tc>
      </w:tr>
      <w:tr w:rsidR="00B96235" w:rsidRPr="00B96235" w:rsidTr="00B96235">
        <w:trPr>
          <w:trHeight w:val="523"/>
        </w:trPr>
        <w:tc>
          <w:tcPr>
            <w:tcW w:w="3302" w:type="dxa"/>
            <w:tcBorders>
              <w:left w:val="nil"/>
              <w:bottom w:val="nil"/>
              <w:right w:val="nil"/>
            </w:tcBorders>
            <w:shd w:val="clear" w:color="auto" w:fill="auto"/>
            <w:noWrap/>
            <w:vAlign w:val="bottom"/>
          </w:tcPr>
          <w:p w:rsidR="00B96235" w:rsidRPr="00B96235" w:rsidRDefault="00B96235" w:rsidP="00B96235">
            <w:pPr>
              <w:spacing w:after="0" w:line="240" w:lineRule="auto"/>
              <w:rPr>
                <w:rFonts w:ascii="Calibri" w:eastAsia="Times New Roman" w:hAnsi="Calibri" w:cs="Calibri"/>
                <w:b/>
                <w:color w:val="000000"/>
                <w:sz w:val="20"/>
                <w:szCs w:val="20"/>
              </w:rPr>
            </w:pPr>
            <w:r w:rsidRPr="00B96235">
              <w:rPr>
                <w:rFonts w:ascii="Calibri" w:eastAsia="Times New Roman" w:hAnsi="Calibri" w:cs="Calibri"/>
                <w:b/>
                <w:color w:val="000000"/>
                <w:sz w:val="20"/>
                <w:szCs w:val="20"/>
              </w:rPr>
              <w:t>1994/95</w:t>
            </w:r>
          </w:p>
        </w:tc>
        <w:tc>
          <w:tcPr>
            <w:tcW w:w="960" w:type="dxa"/>
            <w:tcBorders>
              <w:top w:val="single" w:sz="4" w:space="0" w:color="auto"/>
              <w:left w:val="nil"/>
              <w:bottom w:val="nil"/>
              <w:right w:val="nil"/>
            </w:tcBorders>
            <w:shd w:val="clear" w:color="auto" w:fill="auto"/>
            <w:noWrap/>
            <w:vAlign w:val="center"/>
          </w:tcPr>
          <w:p w:rsidR="00B96235" w:rsidRPr="00B96235" w:rsidRDefault="00B96235" w:rsidP="00B96235">
            <w:pPr>
              <w:spacing w:after="0" w:line="240" w:lineRule="auto"/>
              <w:jc w:val="center"/>
              <w:rPr>
                <w:rFonts w:ascii="Calibri" w:eastAsia="Times New Roman" w:hAnsi="Calibri" w:cs="Calibri"/>
                <w:color w:val="000000"/>
                <w:sz w:val="20"/>
                <w:szCs w:val="20"/>
              </w:rPr>
            </w:pPr>
            <w:proofErr w:type="spellStart"/>
            <w:r w:rsidRPr="00B96235">
              <w:rPr>
                <w:rFonts w:ascii="Calibri" w:eastAsia="Times New Roman" w:hAnsi="Calibri" w:cs="Calibri"/>
                <w:color w:val="000000"/>
                <w:sz w:val="20"/>
                <w:szCs w:val="20"/>
              </w:rPr>
              <w:t>Coeff</w:t>
            </w:r>
            <w:proofErr w:type="spellEnd"/>
            <w:r w:rsidRPr="00B96235">
              <w:rPr>
                <w:rFonts w:ascii="Calibri" w:eastAsia="Times New Roman" w:hAnsi="Calibri" w:cs="Calibri"/>
                <w:color w:val="000000"/>
                <w:sz w:val="20"/>
                <w:szCs w:val="20"/>
              </w:rPr>
              <w:t>.</w:t>
            </w:r>
          </w:p>
        </w:tc>
        <w:tc>
          <w:tcPr>
            <w:tcW w:w="1140" w:type="dxa"/>
            <w:tcBorders>
              <w:top w:val="single" w:sz="4" w:space="0" w:color="auto"/>
              <w:left w:val="nil"/>
              <w:bottom w:val="nil"/>
              <w:right w:val="nil"/>
            </w:tcBorders>
            <w:shd w:val="clear" w:color="auto" w:fill="auto"/>
            <w:vAlign w:val="center"/>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Std. error</w:t>
            </w:r>
          </w:p>
        </w:tc>
        <w:tc>
          <w:tcPr>
            <w:tcW w:w="780" w:type="dxa"/>
            <w:tcBorders>
              <w:top w:val="single" w:sz="4" w:space="0" w:color="auto"/>
              <w:left w:val="nil"/>
              <w:bottom w:val="nil"/>
              <w:right w:val="nil"/>
            </w:tcBorders>
            <w:shd w:val="clear" w:color="auto" w:fill="auto"/>
            <w:vAlign w:val="center"/>
          </w:tcPr>
          <w:p w:rsidR="00B96235" w:rsidRPr="00B96235" w:rsidRDefault="00B96235" w:rsidP="00B96235">
            <w:pPr>
              <w:spacing w:after="0" w:line="240" w:lineRule="auto"/>
              <w:jc w:val="center"/>
              <w:rPr>
                <w:rFonts w:ascii="Calibri" w:eastAsia="Times New Roman" w:hAnsi="Calibri" w:cs="Calibri"/>
                <w:color w:val="000000"/>
                <w:sz w:val="20"/>
                <w:szCs w:val="20"/>
              </w:rPr>
            </w:pPr>
            <w:proofErr w:type="spellStart"/>
            <w:r w:rsidRPr="00B96235">
              <w:rPr>
                <w:rFonts w:ascii="Calibri" w:eastAsia="Times New Roman" w:hAnsi="Calibri" w:cs="Calibri"/>
                <w:color w:val="000000"/>
                <w:sz w:val="20"/>
                <w:szCs w:val="20"/>
              </w:rPr>
              <w:t>Coeff</w:t>
            </w:r>
            <w:proofErr w:type="spellEnd"/>
            <w:r w:rsidRPr="00B96235">
              <w:rPr>
                <w:rFonts w:ascii="Calibri" w:eastAsia="Times New Roman" w:hAnsi="Calibri" w:cs="Calibri"/>
                <w:color w:val="000000"/>
                <w:sz w:val="20"/>
                <w:szCs w:val="20"/>
              </w:rPr>
              <w:t>.</w:t>
            </w:r>
          </w:p>
        </w:tc>
        <w:tc>
          <w:tcPr>
            <w:tcW w:w="1204" w:type="dxa"/>
            <w:tcBorders>
              <w:top w:val="single" w:sz="4" w:space="0" w:color="auto"/>
              <w:left w:val="nil"/>
              <w:bottom w:val="nil"/>
              <w:right w:val="nil"/>
            </w:tcBorders>
            <w:shd w:val="clear" w:color="auto" w:fill="auto"/>
            <w:vAlign w:val="center"/>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Std. error</w:t>
            </w:r>
          </w:p>
        </w:tc>
        <w:tc>
          <w:tcPr>
            <w:tcW w:w="749" w:type="dxa"/>
            <w:tcBorders>
              <w:top w:val="single" w:sz="4" w:space="0" w:color="auto"/>
              <w:left w:val="nil"/>
              <w:bottom w:val="nil"/>
              <w:right w:val="nil"/>
            </w:tcBorders>
            <w:shd w:val="clear" w:color="auto" w:fill="auto"/>
            <w:vAlign w:val="center"/>
          </w:tcPr>
          <w:p w:rsidR="00B96235" w:rsidRPr="00B96235" w:rsidRDefault="00B96235" w:rsidP="00B96235">
            <w:pPr>
              <w:spacing w:after="0" w:line="240" w:lineRule="auto"/>
              <w:jc w:val="center"/>
              <w:rPr>
                <w:rFonts w:ascii="Calibri" w:eastAsia="Times New Roman" w:hAnsi="Calibri" w:cs="Calibri"/>
                <w:color w:val="000000"/>
                <w:sz w:val="20"/>
                <w:szCs w:val="20"/>
              </w:rPr>
            </w:pPr>
            <w:proofErr w:type="spellStart"/>
            <w:r w:rsidRPr="00B96235">
              <w:rPr>
                <w:rFonts w:ascii="Calibri" w:eastAsia="Times New Roman" w:hAnsi="Calibri" w:cs="Calibri"/>
                <w:color w:val="000000"/>
                <w:sz w:val="20"/>
                <w:szCs w:val="20"/>
              </w:rPr>
              <w:t>Coeff</w:t>
            </w:r>
            <w:proofErr w:type="spellEnd"/>
            <w:r w:rsidRPr="00B96235">
              <w:rPr>
                <w:rFonts w:ascii="Calibri" w:eastAsia="Times New Roman" w:hAnsi="Calibri" w:cs="Calibri"/>
                <w:color w:val="000000"/>
                <w:sz w:val="20"/>
                <w:szCs w:val="20"/>
              </w:rPr>
              <w:t>.</w:t>
            </w:r>
          </w:p>
        </w:tc>
        <w:tc>
          <w:tcPr>
            <w:tcW w:w="1236" w:type="dxa"/>
            <w:tcBorders>
              <w:top w:val="single" w:sz="4" w:space="0" w:color="auto"/>
              <w:left w:val="nil"/>
              <w:bottom w:val="nil"/>
              <w:right w:val="nil"/>
            </w:tcBorders>
            <w:shd w:val="clear" w:color="auto" w:fill="auto"/>
            <w:vAlign w:val="center"/>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Std. error</w:t>
            </w:r>
          </w:p>
        </w:tc>
        <w:tc>
          <w:tcPr>
            <w:tcW w:w="754" w:type="dxa"/>
            <w:tcBorders>
              <w:top w:val="single" w:sz="4" w:space="0" w:color="auto"/>
              <w:left w:val="nil"/>
              <w:bottom w:val="nil"/>
              <w:right w:val="nil"/>
            </w:tcBorders>
            <w:shd w:val="clear" w:color="auto" w:fill="auto"/>
            <w:vAlign w:val="center"/>
          </w:tcPr>
          <w:p w:rsidR="00B96235" w:rsidRPr="00B96235" w:rsidRDefault="00B96235" w:rsidP="00B96235">
            <w:pPr>
              <w:spacing w:after="0" w:line="240" w:lineRule="auto"/>
              <w:jc w:val="center"/>
              <w:rPr>
                <w:rFonts w:ascii="Calibri" w:eastAsia="Times New Roman" w:hAnsi="Calibri" w:cs="Calibri"/>
                <w:color w:val="000000"/>
                <w:sz w:val="20"/>
                <w:szCs w:val="20"/>
              </w:rPr>
            </w:pPr>
            <w:proofErr w:type="spellStart"/>
            <w:r w:rsidRPr="00B96235">
              <w:rPr>
                <w:rFonts w:ascii="Calibri" w:eastAsia="Times New Roman" w:hAnsi="Calibri" w:cs="Calibri"/>
                <w:color w:val="000000"/>
                <w:sz w:val="20"/>
                <w:szCs w:val="20"/>
              </w:rPr>
              <w:t>Coeff</w:t>
            </w:r>
            <w:proofErr w:type="spellEnd"/>
            <w:r w:rsidRPr="00B96235">
              <w:rPr>
                <w:rFonts w:ascii="Calibri" w:eastAsia="Times New Roman" w:hAnsi="Calibri" w:cs="Calibri"/>
                <w:color w:val="000000"/>
                <w:sz w:val="20"/>
                <w:szCs w:val="20"/>
              </w:rPr>
              <w:t>.</w:t>
            </w:r>
          </w:p>
        </w:tc>
        <w:tc>
          <w:tcPr>
            <w:tcW w:w="1089" w:type="dxa"/>
            <w:tcBorders>
              <w:top w:val="single" w:sz="4" w:space="0" w:color="auto"/>
              <w:left w:val="nil"/>
              <w:bottom w:val="nil"/>
              <w:right w:val="nil"/>
            </w:tcBorders>
            <w:shd w:val="clear" w:color="auto" w:fill="auto"/>
            <w:vAlign w:val="center"/>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Std. error</w:t>
            </w:r>
          </w:p>
        </w:tc>
        <w:tc>
          <w:tcPr>
            <w:tcW w:w="774" w:type="dxa"/>
            <w:tcBorders>
              <w:top w:val="single" w:sz="4" w:space="0" w:color="auto"/>
              <w:left w:val="nil"/>
              <w:bottom w:val="nil"/>
              <w:right w:val="nil"/>
            </w:tcBorders>
            <w:shd w:val="clear" w:color="auto" w:fill="auto"/>
            <w:vAlign w:val="center"/>
          </w:tcPr>
          <w:p w:rsidR="00B96235" w:rsidRPr="00B96235" w:rsidRDefault="00B96235" w:rsidP="00B96235">
            <w:pPr>
              <w:spacing w:after="0" w:line="240" w:lineRule="auto"/>
              <w:jc w:val="center"/>
              <w:rPr>
                <w:rFonts w:ascii="Calibri" w:eastAsia="Times New Roman" w:hAnsi="Calibri" w:cs="Calibri"/>
                <w:color w:val="000000"/>
                <w:sz w:val="20"/>
                <w:szCs w:val="20"/>
              </w:rPr>
            </w:pPr>
            <w:proofErr w:type="spellStart"/>
            <w:r w:rsidRPr="00B96235">
              <w:rPr>
                <w:rFonts w:ascii="Calibri" w:eastAsia="Times New Roman" w:hAnsi="Calibri" w:cs="Calibri"/>
                <w:color w:val="000000"/>
                <w:sz w:val="20"/>
                <w:szCs w:val="20"/>
              </w:rPr>
              <w:t>Coeff</w:t>
            </w:r>
            <w:proofErr w:type="spellEnd"/>
            <w:r w:rsidRPr="00B96235">
              <w:rPr>
                <w:rFonts w:ascii="Calibri" w:eastAsia="Times New Roman" w:hAnsi="Calibri" w:cs="Calibri"/>
                <w:color w:val="000000"/>
                <w:sz w:val="20"/>
                <w:szCs w:val="20"/>
              </w:rPr>
              <w:t>.</w:t>
            </w:r>
          </w:p>
        </w:tc>
        <w:tc>
          <w:tcPr>
            <w:tcW w:w="1210" w:type="dxa"/>
            <w:gridSpan w:val="2"/>
            <w:tcBorders>
              <w:top w:val="single" w:sz="4" w:space="0" w:color="auto"/>
              <w:left w:val="nil"/>
              <w:bottom w:val="nil"/>
              <w:right w:val="nil"/>
            </w:tcBorders>
            <w:shd w:val="clear" w:color="auto" w:fill="auto"/>
            <w:vAlign w:val="center"/>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Std. error</w:t>
            </w:r>
          </w:p>
        </w:tc>
      </w:tr>
      <w:tr w:rsidR="00B96235" w:rsidRPr="00B96235" w:rsidTr="00B96235">
        <w:trPr>
          <w:trHeight w:val="288"/>
        </w:trPr>
        <w:tc>
          <w:tcPr>
            <w:tcW w:w="330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PhD</w:t>
            </w:r>
          </w:p>
        </w:tc>
        <w:tc>
          <w:tcPr>
            <w:tcW w:w="96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0.587</w:t>
            </w:r>
          </w:p>
        </w:tc>
        <w:tc>
          <w:tcPr>
            <w:tcW w:w="114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0.052</w:t>
            </w:r>
          </w:p>
        </w:tc>
        <w:tc>
          <w:tcPr>
            <w:tcW w:w="78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0.500</w:t>
            </w:r>
          </w:p>
        </w:tc>
        <w:tc>
          <w:tcPr>
            <w:tcW w:w="120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0.039</w:t>
            </w:r>
          </w:p>
        </w:tc>
        <w:tc>
          <w:tcPr>
            <w:tcW w:w="74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0.375</w:t>
            </w:r>
          </w:p>
        </w:tc>
        <w:tc>
          <w:tcPr>
            <w:tcW w:w="123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0.037</w:t>
            </w:r>
          </w:p>
        </w:tc>
        <w:tc>
          <w:tcPr>
            <w:tcW w:w="75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0.279</w:t>
            </w:r>
          </w:p>
        </w:tc>
        <w:tc>
          <w:tcPr>
            <w:tcW w:w="108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0.040</w:t>
            </w:r>
          </w:p>
        </w:tc>
        <w:tc>
          <w:tcPr>
            <w:tcW w:w="831"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0.239</w:t>
            </w:r>
          </w:p>
        </w:tc>
        <w:tc>
          <w:tcPr>
            <w:tcW w:w="115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0.062</w:t>
            </w:r>
          </w:p>
        </w:tc>
      </w:tr>
      <w:tr w:rsidR="00B96235" w:rsidRPr="00B96235" w:rsidTr="00B96235">
        <w:trPr>
          <w:trHeight w:val="288"/>
        </w:trPr>
        <w:tc>
          <w:tcPr>
            <w:tcW w:w="330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Master's degree</w:t>
            </w:r>
          </w:p>
        </w:tc>
        <w:tc>
          <w:tcPr>
            <w:tcW w:w="96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0.511</w:t>
            </w:r>
          </w:p>
        </w:tc>
        <w:tc>
          <w:tcPr>
            <w:tcW w:w="114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0.035</w:t>
            </w:r>
          </w:p>
        </w:tc>
        <w:tc>
          <w:tcPr>
            <w:tcW w:w="78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0.471</w:t>
            </w:r>
          </w:p>
        </w:tc>
        <w:tc>
          <w:tcPr>
            <w:tcW w:w="120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0.026</w:t>
            </w:r>
          </w:p>
        </w:tc>
        <w:tc>
          <w:tcPr>
            <w:tcW w:w="74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0.444</w:t>
            </w:r>
          </w:p>
        </w:tc>
        <w:tc>
          <w:tcPr>
            <w:tcW w:w="123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0.024</w:t>
            </w:r>
          </w:p>
        </w:tc>
        <w:tc>
          <w:tcPr>
            <w:tcW w:w="75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0.356</w:t>
            </w:r>
          </w:p>
        </w:tc>
        <w:tc>
          <w:tcPr>
            <w:tcW w:w="108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0.027</w:t>
            </w:r>
          </w:p>
        </w:tc>
        <w:tc>
          <w:tcPr>
            <w:tcW w:w="831"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0.265</w:t>
            </w:r>
          </w:p>
        </w:tc>
        <w:tc>
          <w:tcPr>
            <w:tcW w:w="115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0.042</w:t>
            </w:r>
          </w:p>
        </w:tc>
      </w:tr>
      <w:tr w:rsidR="00B96235" w:rsidRPr="00B96235" w:rsidTr="00B96235">
        <w:trPr>
          <w:trHeight w:val="288"/>
        </w:trPr>
        <w:tc>
          <w:tcPr>
            <w:tcW w:w="330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Other postgraduate qualification</w:t>
            </w:r>
          </w:p>
        </w:tc>
        <w:tc>
          <w:tcPr>
            <w:tcW w:w="96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0.454</w:t>
            </w:r>
          </w:p>
        </w:tc>
        <w:tc>
          <w:tcPr>
            <w:tcW w:w="114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0.048</w:t>
            </w:r>
          </w:p>
        </w:tc>
        <w:tc>
          <w:tcPr>
            <w:tcW w:w="78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0.424</w:t>
            </w:r>
          </w:p>
        </w:tc>
        <w:tc>
          <w:tcPr>
            <w:tcW w:w="120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0.035</w:t>
            </w:r>
          </w:p>
        </w:tc>
        <w:tc>
          <w:tcPr>
            <w:tcW w:w="74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0.375</w:t>
            </w:r>
          </w:p>
        </w:tc>
        <w:tc>
          <w:tcPr>
            <w:tcW w:w="123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0.033</w:t>
            </w:r>
          </w:p>
        </w:tc>
        <w:tc>
          <w:tcPr>
            <w:tcW w:w="75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0.307</w:t>
            </w:r>
          </w:p>
        </w:tc>
        <w:tc>
          <w:tcPr>
            <w:tcW w:w="108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0.036</w:t>
            </w:r>
          </w:p>
        </w:tc>
        <w:tc>
          <w:tcPr>
            <w:tcW w:w="831"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0.307</w:t>
            </w:r>
          </w:p>
        </w:tc>
        <w:tc>
          <w:tcPr>
            <w:tcW w:w="115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0.057</w:t>
            </w:r>
          </w:p>
        </w:tc>
      </w:tr>
      <w:tr w:rsidR="00B96235" w:rsidRPr="00B96235" w:rsidTr="00B96235">
        <w:trPr>
          <w:trHeight w:val="288"/>
        </w:trPr>
        <w:tc>
          <w:tcPr>
            <w:tcW w:w="330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First degree</w:t>
            </w:r>
          </w:p>
        </w:tc>
        <w:tc>
          <w:tcPr>
            <w:tcW w:w="96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0.394</w:t>
            </w:r>
          </w:p>
        </w:tc>
        <w:tc>
          <w:tcPr>
            <w:tcW w:w="114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0.013</w:t>
            </w:r>
          </w:p>
        </w:tc>
        <w:tc>
          <w:tcPr>
            <w:tcW w:w="78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0.390</w:t>
            </w:r>
          </w:p>
        </w:tc>
        <w:tc>
          <w:tcPr>
            <w:tcW w:w="120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0.009</w:t>
            </w:r>
          </w:p>
        </w:tc>
        <w:tc>
          <w:tcPr>
            <w:tcW w:w="74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0.354</w:t>
            </w:r>
          </w:p>
        </w:tc>
        <w:tc>
          <w:tcPr>
            <w:tcW w:w="123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0.009</w:t>
            </w:r>
          </w:p>
        </w:tc>
        <w:tc>
          <w:tcPr>
            <w:tcW w:w="75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0.285</w:t>
            </w:r>
          </w:p>
        </w:tc>
        <w:tc>
          <w:tcPr>
            <w:tcW w:w="108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0.010</w:t>
            </w:r>
          </w:p>
        </w:tc>
        <w:tc>
          <w:tcPr>
            <w:tcW w:w="831"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0.237</w:t>
            </w:r>
          </w:p>
        </w:tc>
        <w:tc>
          <w:tcPr>
            <w:tcW w:w="115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0.016</w:t>
            </w:r>
          </w:p>
        </w:tc>
      </w:tr>
      <w:tr w:rsidR="00B96235" w:rsidRPr="00B96235" w:rsidTr="00B96235">
        <w:trPr>
          <w:trHeight w:val="288"/>
        </w:trPr>
        <w:tc>
          <w:tcPr>
            <w:tcW w:w="330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'A' levels or equivalent</w:t>
            </w:r>
          </w:p>
        </w:tc>
        <w:tc>
          <w:tcPr>
            <w:tcW w:w="96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0.182</w:t>
            </w:r>
          </w:p>
        </w:tc>
        <w:tc>
          <w:tcPr>
            <w:tcW w:w="114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0.016</w:t>
            </w:r>
          </w:p>
        </w:tc>
        <w:tc>
          <w:tcPr>
            <w:tcW w:w="78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0.150</w:t>
            </w:r>
          </w:p>
        </w:tc>
        <w:tc>
          <w:tcPr>
            <w:tcW w:w="120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0.012</w:t>
            </w:r>
          </w:p>
        </w:tc>
        <w:tc>
          <w:tcPr>
            <w:tcW w:w="74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0.136</w:t>
            </w:r>
          </w:p>
        </w:tc>
        <w:tc>
          <w:tcPr>
            <w:tcW w:w="123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0.011</w:t>
            </w:r>
          </w:p>
        </w:tc>
        <w:tc>
          <w:tcPr>
            <w:tcW w:w="75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0.106</w:t>
            </w:r>
          </w:p>
        </w:tc>
        <w:tc>
          <w:tcPr>
            <w:tcW w:w="108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0.012</w:t>
            </w:r>
          </w:p>
        </w:tc>
        <w:tc>
          <w:tcPr>
            <w:tcW w:w="831"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0.096</w:t>
            </w:r>
          </w:p>
        </w:tc>
        <w:tc>
          <w:tcPr>
            <w:tcW w:w="115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0.019</w:t>
            </w:r>
          </w:p>
        </w:tc>
      </w:tr>
      <w:tr w:rsidR="00B96235" w:rsidRPr="00B96235" w:rsidTr="00B96235">
        <w:trPr>
          <w:trHeight w:val="288"/>
        </w:trPr>
        <w:tc>
          <w:tcPr>
            <w:tcW w:w="330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'O' level and equivalent</w:t>
            </w:r>
          </w:p>
        </w:tc>
        <w:tc>
          <w:tcPr>
            <w:tcW w:w="96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0.067</w:t>
            </w:r>
          </w:p>
        </w:tc>
        <w:tc>
          <w:tcPr>
            <w:tcW w:w="114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0.009</w:t>
            </w:r>
          </w:p>
        </w:tc>
        <w:tc>
          <w:tcPr>
            <w:tcW w:w="78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0.050</w:t>
            </w:r>
          </w:p>
        </w:tc>
        <w:tc>
          <w:tcPr>
            <w:tcW w:w="120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0.007</w:t>
            </w:r>
          </w:p>
        </w:tc>
        <w:tc>
          <w:tcPr>
            <w:tcW w:w="74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0.017</w:t>
            </w:r>
          </w:p>
        </w:tc>
        <w:tc>
          <w:tcPr>
            <w:tcW w:w="123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0.006</w:t>
            </w:r>
          </w:p>
        </w:tc>
        <w:tc>
          <w:tcPr>
            <w:tcW w:w="75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-0.033</w:t>
            </w:r>
          </w:p>
        </w:tc>
        <w:tc>
          <w:tcPr>
            <w:tcW w:w="108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0.007</w:t>
            </w:r>
          </w:p>
        </w:tc>
        <w:tc>
          <w:tcPr>
            <w:tcW w:w="831"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-0.055</w:t>
            </w:r>
          </w:p>
        </w:tc>
        <w:tc>
          <w:tcPr>
            <w:tcW w:w="115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0.011</w:t>
            </w:r>
          </w:p>
        </w:tc>
      </w:tr>
      <w:tr w:rsidR="00B96235" w:rsidRPr="00B96235" w:rsidTr="00B96235">
        <w:trPr>
          <w:trHeight w:val="288"/>
        </w:trPr>
        <w:tc>
          <w:tcPr>
            <w:tcW w:w="3302"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100"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Pseudo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0.534</w:t>
            </w:r>
          </w:p>
        </w:tc>
        <w:tc>
          <w:tcPr>
            <w:tcW w:w="1984"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Pseudo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0.492</w:t>
            </w:r>
          </w:p>
        </w:tc>
        <w:tc>
          <w:tcPr>
            <w:tcW w:w="1985"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Pseudo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0.422</w:t>
            </w:r>
          </w:p>
        </w:tc>
        <w:tc>
          <w:tcPr>
            <w:tcW w:w="1843"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Pseudo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0.362</w:t>
            </w:r>
          </w:p>
        </w:tc>
        <w:tc>
          <w:tcPr>
            <w:tcW w:w="1984" w:type="dxa"/>
            <w:gridSpan w:val="3"/>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Pseudo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0.315</w:t>
            </w:r>
          </w:p>
        </w:tc>
      </w:tr>
      <w:tr w:rsidR="00B96235" w:rsidRPr="00B96235" w:rsidTr="00B96235">
        <w:trPr>
          <w:trHeight w:val="288"/>
        </w:trPr>
        <w:tc>
          <w:tcPr>
            <w:tcW w:w="3302"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100"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N  = 24,219</w:t>
            </w:r>
          </w:p>
        </w:tc>
        <w:tc>
          <w:tcPr>
            <w:tcW w:w="78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20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74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23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75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08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831"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5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r>
      <w:tr w:rsidR="00B96235" w:rsidRPr="00B96235" w:rsidTr="00B96235">
        <w:trPr>
          <w:trHeight w:val="288"/>
        </w:trPr>
        <w:tc>
          <w:tcPr>
            <w:tcW w:w="3302"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b/>
                <w:color w:val="000000"/>
                <w:sz w:val="20"/>
                <w:szCs w:val="20"/>
              </w:rPr>
            </w:pPr>
            <w:r w:rsidRPr="00B96235">
              <w:rPr>
                <w:rFonts w:ascii="Calibri" w:eastAsia="Times New Roman" w:hAnsi="Calibri" w:cs="Calibri"/>
                <w:b/>
                <w:color w:val="000000"/>
                <w:sz w:val="20"/>
                <w:szCs w:val="20"/>
              </w:rPr>
              <w:t>2009/10</w:t>
            </w:r>
          </w:p>
        </w:tc>
        <w:tc>
          <w:tcPr>
            <w:tcW w:w="96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4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78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20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74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23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75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08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831"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5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r>
      <w:tr w:rsidR="00B96235" w:rsidRPr="00B96235" w:rsidTr="00B96235">
        <w:trPr>
          <w:trHeight w:val="288"/>
        </w:trPr>
        <w:tc>
          <w:tcPr>
            <w:tcW w:w="330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PhD</w:t>
            </w:r>
          </w:p>
        </w:tc>
        <w:tc>
          <w:tcPr>
            <w:tcW w:w="96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0.600</w:t>
            </w:r>
          </w:p>
        </w:tc>
        <w:tc>
          <w:tcPr>
            <w:tcW w:w="114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0.045</w:t>
            </w:r>
          </w:p>
        </w:tc>
        <w:tc>
          <w:tcPr>
            <w:tcW w:w="78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0.570</w:t>
            </w:r>
          </w:p>
        </w:tc>
        <w:tc>
          <w:tcPr>
            <w:tcW w:w="120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0.029</w:t>
            </w:r>
          </w:p>
        </w:tc>
        <w:tc>
          <w:tcPr>
            <w:tcW w:w="74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0.498</w:t>
            </w:r>
          </w:p>
        </w:tc>
        <w:tc>
          <w:tcPr>
            <w:tcW w:w="123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0.026</w:t>
            </w:r>
          </w:p>
        </w:tc>
        <w:tc>
          <w:tcPr>
            <w:tcW w:w="75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0.413</w:t>
            </w:r>
          </w:p>
        </w:tc>
        <w:tc>
          <w:tcPr>
            <w:tcW w:w="108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0.034</w:t>
            </w:r>
          </w:p>
        </w:tc>
        <w:tc>
          <w:tcPr>
            <w:tcW w:w="831"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0.415</w:t>
            </w:r>
          </w:p>
        </w:tc>
        <w:tc>
          <w:tcPr>
            <w:tcW w:w="115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0.039</w:t>
            </w:r>
          </w:p>
        </w:tc>
      </w:tr>
      <w:tr w:rsidR="00B96235" w:rsidRPr="00B96235" w:rsidTr="00B96235">
        <w:trPr>
          <w:trHeight w:val="288"/>
        </w:trPr>
        <w:tc>
          <w:tcPr>
            <w:tcW w:w="330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Master's degree</w:t>
            </w:r>
          </w:p>
        </w:tc>
        <w:tc>
          <w:tcPr>
            <w:tcW w:w="96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0.315</w:t>
            </w:r>
          </w:p>
        </w:tc>
        <w:tc>
          <w:tcPr>
            <w:tcW w:w="114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0.022</w:t>
            </w:r>
          </w:p>
        </w:tc>
        <w:tc>
          <w:tcPr>
            <w:tcW w:w="78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0.408</w:t>
            </w:r>
          </w:p>
        </w:tc>
        <w:tc>
          <w:tcPr>
            <w:tcW w:w="120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0.014</w:t>
            </w:r>
          </w:p>
        </w:tc>
        <w:tc>
          <w:tcPr>
            <w:tcW w:w="74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0.404</w:t>
            </w:r>
          </w:p>
        </w:tc>
        <w:tc>
          <w:tcPr>
            <w:tcW w:w="123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0.013</w:t>
            </w:r>
          </w:p>
        </w:tc>
        <w:tc>
          <w:tcPr>
            <w:tcW w:w="75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0.369</w:t>
            </w:r>
          </w:p>
        </w:tc>
        <w:tc>
          <w:tcPr>
            <w:tcW w:w="108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0.017</w:t>
            </w:r>
          </w:p>
        </w:tc>
        <w:tc>
          <w:tcPr>
            <w:tcW w:w="831"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0.357</w:t>
            </w:r>
          </w:p>
        </w:tc>
        <w:tc>
          <w:tcPr>
            <w:tcW w:w="115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0.019</w:t>
            </w:r>
          </w:p>
        </w:tc>
      </w:tr>
      <w:tr w:rsidR="00B96235" w:rsidRPr="00B96235" w:rsidTr="00B96235">
        <w:trPr>
          <w:trHeight w:val="288"/>
        </w:trPr>
        <w:tc>
          <w:tcPr>
            <w:tcW w:w="330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Other postgraduate qualification</w:t>
            </w:r>
          </w:p>
        </w:tc>
        <w:tc>
          <w:tcPr>
            <w:tcW w:w="96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0.460</w:t>
            </w:r>
          </w:p>
        </w:tc>
        <w:tc>
          <w:tcPr>
            <w:tcW w:w="114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0.025</w:t>
            </w:r>
          </w:p>
        </w:tc>
        <w:tc>
          <w:tcPr>
            <w:tcW w:w="78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0.446</w:t>
            </w:r>
          </w:p>
        </w:tc>
        <w:tc>
          <w:tcPr>
            <w:tcW w:w="120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0.016</w:t>
            </w:r>
          </w:p>
        </w:tc>
        <w:tc>
          <w:tcPr>
            <w:tcW w:w="74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0.385</w:t>
            </w:r>
          </w:p>
        </w:tc>
        <w:tc>
          <w:tcPr>
            <w:tcW w:w="123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0.015</w:t>
            </w:r>
          </w:p>
        </w:tc>
        <w:tc>
          <w:tcPr>
            <w:tcW w:w="75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0.308</w:t>
            </w:r>
          </w:p>
        </w:tc>
        <w:tc>
          <w:tcPr>
            <w:tcW w:w="108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0.019</w:t>
            </w:r>
          </w:p>
        </w:tc>
        <w:tc>
          <w:tcPr>
            <w:tcW w:w="831"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0.253</w:t>
            </w:r>
          </w:p>
        </w:tc>
        <w:tc>
          <w:tcPr>
            <w:tcW w:w="115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0.022</w:t>
            </w:r>
          </w:p>
        </w:tc>
      </w:tr>
      <w:tr w:rsidR="00B96235" w:rsidRPr="00B96235" w:rsidTr="00B96235">
        <w:trPr>
          <w:trHeight w:val="288"/>
        </w:trPr>
        <w:tc>
          <w:tcPr>
            <w:tcW w:w="330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First degree</w:t>
            </w:r>
          </w:p>
        </w:tc>
        <w:tc>
          <w:tcPr>
            <w:tcW w:w="96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0.256</w:t>
            </w:r>
          </w:p>
        </w:tc>
        <w:tc>
          <w:tcPr>
            <w:tcW w:w="114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0.013</w:t>
            </w:r>
          </w:p>
        </w:tc>
        <w:tc>
          <w:tcPr>
            <w:tcW w:w="78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0.308</w:t>
            </w:r>
          </w:p>
        </w:tc>
        <w:tc>
          <w:tcPr>
            <w:tcW w:w="120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0.008</w:t>
            </w:r>
          </w:p>
        </w:tc>
        <w:tc>
          <w:tcPr>
            <w:tcW w:w="74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0.322</w:t>
            </w:r>
          </w:p>
        </w:tc>
        <w:tc>
          <w:tcPr>
            <w:tcW w:w="123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0.008</w:t>
            </w:r>
          </w:p>
        </w:tc>
        <w:tc>
          <w:tcPr>
            <w:tcW w:w="75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0.289</w:t>
            </w:r>
          </w:p>
        </w:tc>
        <w:tc>
          <w:tcPr>
            <w:tcW w:w="108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0.010</w:t>
            </w:r>
          </w:p>
        </w:tc>
        <w:tc>
          <w:tcPr>
            <w:tcW w:w="831"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0.286</w:t>
            </w:r>
          </w:p>
        </w:tc>
        <w:tc>
          <w:tcPr>
            <w:tcW w:w="115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0.012</w:t>
            </w:r>
          </w:p>
        </w:tc>
      </w:tr>
      <w:tr w:rsidR="00B96235" w:rsidRPr="00B96235" w:rsidTr="00B96235">
        <w:trPr>
          <w:trHeight w:val="288"/>
        </w:trPr>
        <w:tc>
          <w:tcPr>
            <w:tcW w:w="330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'A' levels or equivalent</w:t>
            </w:r>
          </w:p>
        </w:tc>
        <w:tc>
          <w:tcPr>
            <w:tcW w:w="96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0.097</w:t>
            </w:r>
          </w:p>
        </w:tc>
        <w:tc>
          <w:tcPr>
            <w:tcW w:w="114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0.015</w:t>
            </w:r>
          </w:p>
        </w:tc>
        <w:tc>
          <w:tcPr>
            <w:tcW w:w="78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0.087</w:t>
            </w:r>
          </w:p>
        </w:tc>
        <w:tc>
          <w:tcPr>
            <w:tcW w:w="120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0.010</w:t>
            </w:r>
          </w:p>
        </w:tc>
        <w:tc>
          <w:tcPr>
            <w:tcW w:w="74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0.082</w:t>
            </w:r>
          </w:p>
        </w:tc>
        <w:tc>
          <w:tcPr>
            <w:tcW w:w="123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0.009</w:t>
            </w:r>
          </w:p>
        </w:tc>
        <w:tc>
          <w:tcPr>
            <w:tcW w:w="75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0.053</w:t>
            </w:r>
          </w:p>
        </w:tc>
        <w:tc>
          <w:tcPr>
            <w:tcW w:w="108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0.011</w:t>
            </w:r>
          </w:p>
        </w:tc>
        <w:tc>
          <w:tcPr>
            <w:tcW w:w="831"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0.039</w:t>
            </w:r>
          </w:p>
        </w:tc>
        <w:tc>
          <w:tcPr>
            <w:tcW w:w="115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0.013</w:t>
            </w:r>
          </w:p>
        </w:tc>
      </w:tr>
      <w:tr w:rsidR="00B96235" w:rsidRPr="00B96235" w:rsidTr="00B96235">
        <w:trPr>
          <w:trHeight w:val="288"/>
        </w:trPr>
        <w:tc>
          <w:tcPr>
            <w:tcW w:w="3302" w:type="dxa"/>
            <w:tcBorders>
              <w:top w:val="nil"/>
              <w:left w:val="nil"/>
              <w:bottom w:val="nil"/>
              <w:right w:val="nil"/>
            </w:tcBorders>
            <w:shd w:val="clear" w:color="auto" w:fill="auto"/>
            <w:noWrap/>
            <w:vAlign w:val="center"/>
            <w:hideMark/>
          </w:tcPr>
          <w:p w:rsidR="00B96235" w:rsidRPr="00B96235" w:rsidRDefault="00B96235" w:rsidP="00B96235">
            <w:pPr>
              <w:spacing w:after="0" w:line="240" w:lineRule="auto"/>
              <w:ind w:left="333" w:hanging="142"/>
              <w:rPr>
                <w:rFonts w:ascii="Calibri" w:eastAsia="Times New Roman" w:hAnsi="Calibri" w:cs="Calibri"/>
                <w:color w:val="000000"/>
                <w:sz w:val="20"/>
                <w:szCs w:val="20"/>
              </w:rPr>
            </w:pPr>
            <w:r w:rsidRPr="00B96235">
              <w:rPr>
                <w:rFonts w:ascii="Calibri" w:eastAsia="Times New Roman" w:hAnsi="Calibri" w:cs="Calibri"/>
                <w:color w:val="000000"/>
                <w:sz w:val="20"/>
                <w:szCs w:val="20"/>
              </w:rPr>
              <w:t>'O' level and equivalent</w:t>
            </w:r>
          </w:p>
        </w:tc>
        <w:tc>
          <w:tcPr>
            <w:tcW w:w="96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0.029</w:t>
            </w:r>
          </w:p>
        </w:tc>
        <w:tc>
          <w:tcPr>
            <w:tcW w:w="114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0.013</w:t>
            </w:r>
          </w:p>
        </w:tc>
        <w:tc>
          <w:tcPr>
            <w:tcW w:w="780"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0.027</w:t>
            </w:r>
          </w:p>
        </w:tc>
        <w:tc>
          <w:tcPr>
            <w:tcW w:w="120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0.009</w:t>
            </w:r>
          </w:p>
        </w:tc>
        <w:tc>
          <w:tcPr>
            <w:tcW w:w="74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0.006</w:t>
            </w:r>
          </w:p>
        </w:tc>
        <w:tc>
          <w:tcPr>
            <w:tcW w:w="1236"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0.008</w:t>
            </w:r>
          </w:p>
        </w:tc>
        <w:tc>
          <w:tcPr>
            <w:tcW w:w="754"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-0.021</w:t>
            </w:r>
          </w:p>
        </w:tc>
        <w:tc>
          <w:tcPr>
            <w:tcW w:w="1089"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0.010</w:t>
            </w:r>
          </w:p>
        </w:tc>
        <w:tc>
          <w:tcPr>
            <w:tcW w:w="831" w:type="dxa"/>
            <w:gridSpan w:val="2"/>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color w:val="000000"/>
                <w:sz w:val="20"/>
                <w:szCs w:val="20"/>
              </w:rPr>
            </w:pPr>
            <w:r w:rsidRPr="00B96235">
              <w:rPr>
                <w:rFonts w:ascii="Calibri" w:eastAsia="Times New Roman" w:hAnsi="Calibri" w:cs="Calibri"/>
                <w:color w:val="000000"/>
                <w:sz w:val="20"/>
                <w:szCs w:val="20"/>
              </w:rPr>
              <w:t>-0.043</w:t>
            </w:r>
          </w:p>
        </w:tc>
        <w:tc>
          <w:tcPr>
            <w:tcW w:w="1153" w:type="dxa"/>
            <w:tcBorders>
              <w:top w:val="nil"/>
              <w:left w:val="nil"/>
              <w:bottom w:val="nil"/>
              <w:right w:val="nil"/>
            </w:tcBorders>
            <w:shd w:val="clear" w:color="auto" w:fill="auto"/>
            <w:noWrap/>
            <w:vAlign w:val="bottom"/>
            <w:hideMark/>
          </w:tcPr>
          <w:p w:rsidR="00B96235" w:rsidRPr="00B96235" w:rsidRDefault="00B96235" w:rsidP="00B96235">
            <w:pPr>
              <w:spacing w:after="0" w:line="240" w:lineRule="auto"/>
              <w:jc w:val="center"/>
              <w:rPr>
                <w:rFonts w:ascii="Calibri" w:eastAsia="Times New Roman" w:hAnsi="Calibri" w:cs="Calibri"/>
                <w:i/>
                <w:color w:val="000000"/>
                <w:sz w:val="20"/>
                <w:szCs w:val="20"/>
              </w:rPr>
            </w:pPr>
            <w:r w:rsidRPr="00B96235">
              <w:rPr>
                <w:rFonts w:ascii="Calibri" w:eastAsia="Times New Roman" w:hAnsi="Calibri" w:cs="Calibri"/>
                <w:i/>
                <w:color w:val="000000"/>
                <w:sz w:val="20"/>
                <w:szCs w:val="20"/>
              </w:rPr>
              <w:t>0.012</w:t>
            </w:r>
          </w:p>
        </w:tc>
      </w:tr>
      <w:tr w:rsidR="00B96235" w:rsidRPr="00B96235" w:rsidTr="00B96235">
        <w:trPr>
          <w:trHeight w:val="288"/>
        </w:trPr>
        <w:tc>
          <w:tcPr>
            <w:tcW w:w="3302" w:type="dxa"/>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100" w:type="dxa"/>
            <w:gridSpan w:val="2"/>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Pseudo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0.473</w:t>
            </w:r>
          </w:p>
        </w:tc>
        <w:tc>
          <w:tcPr>
            <w:tcW w:w="1984" w:type="dxa"/>
            <w:gridSpan w:val="2"/>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Pseudo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0.461</w:t>
            </w:r>
          </w:p>
        </w:tc>
        <w:tc>
          <w:tcPr>
            <w:tcW w:w="1985" w:type="dxa"/>
            <w:gridSpan w:val="2"/>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Pseudo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0.421</w:t>
            </w:r>
          </w:p>
        </w:tc>
        <w:tc>
          <w:tcPr>
            <w:tcW w:w="1843" w:type="dxa"/>
            <w:gridSpan w:val="2"/>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Pseudo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0.376</w:t>
            </w:r>
          </w:p>
        </w:tc>
        <w:tc>
          <w:tcPr>
            <w:tcW w:w="1984" w:type="dxa"/>
            <w:gridSpan w:val="3"/>
            <w:tcBorders>
              <w:top w:val="nil"/>
              <w:left w:val="nil"/>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Pseudo R</w:t>
            </w:r>
            <w:r w:rsidRPr="00B96235">
              <w:rPr>
                <w:rFonts w:ascii="Calibri" w:eastAsia="Times New Roman" w:hAnsi="Calibri" w:cs="Calibri"/>
                <w:color w:val="000000"/>
                <w:sz w:val="20"/>
                <w:szCs w:val="20"/>
                <w:vertAlign w:val="superscript"/>
              </w:rPr>
              <w:t>2</w:t>
            </w:r>
            <w:r w:rsidRPr="00B96235">
              <w:rPr>
                <w:rFonts w:ascii="Calibri" w:eastAsia="Times New Roman" w:hAnsi="Calibri" w:cs="Calibri"/>
                <w:color w:val="000000"/>
                <w:sz w:val="20"/>
                <w:szCs w:val="20"/>
              </w:rPr>
              <w:t xml:space="preserve"> = 0.341</w:t>
            </w:r>
          </w:p>
        </w:tc>
      </w:tr>
      <w:tr w:rsidR="00B96235" w:rsidRPr="00B96235" w:rsidTr="00B96235">
        <w:trPr>
          <w:trHeight w:val="288"/>
        </w:trPr>
        <w:tc>
          <w:tcPr>
            <w:tcW w:w="3302" w:type="dxa"/>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2100" w:type="dxa"/>
            <w:gridSpan w:val="2"/>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r w:rsidRPr="00B96235">
              <w:rPr>
                <w:rFonts w:ascii="Calibri" w:eastAsia="Times New Roman" w:hAnsi="Calibri" w:cs="Calibri"/>
                <w:color w:val="000000"/>
                <w:sz w:val="20"/>
                <w:szCs w:val="20"/>
              </w:rPr>
              <w:t>N  = 20,797</w:t>
            </w:r>
          </w:p>
        </w:tc>
        <w:tc>
          <w:tcPr>
            <w:tcW w:w="780" w:type="dxa"/>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204" w:type="dxa"/>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749" w:type="dxa"/>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236" w:type="dxa"/>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754" w:type="dxa"/>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089" w:type="dxa"/>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831" w:type="dxa"/>
            <w:gridSpan w:val="2"/>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c>
          <w:tcPr>
            <w:tcW w:w="1153" w:type="dxa"/>
            <w:tcBorders>
              <w:top w:val="nil"/>
              <w:left w:val="nil"/>
              <w:bottom w:val="single" w:sz="4" w:space="0" w:color="auto"/>
              <w:right w:val="nil"/>
            </w:tcBorders>
            <w:shd w:val="clear" w:color="auto" w:fill="auto"/>
            <w:noWrap/>
            <w:vAlign w:val="bottom"/>
            <w:hideMark/>
          </w:tcPr>
          <w:p w:rsidR="00B96235" w:rsidRPr="00B96235" w:rsidRDefault="00B96235" w:rsidP="00B96235">
            <w:pPr>
              <w:spacing w:after="0" w:line="240" w:lineRule="auto"/>
              <w:rPr>
                <w:rFonts w:ascii="Calibri" w:eastAsia="Times New Roman" w:hAnsi="Calibri" w:cs="Calibri"/>
                <w:color w:val="000000"/>
                <w:sz w:val="20"/>
                <w:szCs w:val="20"/>
              </w:rPr>
            </w:pPr>
          </w:p>
        </w:tc>
      </w:tr>
    </w:tbl>
    <w:p w:rsidR="00B96235" w:rsidRPr="004137C3" w:rsidRDefault="00231863" w:rsidP="00231863">
      <w:pPr>
        <w:spacing w:after="0" w:line="240" w:lineRule="auto"/>
        <w:rPr>
          <w:sz w:val="16"/>
          <w:szCs w:val="16"/>
        </w:rPr>
      </w:pPr>
      <w:r w:rsidRPr="004137C3">
        <w:rPr>
          <w:sz w:val="16"/>
          <w:szCs w:val="16"/>
        </w:rPr>
        <w:t>Source: Labour Force Surveys, composite files for 1994/95 and 2009/10.</w:t>
      </w:r>
    </w:p>
    <w:p w:rsidR="00B96235" w:rsidRPr="004137C3" w:rsidRDefault="00B96235" w:rsidP="00B96235">
      <w:pPr>
        <w:spacing w:after="0" w:line="240" w:lineRule="auto"/>
        <w:ind w:left="284" w:hanging="284"/>
        <w:rPr>
          <w:sz w:val="16"/>
          <w:szCs w:val="16"/>
        </w:rPr>
      </w:pPr>
      <w:r w:rsidRPr="004137C3">
        <w:rPr>
          <w:sz w:val="16"/>
          <w:szCs w:val="16"/>
        </w:rPr>
        <w:t>All earnings equations include the following variables (where relevant):</w:t>
      </w:r>
    </w:p>
    <w:p w:rsidR="00B96235" w:rsidRPr="004137C3" w:rsidRDefault="00B96235" w:rsidP="00B96235">
      <w:pPr>
        <w:spacing w:line="240" w:lineRule="auto"/>
        <w:ind w:left="284"/>
        <w:rPr>
          <w:sz w:val="16"/>
          <w:szCs w:val="16"/>
        </w:rPr>
      </w:pPr>
      <w:r w:rsidRPr="004137C3">
        <w:rPr>
          <w:sz w:val="16"/>
          <w:szCs w:val="16"/>
        </w:rPr>
        <w:t>age (single years); age</w:t>
      </w:r>
      <w:r w:rsidRPr="004137C3">
        <w:rPr>
          <w:sz w:val="16"/>
          <w:szCs w:val="16"/>
          <w:vertAlign w:val="superscript"/>
        </w:rPr>
        <w:t>2</w:t>
      </w:r>
      <w:r w:rsidRPr="004137C3">
        <w:rPr>
          <w:sz w:val="16"/>
          <w:szCs w:val="16"/>
        </w:rPr>
        <w:t>; gender; young children present in household (0-1 years, 2-4 years, 5-9 years, 10-14 years); tenure in current job (&lt; 1 year; 1-2 years; 2-3 years; 3-6 years; &gt; 6 years); ethnicity (White; Mixed; Asian; Black; Chinese; Other); area of residence (Inner London, Outer London, Rest of SE, Rest of UK exc. N Ireland, N. Ireland); self-declared part time working; usual weekly hours worked (0-10; 11-20; 21-30; 31-40; 41-50; 51-60; 61+); respondent was proxy.</w:t>
      </w:r>
    </w:p>
    <w:p w:rsidR="00B96235" w:rsidRDefault="00B96235" w:rsidP="00B96235">
      <w:pPr>
        <w:rPr>
          <w:sz w:val="18"/>
          <w:szCs w:val="18"/>
        </w:rPr>
      </w:pPr>
    </w:p>
    <w:p w:rsidR="008D284F" w:rsidRDefault="008D284F" w:rsidP="00B96235">
      <w:pPr>
        <w:rPr>
          <w:sz w:val="18"/>
          <w:szCs w:val="18"/>
        </w:rPr>
      </w:pPr>
    </w:p>
    <w:p w:rsidR="00B96235" w:rsidRDefault="00B96235" w:rsidP="00B96235">
      <w:pPr>
        <w:rPr>
          <w:sz w:val="18"/>
          <w:szCs w:val="18"/>
        </w:rPr>
        <w:sectPr w:rsidR="00B96235" w:rsidSect="00822DB7">
          <w:pgSz w:w="16838" w:h="11906" w:orient="landscape"/>
          <w:pgMar w:top="1440" w:right="1440" w:bottom="1440" w:left="1440" w:header="709" w:footer="709" w:gutter="0"/>
          <w:cols w:space="708"/>
          <w:docGrid w:linePitch="360"/>
        </w:sectPr>
      </w:pPr>
    </w:p>
    <w:p w:rsidR="00602B5E" w:rsidRDefault="00725ED8" w:rsidP="00725ED8">
      <w:r w:rsidRPr="00725ED8">
        <w:lastRenderedPageBreak/>
        <w:t>Next we examine how the returns to higher education vary across the earnings distribution.  We have observed in Table 1 the increase in the proportion of graduates in non-graduate jobs in sectors which are traditionally associated with lower than average earnings (retailing, hotels, restaurants, land transport.  The regression results in Table 5 show a declining return in subjects such as languages, humanities and the arts – degrees which have been shown previously to be associated with lower than average returns for a degree.</w:t>
      </w:r>
      <w:r>
        <w:rPr>
          <w:i/>
        </w:rPr>
        <w:t xml:space="preserve">  </w:t>
      </w:r>
      <w:r w:rsidR="007E5C68">
        <w:t xml:space="preserve">These findings suggest that the distribution of economic returns to a first degree might vary with earning.  </w:t>
      </w:r>
      <w:r w:rsidRPr="00FF03AB">
        <w:t xml:space="preserve">Table 6 shows the estimated coefficients on qualification </w:t>
      </w:r>
      <w:r w:rsidRPr="007E5C68">
        <w:t xml:space="preserve">at </w:t>
      </w:r>
      <w:r w:rsidRPr="00725ED8">
        <w:t>various points in the distribution of earnings</w:t>
      </w:r>
      <w:r>
        <w:rPr>
          <w:i/>
        </w:rPr>
        <w:t xml:space="preserve">, </w:t>
      </w:r>
      <w:r w:rsidRPr="00FF03AB">
        <w:t xml:space="preserve">obtained via </w:t>
      </w:r>
      <w:proofErr w:type="spellStart"/>
      <w:r w:rsidRPr="00FF03AB">
        <w:t>quantile</w:t>
      </w:r>
      <w:proofErr w:type="spellEnd"/>
      <w:r w:rsidRPr="00FF03AB">
        <w:t xml:space="preserve"> regression.</w:t>
      </w:r>
      <w:r>
        <w:rPr>
          <w:i/>
        </w:rPr>
        <w:t xml:space="preserve"> </w:t>
      </w:r>
      <w:r w:rsidRPr="00FF03AB">
        <w:t xml:space="preserve"> At the median of the distribution these results compare well with the mean regression results for 22-24 year olds shown in</w:t>
      </w:r>
      <w:r>
        <w:rPr>
          <w:i/>
        </w:rPr>
        <w:t xml:space="preserve"> </w:t>
      </w:r>
      <w:r w:rsidRPr="00725ED8">
        <w:t>the lower half of Table 4.</w:t>
      </w:r>
      <w:r>
        <w:rPr>
          <w:i/>
        </w:rPr>
        <w:t xml:space="preserve">  </w:t>
      </w:r>
      <w:r w:rsidRPr="00FF03AB">
        <w:t xml:space="preserve">For men and </w:t>
      </w:r>
      <w:r w:rsidRPr="00725ED8">
        <w:t>women the estimated returns to higher education qualifications</w:t>
      </w:r>
      <w:r w:rsidRPr="00FF03AB">
        <w:t xml:space="preserve"> at the mean and the median are very close, except for the estimated return on a PhD where the difference for men widens by approximately 5% points. </w:t>
      </w:r>
      <w:r>
        <w:rPr>
          <w:i/>
        </w:rPr>
        <w:t xml:space="preserve"> </w:t>
      </w:r>
      <w:r w:rsidRPr="00FF03AB">
        <w:t xml:space="preserve">This reflects the impact </w:t>
      </w:r>
      <w:r w:rsidRPr="00725ED8">
        <w:t>on the mean as opposed</w:t>
      </w:r>
      <w:r w:rsidRPr="00FF03AB">
        <w:t xml:space="preserve"> to the median</w:t>
      </w:r>
      <w:r>
        <w:rPr>
          <w:i/>
        </w:rPr>
        <w:t xml:space="preserve"> </w:t>
      </w:r>
      <w:r w:rsidRPr="00725ED8">
        <w:t>regression results</w:t>
      </w:r>
      <w:r>
        <w:rPr>
          <w:i/>
        </w:rPr>
        <w:t xml:space="preserve"> </w:t>
      </w:r>
      <w:r w:rsidR="007E5C68">
        <w:t>of high earning outliers in the earnings distribution.</w:t>
      </w:r>
    </w:p>
    <w:p w:rsidR="00725ED8" w:rsidRPr="00602B5E" w:rsidRDefault="00602B5E" w:rsidP="00725ED8">
      <w:r>
        <w:t xml:space="preserve">Table 7 summarises the changing pattern of returns to a first degree compared with ‘A’ level as the highest qualification. </w:t>
      </w:r>
      <w:r w:rsidR="007E5C68">
        <w:t xml:space="preserve"> </w:t>
      </w:r>
      <w:r w:rsidR="00725ED8" w:rsidRPr="00FF03AB">
        <w:t>Scanning across the earnings distribution we note that the return to a first degree compared with ‘A’ levels as the highest qualification ranges from 21</w:t>
      </w:r>
      <w:r>
        <w:t xml:space="preserve"> per cent </w:t>
      </w:r>
      <w:r w:rsidR="00725ED8" w:rsidRPr="00FF03AB">
        <w:t xml:space="preserve">(10% </w:t>
      </w:r>
      <w:proofErr w:type="spellStart"/>
      <w:r w:rsidR="00725ED8" w:rsidRPr="00FF03AB">
        <w:t>quantile</w:t>
      </w:r>
      <w:proofErr w:type="spellEnd"/>
      <w:r w:rsidR="00725ED8" w:rsidRPr="00FF03AB">
        <w:t xml:space="preserve">), </w:t>
      </w:r>
      <w:r>
        <w:t xml:space="preserve">to </w:t>
      </w:r>
      <w:r w:rsidR="00725ED8" w:rsidRPr="00FF03AB">
        <w:t>14%</w:t>
      </w:r>
      <w:r>
        <w:t xml:space="preserve"> (90% </w:t>
      </w:r>
      <w:proofErr w:type="spellStart"/>
      <w:r>
        <w:t>quantile</w:t>
      </w:r>
      <w:proofErr w:type="spellEnd"/>
      <w:r>
        <w:t>).  The lower rate of return at the higher end of the distribution arises not because of a lower coefficient associated with a first degree at this point in the distribution, but because of the higher returns those whose highest qualification was ‘A’ levels in 1994/95.  The pattern of change across the distribution from 1994/95 to 2009/10 is interesting.  At the lowest end of the earning distribution we note that the return to a first degree compared with ‘A’ level has fallen markedly, from 21 per cent to 16 per cent.  Across the rest of the distribution, the returns have remained fairly constant, increasing at the top end of the distribution as the premium associated with having ‘A’ levels as the highest qualification falls away in 2009/10.</w:t>
      </w:r>
    </w:p>
    <w:p w:rsidR="00822DB7" w:rsidRDefault="00822DB7" w:rsidP="00822DB7">
      <w:pPr>
        <w:ind w:left="1418" w:hanging="1418"/>
        <w:rPr>
          <w:b/>
        </w:rPr>
      </w:pPr>
    </w:p>
    <w:p w:rsidR="00822DB7" w:rsidRDefault="00822DB7" w:rsidP="00822DB7">
      <w:pPr>
        <w:ind w:left="1418" w:hanging="1418"/>
        <w:rPr>
          <w:b/>
        </w:rPr>
      </w:pPr>
      <w:r w:rsidRPr="00822DB7">
        <w:rPr>
          <w:b/>
        </w:rPr>
        <w:t xml:space="preserve">Table 7: </w:t>
      </w:r>
      <w:r w:rsidRPr="00822DB7">
        <w:rPr>
          <w:b/>
        </w:rPr>
        <w:tab/>
        <w:t xml:space="preserve">Comparison of the returns to a first degree compared with ‘A’ levels as highest qualification: mean versus </w:t>
      </w:r>
      <w:proofErr w:type="spellStart"/>
      <w:r w:rsidRPr="00822DB7">
        <w:rPr>
          <w:b/>
        </w:rPr>
        <w:t>quantile</w:t>
      </w:r>
      <w:proofErr w:type="spellEnd"/>
      <w:r w:rsidRPr="00822DB7">
        <w:rPr>
          <w:b/>
        </w:rPr>
        <w:t xml:space="preserve"> regression estimates</w:t>
      </w:r>
    </w:p>
    <w:p w:rsidR="00822DB7" w:rsidRPr="00822DB7" w:rsidRDefault="00822DB7" w:rsidP="00822DB7">
      <w:pPr>
        <w:ind w:left="1418" w:hanging="1418"/>
        <w:rPr>
          <w:b/>
        </w:rPr>
      </w:pPr>
    </w:p>
    <w:tbl>
      <w:tblPr>
        <w:tblStyle w:val="TableGrid"/>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2"/>
        <w:gridCol w:w="992"/>
        <w:gridCol w:w="992"/>
        <w:gridCol w:w="993"/>
        <w:gridCol w:w="1275"/>
        <w:gridCol w:w="993"/>
        <w:gridCol w:w="770"/>
      </w:tblGrid>
      <w:tr w:rsidR="00822DB7" w:rsidRPr="00FF03AB" w:rsidTr="00822DB7">
        <w:trPr>
          <w:trHeight w:val="1171"/>
        </w:trPr>
        <w:tc>
          <w:tcPr>
            <w:tcW w:w="2552" w:type="dxa"/>
            <w:vMerge w:val="restart"/>
            <w:tcBorders>
              <w:top w:val="single" w:sz="12" w:space="0" w:color="auto"/>
              <w:bottom w:val="single" w:sz="12" w:space="0" w:color="auto"/>
            </w:tcBorders>
            <w:vAlign w:val="center"/>
          </w:tcPr>
          <w:p w:rsidR="00822DB7" w:rsidRPr="00FF03AB" w:rsidRDefault="00822DB7" w:rsidP="008A0F7D">
            <w:pPr>
              <w:spacing w:after="200" w:line="276" w:lineRule="auto"/>
              <w:jc w:val="center"/>
              <w:rPr>
                <w:rFonts w:asciiTheme="minorHAnsi" w:eastAsiaTheme="minorEastAsia" w:hAnsiTheme="minorHAnsi" w:cstheme="minorBidi"/>
                <w:i w:val="0"/>
              </w:rPr>
            </w:pPr>
            <w:r>
              <w:rPr>
                <w:rFonts w:asciiTheme="minorHAnsi" w:eastAsiaTheme="minorEastAsia" w:hAnsiTheme="minorHAnsi" w:cstheme="minorBidi"/>
                <w:i w:val="0"/>
              </w:rPr>
              <w:t>Estimated economic return for a first degree compared with ‘A’ levels</w:t>
            </w:r>
          </w:p>
        </w:tc>
        <w:tc>
          <w:tcPr>
            <w:tcW w:w="2977" w:type="dxa"/>
            <w:gridSpan w:val="3"/>
            <w:tcBorders>
              <w:top w:val="single" w:sz="12" w:space="0" w:color="auto"/>
              <w:bottom w:val="single" w:sz="12" w:space="0" w:color="auto"/>
            </w:tcBorders>
            <w:vAlign w:val="center"/>
          </w:tcPr>
          <w:p w:rsidR="00822DB7" w:rsidRPr="00FF03AB" w:rsidRDefault="00822DB7" w:rsidP="008A0F7D">
            <w:pPr>
              <w:spacing w:after="200" w:line="276" w:lineRule="auto"/>
              <w:jc w:val="center"/>
              <w:rPr>
                <w:rFonts w:asciiTheme="minorHAnsi" w:eastAsiaTheme="minorEastAsia" w:hAnsiTheme="minorHAnsi" w:cstheme="minorBidi"/>
                <w:i w:val="0"/>
              </w:rPr>
            </w:pPr>
            <w:r>
              <w:rPr>
                <w:rFonts w:asciiTheme="minorHAnsi" w:eastAsiaTheme="minorEastAsia" w:hAnsiTheme="minorHAnsi" w:cstheme="minorBidi"/>
                <w:i w:val="0"/>
              </w:rPr>
              <w:t xml:space="preserve">Regression estimates at indicated </w:t>
            </w:r>
            <w:proofErr w:type="spellStart"/>
            <w:r>
              <w:rPr>
                <w:rFonts w:asciiTheme="minorHAnsi" w:eastAsiaTheme="minorEastAsia" w:hAnsiTheme="minorHAnsi" w:cstheme="minorBidi"/>
                <w:i w:val="0"/>
              </w:rPr>
              <w:t>quantile</w:t>
            </w:r>
            <w:proofErr w:type="spellEnd"/>
            <w:r>
              <w:rPr>
                <w:rFonts w:asciiTheme="minorHAnsi" w:eastAsiaTheme="minorEastAsia" w:hAnsiTheme="minorHAnsi" w:cstheme="minorBidi"/>
                <w:i w:val="0"/>
              </w:rPr>
              <w:t>:</w:t>
            </w:r>
          </w:p>
        </w:tc>
        <w:tc>
          <w:tcPr>
            <w:tcW w:w="1275" w:type="dxa"/>
            <w:vMerge w:val="restart"/>
            <w:tcBorders>
              <w:top w:val="single" w:sz="12" w:space="0" w:color="auto"/>
              <w:bottom w:val="single" w:sz="4" w:space="0" w:color="auto"/>
            </w:tcBorders>
            <w:vAlign w:val="center"/>
          </w:tcPr>
          <w:p w:rsidR="00822DB7" w:rsidRPr="00FF03AB" w:rsidRDefault="00822DB7" w:rsidP="008A0F7D">
            <w:pPr>
              <w:spacing w:after="200" w:line="276" w:lineRule="auto"/>
              <w:jc w:val="center"/>
              <w:rPr>
                <w:rFonts w:asciiTheme="minorHAnsi" w:eastAsiaTheme="minorEastAsia" w:hAnsiTheme="minorHAnsi" w:cstheme="minorBidi"/>
                <w:i w:val="0"/>
              </w:rPr>
            </w:pPr>
            <w:r>
              <w:rPr>
                <w:rFonts w:asciiTheme="minorHAnsi" w:eastAsiaTheme="minorEastAsia" w:hAnsiTheme="minorHAnsi" w:cstheme="minorBidi"/>
                <w:i w:val="0"/>
              </w:rPr>
              <w:t>Mean regression estimates</w:t>
            </w:r>
          </w:p>
        </w:tc>
        <w:tc>
          <w:tcPr>
            <w:tcW w:w="1763" w:type="dxa"/>
            <w:gridSpan w:val="2"/>
            <w:tcBorders>
              <w:top w:val="single" w:sz="12" w:space="0" w:color="auto"/>
              <w:bottom w:val="single" w:sz="12" w:space="0" w:color="auto"/>
            </w:tcBorders>
            <w:vAlign w:val="center"/>
          </w:tcPr>
          <w:p w:rsidR="00822DB7" w:rsidRPr="00FF03AB" w:rsidRDefault="00822DB7" w:rsidP="008A0F7D">
            <w:pPr>
              <w:spacing w:after="200" w:line="276" w:lineRule="auto"/>
              <w:jc w:val="center"/>
              <w:rPr>
                <w:rFonts w:asciiTheme="minorHAnsi" w:eastAsiaTheme="minorEastAsia" w:hAnsiTheme="minorHAnsi" w:cstheme="minorBidi"/>
                <w:i w:val="0"/>
              </w:rPr>
            </w:pPr>
            <w:r>
              <w:rPr>
                <w:rFonts w:asciiTheme="minorHAnsi" w:eastAsiaTheme="minorEastAsia" w:hAnsiTheme="minorHAnsi" w:cstheme="minorBidi"/>
                <w:i w:val="0"/>
              </w:rPr>
              <w:t xml:space="preserve">Regression estimates at indicated </w:t>
            </w:r>
            <w:proofErr w:type="spellStart"/>
            <w:r>
              <w:rPr>
                <w:rFonts w:asciiTheme="minorHAnsi" w:eastAsiaTheme="minorEastAsia" w:hAnsiTheme="minorHAnsi" w:cstheme="minorBidi"/>
                <w:i w:val="0"/>
              </w:rPr>
              <w:t>quantile</w:t>
            </w:r>
            <w:proofErr w:type="spellEnd"/>
            <w:r>
              <w:rPr>
                <w:rFonts w:asciiTheme="minorHAnsi" w:eastAsiaTheme="minorEastAsia" w:hAnsiTheme="minorHAnsi" w:cstheme="minorBidi"/>
                <w:i w:val="0"/>
              </w:rPr>
              <w:t>:</w:t>
            </w:r>
          </w:p>
        </w:tc>
      </w:tr>
      <w:tr w:rsidR="00822DB7" w:rsidRPr="00FF03AB" w:rsidTr="00822DB7">
        <w:trPr>
          <w:trHeight w:val="285"/>
        </w:trPr>
        <w:tc>
          <w:tcPr>
            <w:tcW w:w="2552" w:type="dxa"/>
            <w:vMerge/>
            <w:tcBorders>
              <w:top w:val="single" w:sz="4" w:space="0" w:color="auto"/>
              <w:bottom w:val="single" w:sz="12" w:space="0" w:color="auto"/>
            </w:tcBorders>
          </w:tcPr>
          <w:p w:rsidR="00822DB7" w:rsidRPr="00FF03AB" w:rsidRDefault="00822DB7" w:rsidP="008A0F7D">
            <w:pPr>
              <w:spacing w:after="200" w:line="276" w:lineRule="auto"/>
              <w:rPr>
                <w:rFonts w:asciiTheme="minorHAnsi" w:eastAsiaTheme="minorEastAsia" w:hAnsiTheme="minorHAnsi" w:cstheme="minorBidi"/>
                <w:i w:val="0"/>
              </w:rPr>
            </w:pPr>
          </w:p>
        </w:tc>
        <w:tc>
          <w:tcPr>
            <w:tcW w:w="992" w:type="dxa"/>
            <w:tcBorders>
              <w:top w:val="single" w:sz="12" w:space="0" w:color="auto"/>
              <w:bottom w:val="single" w:sz="12" w:space="0" w:color="auto"/>
            </w:tcBorders>
            <w:vAlign w:val="bottom"/>
          </w:tcPr>
          <w:p w:rsidR="00822DB7" w:rsidRPr="002E5522" w:rsidRDefault="00822DB7" w:rsidP="008A0F7D">
            <w:pPr>
              <w:spacing w:after="200" w:line="276" w:lineRule="auto"/>
              <w:jc w:val="center"/>
              <w:rPr>
                <w:rFonts w:asciiTheme="minorHAnsi" w:eastAsiaTheme="minorEastAsia" w:hAnsiTheme="minorHAnsi" w:cstheme="minorBidi"/>
                <w:b/>
                <w:i w:val="0"/>
              </w:rPr>
            </w:pPr>
            <w:r>
              <w:rPr>
                <w:rFonts w:asciiTheme="minorHAnsi" w:eastAsiaTheme="minorEastAsia" w:hAnsiTheme="minorHAnsi" w:cstheme="minorBidi"/>
                <w:b/>
                <w:i w:val="0"/>
              </w:rPr>
              <w:t>.10</w:t>
            </w:r>
          </w:p>
        </w:tc>
        <w:tc>
          <w:tcPr>
            <w:tcW w:w="992" w:type="dxa"/>
            <w:tcBorders>
              <w:top w:val="single" w:sz="12" w:space="0" w:color="auto"/>
              <w:bottom w:val="single" w:sz="12" w:space="0" w:color="auto"/>
            </w:tcBorders>
            <w:vAlign w:val="bottom"/>
          </w:tcPr>
          <w:p w:rsidR="00822DB7" w:rsidRPr="002E5522" w:rsidRDefault="00822DB7" w:rsidP="008A0F7D">
            <w:pPr>
              <w:spacing w:after="200" w:line="276" w:lineRule="auto"/>
              <w:jc w:val="center"/>
              <w:rPr>
                <w:rFonts w:asciiTheme="minorHAnsi" w:eastAsiaTheme="minorEastAsia" w:hAnsiTheme="minorHAnsi" w:cstheme="minorBidi"/>
                <w:b/>
                <w:i w:val="0"/>
              </w:rPr>
            </w:pPr>
            <w:r>
              <w:rPr>
                <w:rFonts w:asciiTheme="minorHAnsi" w:eastAsiaTheme="minorEastAsia" w:hAnsiTheme="minorHAnsi" w:cstheme="minorBidi"/>
                <w:b/>
                <w:i w:val="0"/>
              </w:rPr>
              <w:t>.25</w:t>
            </w:r>
          </w:p>
        </w:tc>
        <w:tc>
          <w:tcPr>
            <w:tcW w:w="993" w:type="dxa"/>
            <w:tcBorders>
              <w:top w:val="single" w:sz="12" w:space="0" w:color="auto"/>
              <w:bottom w:val="single" w:sz="12" w:space="0" w:color="auto"/>
            </w:tcBorders>
            <w:vAlign w:val="bottom"/>
          </w:tcPr>
          <w:p w:rsidR="00822DB7" w:rsidRPr="002E5522" w:rsidRDefault="00822DB7" w:rsidP="008A0F7D">
            <w:pPr>
              <w:spacing w:after="200" w:line="276" w:lineRule="auto"/>
              <w:jc w:val="center"/>
              <w:rPr>
                <w:rFonts w:asciiTheme="minorHAnsi" w:eastAsiaTheme="minorEastAsia" w:hAnsiTheme="minorHAnsi" w:cstheme="minorBidi"/>
                <w:b/>
                <w:i w:val="0"/>
              </w:rPr>
            </w:pPr>
            <w:r>
              <w:rPr>
                <w:rFonts w:asciiTheme="minorHAnsi" w:eastAsiaTheme="minorEastAsia" w:hAnsiTheme="minorHAnsi" w:cstheme="minorBidi"/>
                <w:b/>
                <w:i w:val="0"/>
              </w:rPr>
              <w:t>.50</w:t>
            </w:r>
          </w:p>
        </w:tc>
        <w:tc>
          <w:tcPr>
            <w:tcW w:w="1275" w:type="dxa"/>
            <w:vMerge/>
            <w:tcBorders>
              <w:bottom w:val="single" w:sz="4" w:space="0" w:color="auto"/>
            </w:tcBorders>
          </w:tcPr>
          <w:p w:rsidR="00822DB7" w:rsidRPr="00FF03AB" w:rsidRDefault="00822DB7" w:rsidP="008A0F7D">
            <w:pPr>
              <w:spacing w:after="200" w:line="276" w:lineRule="auto"/>
              <w:rPr>
                <w:rFonts w:asciiTheme="minorHAnsi" w:eastAsiaTheme="minorEastAsia" w:hAnsiTheme="minorHAnsi" w:cstheme="minorBidi"/>
                <w:i w:val="0"/>
              </w:rPr>
            </w:pPr>
          </w:p>
        </w:tc>
        <w:tc>
          <w:tcPr>
            <w:tcW w:w="993" w:type="dxa"/>
            <w:tcBorders>
              <w:top w:val="single" w:sz="12" w:space="0" w:color="auto"/>
              <w:bottom w:val="single" w:sz="12" w:space="0" w:color="auto"/>
            </w:tcBorders>
            <w:vAlign w:val="center"/>
          </w:tcPr>
          <w:p w:rsidR="00822DB7" w:rsidRPr="002E5522" w:rsidRDefault="00822DB7" w:rsidP="008A0F7D">
            <w:pPr>
              <w:spacing w:after="200" w:line="276" w:lineRule="auto"/>
              <w:jc w:val="center"/>
              <w:rPr>
                <w:rFonts w:asciiTheme="minorHAnsi" w:eastAsiaTheme="minorEastAsia" w:hAnsiTheme="minorHAnsi" w:cstheme="minorBidi"/>
                <w:b/>
                <w:i w:val="0"/>
              </w:rPr>
            </w:pPr>
            <w:r>
              <w:rPr>
                <w:rFonts w:asciiTheme="minorHAnsi" w:eastAsiaTheme="minorEastAsia" w:hAnsiTheme="minorHAnsi" w:cstheme="minorBidi"/>
                <w:b/>
                <w:i w:val="0"/>
              </w:rPr>
              <w:t>.75</w:t>
            </w:r>
          </w:p>
        </w:tc>
        <w:tc>
          <w:tcPr>
            <w:tcW w:w="770" w:type="dxa"/>
            <w:tcBorders>
              <w:top w:val="single" w:sz="12" w:space="0" w:color="auto"/>
              <w:bottom w:val="single" w:sz="12" w:space="0" w:color="auto"/>
            </w:tcBorders>
            <w:vAlign w:val="center"/>
          </w:tcPr>
          <w:p w:rsidR="00822DB7" w:rsidRPr="002E5522" w:rsidRDefault="00822DB7" w:rsidP="008A0F7D">
            <w:pPr>
              <w:spacing w:after="200" w:line="276" w:lineRule="auto"/>
              <w:jc w:val="center"/>
              <w:rPr>
                <w:rFonts w:asciiTheme="minorHAnsi" w:eastAsiaTheme="minorEastAsia" w:hAnsiTheme="minorHAnsi" w:cstheme="minorBidi"/>
                <w:b/>
                <w:i w:val="0"/>
              </w:rPr>
            </w:pPr>
            <w:r>
              <w:rPr>
                <w:rFonts w:asciiTheme="minorHAnsi" w:eastAsiaTheme="minorEastAsia" w:hAnsiTheme="minorHAnsi" w:cstheme="minorBidi"/>
                <w:b/>
                <w:i w:val="0"/>
              </w:rPr>
              <w:t>.90</w:t>
            </w:r>
          </w:p>
        </w:tc>
      </w:tr>
      <w:tr w:rsidR="00822DB7" w:rsidRPr="00FF03AB" w:rsidTr="00822DB7">
        <w:trPr>
          <w:trHeight w:val="618"/>
        </w:trPr>
        <w:tc>
          <w:tcPr>
            <w:tcW w:w="2552" w:type="dxa"/>
            <w:tcBorders>
              <w:top w:val="single" w:sz="12" w:space="0" w:color="auto"/>
            </w:tcBorders>
            <w:vAlign w:val="bottom"/>
          </w:tcPr>
          <w:p w:rsidR="00822DB7" w:rsidRPr="00FF03AB" w:rsidRDefault="00822DB7" w:rsidP="00822DB7">
            <w:pPr>
              <w:spacing w:after="200" w:line="276" w:lineRule="auto"/>
              <w:jc w:val="center"/>
              <w:rPr>
                <w:rFonts w:asciiTheme="minorHAnsi" w:eastAsiaTheme="minorEastAsia" w:hAnsiTheme="minorHAnsi" w:cstheme="minorBidi"/>
                <w:i w:val="0"/>
              </w:rPr>
            </w:pPr>
            <w:r>
              <w:rPr>
                <w:rFonts w:asciiTheme="minorHAnsi" w:eastAsiaTheme="minorEastAsia" w:hAnsiTheme="minorHAnsi" w:cstheme="minorBidi"/>
                <w:i w:val="0"/>
              </w:rPr>
              <w:t>Men and women aged 22-34 years, 1994/95</w:t>
            </w:r>
          </w:p>
        </w:tc>
        <w:tc>
          <w:tcPr>
            <w:tcW w:w="992" w:type="dxa"/>
            <w:tcBorders>
              <w:top w:val="single" w:sz="12" w:space="0" w:color="auto"/>
            </w:tcBorders>
            <w:vAlign w:val="center"/>
          </w:tcPr>
          <w:p w:rsidR="00822DB7" w:rsidRPr="00FF03AB" w:rsidRDefault="00822DB7" w:rsidP="008A0F7D">
            <w:pPr>
              <w:spacing w:after="200" w:line="276" w:lineRule="auto"/>
              <w:jc w:val="center"/>
              <w:rPr>
                <w:rFonts w:asciiTheme="minorHAnsi" w:eastAsiaTheme="minorEastAsia" w:hAnsiTheme="minorHAnsi" w:cstheme="minorBidi"/>
                <w:i w:val="0"/>
              </w:rPr>
            </w:pPr>
            <w:r w:rsidRPr="00FF03AB">
              <w:rPr>
                <w:rFonts w:asciiTheme="minorHAnsi" w:eastAsiaTheme="minorEastAsia" w:hAnsiTheme="minorHAnsi" w:cstheme="minorBidi"/>
                <w:i w:val="0"/>
              </w:rPr>
              <w:t>21</w:t>
            </w:r>
            <w:r>
              <w:rPr>
                <w:rFonts w:asciiTheme="minorHAnsi" w:eastAsiaTheme="minorEastAsia" w:hAnsiTheme="minorHAnsi" w:cstheme="minorBidi"/>
                <w:i w:val="0"/>
              </w:rPr>
              <w:t>%</w:t>
            </w:r>
          </w:p>
        </w:tc>
        <w:tc>
          <w:tcPr>
            <w:tcW w:w="992" w:type="dxa"/>
            <w:tcBorders>
              <w:top w:val="single" w:sz="12" w:space="0" w:color="auto"/>
            </w:tcBorders>
            <w:vAlign w:val="center"/>
          </w:tcPr>
          <w:p w:rsidR="00822DB7" w:rsidRPr="00FF03AB" w:rsidRDefault="00822DB7" w:rsidP="008A0F7D">
            <w:pPr>
              <w:spacing w:after="200" w:line="276" w:lineRule="auto"/>
              <w:jc w:val="center"/>
              <w:rPr>
                <w:rFonts w:asciiTheme="minorHAnsi" w:eastAsiaTheme="minorEastAsia" w:hAnsiTheme="minorHAnsi" w:cstheme="minorBidi"/>
                <w:i w:val="0"/>
              </w:rPr>
            </w:pPr>
            <w:r w:rsidRPr="00FF03AB">
              <w:rPr>
                <w:rFonts w:asciiTheme="minorHAnsi" w:eastAsiaTheme="minorEastAsia" w:hAnsiTheme="minorHAnsi" w:cstheme="minorBidi"/>
                <w:i w:val="0"/>
              </w:rPr>
              <w:t>24</w:t>
            </w:r>
            <w:r>
              <w:rPr>
                <w:rFonts w:asciiTheme="minorHAnsi" w:eastAsiaTheme="minorEastAsia" w:hAnsiTheme="minorHAnsi" w:cstheme="minorBidi"/>
                <w:i w:val="0"/>
              </w:rPr>
              <w:t>%</w:t>
            </w:r>
          </w:p>
        </w:tc>
        <w:tc>
          <w:tcPr>
            <w:tcW w:w="993" w:type="dxa"/>
            <w:tcBorders>
              <w:top w:val="single" w:sz="12" w:space="0" w:color="auto"/>
            </w:tcBorders>
            <w:vAlign w:val="center"/>
          </w:tcPr>
          <w:p w:rsidR="00822DB7" w:rsidRPr="00FF03AB" w:rsidRDefault="00822DB7" w:rsidP="008A0F7D">
            <w:pPr>
              <w:spacing w:after="200" w:line="276" w:lineRule="auto"/>
              <w:jc w:val="center"/>
              <w:rPr>
                <w:rFonts w:asciiTheme="minorHAnsi" w:eastAsiaTheme="minorEastAsia" w:hAnsiTheme="minorHAnsi" w:cstheme="minorBidi"/>
                <w:i w:val="0"/>
              </w:rPr>
            </w:pPr>
            <w:r w:rsidRPr="00FF03AB">
              <w:rPr>
                <w:rFonts w:asciiTheme="minorHAnsi" w:eastAsiaTheme="minorEastAsia" w:hAnsiTheme="minorHAnsi" w:cstheme="minorBidi"/>
                <w:i w:val="0"/>
              </w:rPr>
              <w:t>22</w:t>
            </w:r>
            <w:r>
              <w:rPr>
                <w:rFonts w:asciiTheme="minorHAnsi" w:eastAsiaTheme="minorEastAsia" w:hAnsiTheme="minorHAnsi" w:cstheme="minorBidi"/>
                <w:i w:val="0"/>
              </w:rPr>
              <w:t>%</w:t>
            </w:r>
          </w:p>
        </w:tc>
        <w:tc>
          <w:tcPr>
            <w:tcW w:w="1275" w:type="dxa"/>
            <w:tcBorders>
              <w:top w:val="single" w:sz="12" w:space="0" w:color="auto"/>
            </w:tcBorders>
            <w:vAlign w:val="center"/>
          </w:tcPr>
          <w:p w:rsidR="00822DB7" w:rsidRPr="00FF03AB" w:rsidRDefault="00E07F6B" w:rsidP="008A0F7D">
            <w:pPr>
              <w:spacing w:after="200" w:line="276" w:lineRule="auto"/>
              <w:jc w:val="center"/>
              <w:rPr>
                <w:rFonts w:asciiTheme="minorHAnsi" w:eastAsiaTheme="minorEastAsia" w:hAnsiTheme="minorHAnsi" w:cstheme="minorBidi"/>
                <w:i w:val="0"/>
              </w:rPr>
            </w:pPr>
            <w:r>
              <w:rPr>
                <w:rFonts w:asciiTheme="minorHAnsi" w:eastAsiaTheme="minorEastAsia" w:hAnsiTheme="minorHAnsi" w:cstheme="minorBidi"/>
                <w:i w:val="0"/>
              </w:rPr>
              <w:t>20</w:t>
            </w:r>
            <w:r w:rsidR="00822DB7">
              <w:rPr>
                <w:rFonts w:asciiTheme="minorHAnsi" w:eastAsiaTheme="minorEastAsia" w:hAnsiTheme="minorHAnsi" w:cstheme="minorBidi"/>
                <w:i w:val="0"/>
              </w:rPr>
              <w:t>%</w:t>
            </w:r>
          </w:p>
        </w:tc>
        <w:tc>
          <w:tcPr>
            <w:tcW w:w="993" w:type="dxa"/>
            <w:tcBorders>
              <w:top w:val="single" w:sz="12" w:space="0" w:color="auto"/>
            </w:tcBorders>
            <w:vAlign w:val="center"/>
          </w:tcPr>
          <w:p w:rsidR="00822DB7" w:rsidRPr="00FF03AB" w:rsidRDefault="00E07F6B" w:rsidP="008A0F7D">
            <w:pPr>
              <w:spacing w:after="200" w:line="276" w:lineRule="auto"/>
              <w:jc w:val="center"/>
              <w:rPr>
                <w:rFonts w:asciiTheme="minorHAnsi" w:eastAsiaTheme="minorEastAsia" w:hAnsiTheme="minorHAnsi" w:cstheme="minorBidi"/>
                <w:i w:val="0"/>
              </w:rPr>
            </w:pPr>
            <w:r>
              <w:rPr>
                <w:rFonts w:asciiTheme="minorHAnsi" w:eastAsiaTheme="minorEastAsia" w:hAnsiTheme="minorHAnsi" w:cstheme="minorBidi"/>
                <w:i w:val="0"/>
              </w:rPr>
              <w:t>1</w:t>
            </w:r>
            <w:r w:rsidR="00822DB7" w:rsidRPr="00FF03AB">
              <w:rPr>
                <w:rFonts w:asciiTheme="minorHAnsi" w:eastAsiaTheme="minorEastAsia" w:hAnsiTheme="minorHAnsi" w:cstheme="minorBidi"/>
                <w:i w:val="0"/>
              </w:rPr>
              <w:t>8</w:t>
            </w:r>
            <w:r w:rsidR="00822DB7">
              <w:rPr>
                <w:rFonts w:asciiTheme="minorHAnsi" w:eastAsiaTheme="minorEastAsia" w:hAnsiTheme="minorHAnsi" w:cstheme="minorBidi"/>
                <w:i w:val="0"/>
              </w:rPr>
              <w:t>%</w:t>
            </w:r>
          </w:p>
        </w:tc>
        <w:tc>
          <w:tcPr>
            <w:tcW w:w="770" w:type="dxa"/>
            <w:tcBorders>
              <w:top w:val="single" w:sz="12" w:space="0" w:color="auto"/>
            </w:tcBorders>
            <w:vAlign w:val="center"/>
          </w:tcPr>
          <w:p w:rsidR="00822DB7" w:rsidRPr="00FF03AB" w:rsidRDefault="00822DB7" w:rsidP="008A0F7D">
            <w:pPr>
              <w:spacing w:after="200" w:line="276" w:lineRule="auto"/>
              <w:jc w:val="center"/>
              <w:rPr>
                <w:rFonts w:asciiTheme="minorHAnsi" w:eastAsiaTheme="minorEastAsia" w:hAnsiTheme="minorHAnsi" w:cstheme="minorBidi"/>
                <w:i w:val="0"/>
              </w:rPr>
            </w:pPr>
            <w:r w:rsidRPr="00FF03AB">
              <w:rPr>
                <w:rFonts w:asciiTheme="minorHAnsi" w:eastAsiaTheme="minorEastAsia" w:hAnsiTheme="minorHAnsi" w:cstheme="minorBidi"/>
                <w:i w:val="0"/>
              </w:rPr>
              <w:t>14</w:t>
            </w:r>
            <w:r>
              <w:rPr>
                <w:rFonts w:asciiTheme="minorHAnsi" w:eastAsiaTheme="minorEastAsia" w:hAnsiTheme="minorHAnsi" w:cstheme="minorBidi"/>
                <w:i w:val="0"/>
              </w:rPr>
              <w:t>%</w:t>
            </w:r>
          </w:p>
        </w:tc>
      </w:tr>
      <w:tr w:rsidR="00822DB7" w:rsidRPr="00FF03AB" w:rsidTr="00822DB7">
        <w:trPr>
          <w:trHeight w:val="592"/>
        </w:trPr>
        <w:tc>
          <w:tcPr>
            <w:tcW w:w="2552" w:type="dxa"/>
            <w:tcBorders>
              <w:bottom w:val="single" w:sz="12" w:space="0" w:color="auto"/>
            </w:tcBorders>
            <w:vAlign w:val="bottom"/>
          </w:tcPr>
          <w:p w:rsidR="00822DB7" w:rsidRPr="00FF03AB" w:rsidRDefault="00822DB7" w:rsidP="00822DB7">
            <w:pPr>
              <w:spacing w:after="200" w:line="276" w:lineRule="auto"/>
              <w:jc w:val="center"/>
              <w:rPr>
                <w:rFonts w:asciiTheme="minorHAnsi" w:eastAsiaTheme="minorEastAsia" w:hAnsiTheme="minorHAnsi" w:cstheme="minorBidi"/>
                <w:i w:val="0"/>
              </w:rPr>
            </w:pPr>
            <w:r>
              <w:rPr>
                <w:rFonts w:asciiTheme="minorHAnsi" w:eastAsiaTheme="minorEastAsia" w:hAnsiTheme="minorHAnsi" w:cstheme="minorBidi"/>
                <w:i w:val="0"/>
              </w:rPr>
              <w:t>Men and women aged 22-34 years, 2009/10</w:t>
            </w:r>
          </w:p>
        </w:tc>
        <w:tc>
          <w:tcPr>
            <w:tcW w:w="992" w:type="dxa"/>
            <w:tcBorders>
              <w:bottom w:val="single" w:sz="12" w:space="0" w:color="auto"/>
            </w:tcBorders>
            <w:vAlign w:val="center"/>
          </w:tcPr>
          <w:p w:rsidR="00822DB7" w:rsidRPr="00FF03AB" w:rsidRDefault="00822DB7" w:rsidP="008A0F7D">
            <w:pPr>
              <w:spacing w:after="200" w:line="276" w:lineRule="auto"/>
              <w:jc w:val="center"/>
              <w:rPr>
                <w:rFonts w:asciiTheme="minorHAnsi" w:eastAsiaTheme="minorEastAsia" w:hAnsiTheme="minorHAnsi" w:cstheme="minorBidi"/>
                <w:i w:val="0"/>
              </w:rPr>
            </w:pPr>
            <w:r w:rsidRPr="00FF03AB">
              <w:rPr>
                <w:rFonts w:asciiTheme="minorHAnsi" w:eastAsiaTheme="minorEastAsia" w:hAnsiTheme="minorHAnsi" w:cstheme="minorBidi"/>
                <w:i w:val="0"/>
              </w:rPr>
              <w:t>16</w:t>
            </w:r>
            <w:r>
              <w:rPr>
                <w:rFonts w:asciiTheme="minorHAnsi" w:eastAsiaTheme="minorEastAsia" w:hAnsiTheme="minorHAnsi" w:cstheme="minorBidi"/>
                <w:i w:val="0"/>
              </w:rPr>
              <w:t>%</w:t>
            </w:r>
          </w:p>
        </w:tc>
        <w:tc>
          <w:tcPr>
            <w:tcW w:w="992" w:type="dxa"/>
            <w:tcBorders>
              <w:bottom w:val="single" w:sz="12" w:space="0" w:color="auto"/>
            </w:tcBorders>
            <w:vAlign w:val="center"/>
          </w:tcPr>
          <w:p w:rsidR="00822DB7" w:rsidRPr="00FF03AB" w:rsidRDefault="00822DB7" w:rsidP="008A0F7D">
            <w:pPr>
              <w:spacing w:after="200" w:line="276" w:lineRule="auto"/>
              <w:jc w:val="center"/>
              <w:rPr>
                <w:rFonts w:asciiTheme="minorHAnsi" w:eastAsiaTheme="minorEastAsia" w:hAnsiTheme="minorHAnsi" w:cstheme="minorBidi"/>
                <w:i w:val="0"/>
              </w:rPr>
            </w:pPr>
            <w:r w:rsidRPr="00FF03AB">
              <w:rPr>
                <w:rFonts w:asciiTheme="minorHAnsi" w:eastAsiaTheme="minorEastAsia" w:hAnsiTheme="minorHAnsi" w:cstheme="minorBidi"/>
                <w:i w:val="0"/>
              </w:rPr>
              <w:t>22</w:t>
            </w:r>
            <w:r>
              <w:rPr>
                <w:rFonts w:asciiTheme="minorHAnsi" w:eastAsiaTheme="minorEastAsia" w:hAnsiTheme="minorHAnsi" w:cstheme="minorBidi"/>
                <w:i w:val="0"/>
              </w:rPr>
              <w:t>%</w:t>
            </w:r>
          </w:p>
        </w:tc>
        <w:tc>
          <w:tcPr>
            <w:tcW w:w="993" w:type="dxa"/>
            <w:tcBorders>
              <w:bottom w:val="single" w:sz="12" w:space="0" w:color="auto"/>
            </w:tcBorders>
            <w:vAlign w:val="center"/>
          </w:tcPr>
          <w:p w:rsidR="00822DB7" w:rsidRPr="00FF03AB" w:rsidRDefault="00822DB7" w:rsidP="008A0F7D">
            <w:pPr>
              <w:spacing w:after="200" w:line="276" w:lineRule="auto"/>
              <w:jc w:val="center"/>
              <w:rPr>
                <w:rFonts w:asciiTheme="minorHAnsi" w:eastAsiaTheme="minorEastAsia" w:hAnsiTheme="minorHAnsi" w:cstheme="minorBidi"/>
                <w:i w:val="0"/>
              </w:rPr>
            </w:pPr>
            <w:r w:rsidRPr="00FF03AB">
              <w:rPr>
                <w:rFonts w:asciiTheme="minorHAnsi" w:eastAsiaTheme="minorEastAsia" w:hAnsiTheme="minorHAnsi" w:cstheme="minorBidi"/>
                <w:i w:val="0"/>
              </w:rPr>
              <w:t>24</w:t>
            </w:r>
            <w:r>
              <w:rPr>
                <w:rFonts w:asciiTheme="minorHAnsi" w:eastAsiaTheme="minorEastAsia" w:hAnsiTheme="minorHAnsi" w:cstheme="minorBidi"/>
                <w:i w:val="0"/>
              </w:rPr>
              <w:t>%</w:t>
            </w:r>
          </w:p>
        </w:tc>
        <w:tc>
          <w:tcPr>
            <w:tcW w:w="1275" w:type="dxa"/>
            <w:tcBorders>
              <w:bottom w:val="single" w:sz="12" w:space="0" w:color="auto"/>
            </w:tcBorders>
            <w:vAlign w:val="center"/>
          </w:tcPr>
          <w:p w:rsidR="00822DB7" w:rsidRPr="00FF03AB" w:rsidRDefault="00822DB7" w:rsidP="008A0F7D">
            <w:pPr>
              <w:spacing w:after="200" w:line="276" w:lineRule="auto"/>
              <w:jc w:val="center"/>
              <w:rPr>
                <w:rFonts w:asciiTheme="minorHAnsi" w:eastAsiaTheme="minorEastAsia" w:hAnsiTheme="minorHAnsi" w:cstheme="minorBidi"/>
                <w:i w:val="0"/>
              </w:rPr>
            </w:pPr>
            <w:r w:rsidRPr="00FF03AB">
              <w:rPr>
                <w:rFonts w:asciiTheme="minorHAnsi" w:eastAsiaTheme="minorEastAsia" w:hAnsiTheme="minorHAnsi" w:cstheme="minorBidi"/>
                <w:i w:val="0"/>
              </w:rPr>
              <w:t>23</w:t>
            </w:r>
            <w:r>
              <w:rPr>
                <w:rFonts w:asciiTheme="minorHAnsi" w:eastAsiaTheme="minorEastAsia" w:hAnsiTheme="minorHAnsi" w:cstheme="minorBidi"/>
                <w:i w:val="0"/>
              </w:rPr>
              <w:t>%</w:t>
            </w:r>
          </w:p>
        </w:tc>
        <w:tc>
          <w:tcPr>
            <w:tcW w:w="993" w:type="dxa"/>
            <w:tcBorders>
              <w:bottom w:val="single" w:sz="12" w:space="0" w:color="auto"/>
            </w:tcBorders>
            <w:vAlign w:val="center"/>
          </w:tcPr>
          <w:p w:rsidR="00822DB7" w:rsidRPr="00FF03AB" w:rsidRDefault="00822DB7" w:rsidP="008A0F7D">
            <w:pPr>
              <w:spacing w:after="200" w:line="276" w:lineRule="auto"/>
              <w:jc w:val="center"/>
              <w:rPr>
                <w:rFonts w:asciiTheme="minorHAnsi" w:eastAsiaTheme="minorEastAsia" w:hAnsiTheme="minorHAnsi" w:cstheme="minorBidi"/>
                <w:i w:val="0"/>
              </w:rPr>
            </w:pPr>
            <w:r w:rsidRPr="00FF03AB">
              <w:rPr>
                <w:rFonts w:asciiTheme="minorHAnsi" w:eastAsiaTheme="minorEastAsia" w:hAnsiTheme="minorHAnsi" w:cstheme="minorBidi"/>
                <w:i w:val="0"/>
              </w:rPr>
              <w:t>23</w:t>
            </w:r>
            <w:r>
              <w:rPr>
                <w:rFonts w:asciiTheme="minorHAnsi" w:eastAsiaTheme="minorEastAsia" w:hAnsiTheme="minorHAnsi" w:cstheme="minorBidi"/>
                <w:i w:val="0"/>
              </w:rPr>
              <w:t>%</w:t>
            </w:r>
          </w:p>
        </w:tc>
        <w:tc>
          <w:tcPr>
            <w:tcW w:w="770" w:type="dxa"/>
            <w:tcBorders>
              <w:bottom w:val="single" w:sz="12" w:space="0" w:color="auto"/>
            </w:tcBorders>
            <w:vAlign w:val="center"/>
          </w:tcPr>
          <w:p w:rsidR="00822DB7" w:rsidRPr="00FF03AB" w:rsidRDefault="00822DB7" w:rsidP="008A0F7D">
            <w:pPr>
              <w:spacing w:after="200" w:line="276" w:lineRule="auto"/>
              <w:jc w:val="center"/>
              <w:rPr>
                <w:rFonts w:asciiTheme="minorHAnsi" w:eastAsiaTheme="minorEastAsia" w:hAnsiTheme="minorHAnsi" w:cstheme="minorBidi"/>
                <w:i w:val="0"/>
              </w:rPr>
            </w:pPr>
            <w:r w:rsidRPr="00FF03AB">
              <w:rPr>
                <w:rFonts w:asciiTheme="minorHAnsi" w:eastAsiaTheme="minorEastAsia" w:hAnsiTheme="minorHAnsi" w:cstheme="minorBidi"/>
                <w:i w:val="0"/>
              </w:rPr>
              <w:t>25</w:t>
            </w:r>
            <w:r>
              <w:rPr>
                <w:rFonts w:asciiTheme="minorHAnsi" w:eastAsiaTheme="minorEastAsia" w:hAnsiTheme="minorHAnsi" w:cstheme="minorBidi"/>
                <w:i w:val="0"/>
              </w:rPr>
              <w:t>%</w:t>
            </w:r>
          </w:p>
        </w:tc>
      </w:tr>
    </w:tbl>
    <w:p w:rsidR="00822DB7" w:rsidRPr="004137C3" w:rsidRDefault="00822DB7" w:rsidP="00231863">
      <w:pPr>
        <w:ind w:left="284"/>
        <w:rPr>
          <w:i/>
          <w:sz w:val="16"/>
          <w:szCs w:val="16"/>
        </w:rPr>
      </w:pPr>
      <w:r w:rsidRPr="004137C3">
        <w:rPr>
          <w:i/>
          <w:sz w:val="16"/>
          <w:szCs w:val="16"/>
        </w:rPr>
        <w:t>Source: Table 4 and Table 6.</w:t>
      </w:r>
    </w:p>
    <w:p w:rsidR="007D4E45" w:rsidRDefault="00DC16FD" w:rsidP="008D284F">
      <w:pPr>
        <w:spacing w:line="240" w:lineRule="auto"/>
        <w:ind w:left="993" w:hanging="993"/>
        <w:rPr>
          <w:b/>
        </w:rPr>
      </w:pPr>
      <w:r>
        <w:rPr>
          <w:b/>
        </w:rPr>
        <w:lastRenderedPageBreak/>
        <w:t>Inter-generational s</w:t>
      </w:r>
      <w:r w:rsidR="007D4E45">
        <w:rPr>
          <w:b/>
        </w:rPr>
        <w:t>ocial mobility</w:t>
      </w:r>
      <w:r>
        <w:rPr>
          <w:b/>
        </w:rPr>
        <w:t xml:space="preserve"> and higher education</w:t>
      </w:r>
    </w:p>
    <w:p w:rsidR="00115219" w:rsidRPr="00C977D0" w:rsidRDefault="00C81DDF" w:rsidP="003C4F6B">
      <w:pPr>
        <w:spacing w:after="120"/>
        <w:rPr>
          <w:rFonts w:cs="Calibri"/>
        </w:rPr>
      </w:pPr>
      <w:r w:rsidRPr="00C977D0">
        <w:rPr>
          <w:rFonts w:cs="Calibri"/>
        </w:rPr>
        <w:t xml:space="preserve">Prior to the period of expansion in the </w:t>
      </w:r>
      <w:r w:rsidR="001E722E" w:rsidRPr="00C977D0">
        <w:rPr>
          <w:rFonts w:cs="Calibri"/>
        </w:rPr>
        <w:t>mid-1980s</w:t>
      </w:r>
      <w:r w:rsidRPr="00C977D0">
        <w:rPr>
          <w:rFonts w:cs="Calibri"/>
        </w:rPr>
        <w:t xml:space="preserve"> p</w:t>
      </w:r>
      <w:r w:rsidR="00DC16FD" w:rsidRPr="00C977D0">
        <w:rPr>
          <w:rFonts w:cs="Calibri"/>
        </w:rPr>
        <w:t>articipation in higher education in the UK period was very much the preserve of the higher social groups.  Evidence published in 1963 shows that, in 1962, 71 per cent of first degree students were from non-manual backgrounds, with 25 per cent were from households where the father was in a manual occupation</w:t>
      </w:r>
      <w:r w:rsidR="00DC16FD" w:rsidRPr="00C977D0">
        <w:rPr>
          <w:rStyle w:val="FootnoteReference"/>
          <w:rFonts w:cs="Calibri"/>
        </w:rPr>
        <w:footnoteReference w:id="8"/>
      </w:r>
      <w:r w:rsidR="00DC16FD" w:rsidRPr="00C977D0">
        <w:rPr>
          <w:rFonts w:cs="Calibri"/>
        </w:rPr>
        <w:t>.  This same source indicates that th</w:t>
      </w:r>
      <w:r w:rsidR="00115219" w:rsidRPr="00C977D0">
        <w:rPr>
          <w:rFonts w:cs="Calibri"/>
        </w:rPr>
        <w:t xml:space="preserve">ere had been little change in this division in the preceding 30 years.  Expansion of higher education was seen, therefore, as a vehicle to help break down the social class structure of British society, providing greater </w:t>
      </w:r>
      <w:r w:rsidRPr="00C977D0">
        <w:rPr>
          <w:rFonts w:cs="Calibri"/>
        </w:rPr>
        <w:t xml:space="preserve">social and economic </w:t>
      </w:r>
      <w:r w:rsidR="00115219" w:rsidRPr="00C977D0">
        <w:rPr>
          <w:rFonts w:cs="Calibri"/>
        </w:rPr>
        <w:t>opportunities for those who originate from less privileged backgrounds</w:t>
      </w:r>
      <w:r w:rsidR="00115219" w:rsidRPr="00C977D0">
        <w:rPr>
          <w:rStyle w:val="FootnoteReference"/>
          <w:rFonts w:cs="Calibri"/>
        </w:rPr>
        <w:footnoteReference w:id="9"/>
      </w:r>
      <w:r w:rsidR="00115219" w:rsidRPr="00C977D0">
        <w:rPr>
          <w:rFonts w:cs="Calibri"/>
        </w:rPr>
        <w:t>.</w:t>
      </w:r>
    </w:p>
    <w:p w:rsidR="00305AD1" w:rsidRPr="00C977D0" w:rsidRDefault="00305AD1" w:rsidP="003C4F6B">
      <w:pPr>
        <w:spacing w:after="120"/>
        <w:rPr>
          <w:rFonts w:cs="Calibri"/>
        </w:rPr>
      </w:pPr>
      <w:r w:rsidRPr="00C977D0">
        <w:rPr>
          <w:rFonts w:cs="Calibri"/>
        </w:rPr>
        <w:t xml:space="preserve">While policy makers continue to stress the ways in which access to </w:t>
      </w:r>
      <w:r w:rsidR="00115219" w:rsidRPr="00C977D0">
        <w:rPr>
          <w:rFonts w:cs="Calibri"/>
        </w:rPr>
        <w:t>h</w:t>
      </w:r>
      <w:r w:rsidRPr="00C977D0">
        <w:rPr>
          <w:rFonts w:cs="Calibri"/>
        </w:rPr>
        <w:t xml:space="preserve">igher education can be used as an instrument of social justice, particularly via its potential to promote inter and intra-generational mobility, economists and sociologists </w:t>
      </w:r>
      <w:r w:rsidR="00DC16FD" w:rsidRPr="00C977D0">
        <w:rPr>
          <w:rFonts w:cs="Calibri"/>
        </w:rPr>
        <w:t xml:space="preserve">have </w:t>
      </w:r>
      <w:r w:rsidRPr="00C977D0">
        <w:rPr>
          <w:rFonts w:cs="Calibri"/>
        </w:rPr>
        <w:t>provide</w:t>
      </w:r>
      <w:r w:rsidR="00DC16FD" w:rsidRPr="00C977D0">
        <w:rPr>
          <w:rFonts w:cs="Calibri"/>
        </w:rPr>
        <w:t>d</w:t>
      </w:r>
      <w:r w:rsidRPr="00C977D0">
        <w:rPr>
          <w:rFonts w:cs="Calibri"/>
        </w:rPr>
        <w:t xml:space="preserve"> research </w:t>
      </w:r>
      <w:r w:rsidR="00DC16FD" w:rsidRPr="00C977D0">
        <w:rPr>
          <w:rFonts w:cs="Calibri"/>
        </w:rPr>
        <w:t>evidence</w:t>
      </w:r>
      <w:r w:rsidRPr="00C977D0">
        <w:rPr>
          <w:rFonts w:cs="Calibri"/>
        </w:rPr>
        <w:t xml:space="preserve"> which raise</w:t>
      </w:r>
      <w:r w:rsidR="00DC16FD" w:rsidRPr="00C977D0">
        <w:rPr>
          <w:rFonts w:cs="Calibri"/>
        </w:rPr>
        <w:t>s</w:t>
      </w:r>
      <w:r w:rsidRPr="00C977D0">
        <w:rPr>
          <w:rFonts w:cs="Calibri"/>
        </w:rPr>
        <w:t xml:space="preserve"> important questions and indicate</w:t>
      </w:r>
      <w:r w:rsidR="00DC16FD" w:rsidRPr="00C977D0">
        <w:rPr>
          <w:rFonts w:cs="Calibri"/>
        </w:rPr>
        <w:t>s</w:t>
      </w:r>
      <w:r w:rsidRPr="00C977D0">
        <w:rPr>
          <w:rFonts w:cs="Calibri"/>
        </w:rPr>
        <w:t xml:space="preserve"> the poverty of existing data resources to pursue this issue.  An example of this arises with the cross-cohort analysis of intergenerational earnings mobility based upon the 1958 and 1970 birth cohorts.  </w:t>
      </w:r>
      <w:proofErr w:type="spellStart"/>
      <w:r w:rsidRPr="00C977D0">
        <w:rPr>
          <w:rFonts w:cs="Calibri"/>
        </w:rPr>
        <w:t>Blanden</w:t>
      </w:r>
      <w:proofErr w:type="spellEnd"/>
      <w:r w:rsidRPr="00C977D0">
        <w:rPr>
          <w:rFonts w:cs="Calibri"/>
        </w:rPr>
        <w:t xml:space="preserve"> </w:t>
      </w:r>
      <w:r w:rsidRPr="00C977D0">
        <w:rPr>
          <w:rFonts w:cs="Calibri"/>
          <w:i/>
        </w:rPr>
        <w:t>et al</w:t>
      </w:r>
      <w:r w:rsidRPr="00C977D0">
        <w:rPr>
          <w:rFonts w:cs="Calibri"/>
        </w:rPr>
        <w:t>. (</w:t>
      </w:r>
      <w:r w:rsidR="00F677B7">
        <w:rPr>
          <w:rFonts w:cs="Calibri"/>
        </w:rPr>
        <w:t xml:space="preserve">2002, </w:t>
      </w:r>
      <w:r w:rsidRPr="00C977D0">
        <w:rPr>
          <w:rFonts w:cs="Calibri"/>
        </w:rPr>
        <w:t>2004) show the decline in interquartile earnings mobility, defined as the position of a son in</w:t>
      </w:r>
      <w:r w:rsidR="00C81DDF" w:rsidRPr="00C977D0">
        <w:rPr>
          <w:rFonts w:cs="Calibri"/>
        </w:rPr>
        <w:t xml:space="preserve"> relation to</w:t>
      </w:r>
      <w:r w:rsidRPr="00C977D0">
        <w:rPr>
          <w:rFonts w:cs="Calibri"/>
        </w:rPr>
        <w:t xml:space="preserve"> the parental distribution of earnings when aged 16 compared with position of same individual in distribution of earnings reported </w:t>
      </w:r>
      <w:r w:rsidR="00C81DDF" w:rsidRPr="00C977D0">
        <w:rPr>
          <w:rFonts w:cs="Calibri"/>
        </w:rPr>
        <w:t xml:space="preserve">by all individuals </w:t>
      </w:r>
      <w:r w:rsidRPr="00C977D0">
        <w:rPr>
          <w:rFonts w:cs="Calibri"/>
        </w:rPr>
        <w:t xml:space="preserve">at ages 30/33.  </w:t>
      </w:r>
      <w:proofErr w:type="spellStart"/>
      <w:r w:rsidRPr="00C977D0">
        <w:rPr>
          <w:rFonts w:cs="Calibri"/>
        </w:rPr>
        <w:t>Goldthorpe</w:t>
      </w:r>
      <w:proofErr w:type="spellEnd"/>
      <w:r w:rsidRPr="00C977D0">
        <w:rPr>
          <w:rFonts w:cs="Calibri"/>
        </w:rPr>
        <w:t xml:space="preserve"> and Jackson (2007), using these same data sources and time points, show that intergenerational social mobility (measured as movement between class positions) shows little evidence of decline.  As </w:t>
      </w:r>
      <w:proofErr w:type="spellStart"/>
      <w:r w:rsidRPr="00C977D0">
        <w:rPr>
          <w:rFonts w:cs="Calibri"/>
        </w:rPr>
        <w:t>Goldthorpe</w:t>
      </w:r>
      <w:proofErr w:type="spellEnd"/>
      <w:r w:rsidRPr="00C977D0">
        <w:rPr>
          <w:rFonts w:cs="Calibri"/>
        </w:rPr>
        <w:t xml:space="preserve"> and Jackson note, the claim made by economists </w:t>
      </w:r>
      <w:r w:rsidR="004649CB">
        <w:rPr>
          <w:rFonts w:cs="Calibri"/>
        </w:rPr>
        <w:t xml:space="preserve">– </w:t>
      </w:r>
      <w:r w:rsidRPr="00C977D0">
        <w:rPr>
          <w:rFonts w:cs="Calibri"/>
        </w:rPr>
        <w:t>that a general decline in social mobility associates with the rise in higher education</w:t>
      </w:r>
      <w:r w:rsidR="004649CB">
        <w:rPr>
          <w:rFonts w:cs="Calibri"/>
        </w:rPr>
        <w:t xml:space="preserve"> – </w:t>
      </w:r>
      <w:r w:rsidRPr="00C977D0">
        <w:rPr>
          <w:rFonts w:cs="Calibri"/>
        </w:rPr>
        <w:t>cannot be sustained on the basis of these two studies</w:t>
      </w:r>
      <w:r w:rsidR="00EE6DCB">
        <w:rPr>
          <w:rFonts w:cs="Calibri"/>
        </w:rPr>
        <w:t xml:space="preserve"> which are</w:t>
      </w:r>
      <w:r w:rsidRPr="00C977D0">
        <w:rPr>
          <w:rFonts w:cs="Calibri"/>
        </w:rPr>
        <w:t xml:space="preserve"> only 12 years apart and with observations taken prior to a significant increase in the flow of new graduates onto the labour market</w:t>
      </w:r>
      <w:r w:rsidRPr="00C977D0">
        <w:rPr>
          <w:rStyle w:val="FootnoteReference"/>
          <w:rFonts w:cs="Calibri"/>
        </w:rPr>
        <w:footnoteReference w:id="10"/>
      </w:r>
      <w:r w:rsidRPr="00C977D0">
        <w:rPr>
          <w:rFonts w:cs="Calibri"/>
        </w:rPr>
        <w:t>.</w:t>
      </w:r>
    </w:p>
    <w:p w:rsidR="00305AD1" w:rsidRPr="00C977D0" w:rsidRDefault="00305AD1" w:rsidP="003C4F6B">
      <w:pPr>
        <w:spacing w:after="120"/>
        <w:rPr>
          <w:rFonts w:cs="Calibri"/>
        </w:rPr>
      </w:pPr>
      <w:r w:rsidRPr="00C977D0">
        <w:rPr>
          <w:rFonts w:cs="Calibri"/>
        </w:rPr>
        <w:t xml:space="preserve">The evidence currently available to guide policy on fair access to higher education is also difficult to interpret either because of problems relating to the </w:t>
      </w:r>
      <w:proofErr w:type="spellStart"/>
      <w:r w:rsidRPr="00C977D0">
        <w:rPr>
          <w:rFonts w:cs="Calibri"/>
        </w:rPr>
        <w:t>operationalisation</w:t>
      </w:r>
      <w:proofErr w:type="spellEnd"/>
      <w:r w:rsidRPr="00C977D0">
        <w:rPr>
          <w:rFonts w:cs="Calibri"/>
        </w:rPr>
        <w:t xml:space="preserve"> of the concepts of social class or by the use of poor quality proxy indicators for measures of social class.  Examples include the development of indicators of trends in participation by socio-economic groups (DBIS 2009; Cabinet Office 2009), which groups small employers and own account workers with lower supervisory and technical, routine and semi-routine occupations.  The inclusion of occupations such as hotel and accommodation managers and restaurant and catering managers in this ‘less advantaged’ aggregate group of social class categories sits at odds with the classification of graduate occupations </w:t>
      </w:r>
      <w:r w:rsidR="00115219" w:rsidRPr="00C977D0">
        <w:rPr>
          <w:rFonts w:cs="Calibri"/>
        </w:rPr>
        <w:t>we use in this paper</w:t>
      </w:r>
      <w:r w:rsidRPr="00C977D0">
        <w:rPr>
          <w:rFonts w:cs="Calibri"/>
        </w:rPr>
        <w:t xml:space="preserve">, which places these categories in the category ‘new graduate occupations’.  Furthermore, existing indicators of social class are derived from information on parental occupations obtained </w:t>
      </w:r>
      <w:r w:rsidR="00115219" w:rsidRPr="00C977D0">
        <w:rPr>
          <w:rFonts w:cs="Calibri"/>
        </w:rPr>
        <w:t>during the process of applying to higher education by prospective students</w:t>
      </w:r>
      <w:r w:rsidRPr="00C977D0">
        <w:rPr>
          <w:rFonts w:cs="Calibri"/>
        </w:rPr>
        <w:t>.  Currently, social class cannot be determined for 22 per cent of applicants and, for those providing relevant information, the quality of the information often precludes accurate coding.  Proxy measures are sometimes employed, in particular a measure based upon residential classification, but this again introduces further questions about the validity of the resulting indicators (Kelly and Cook, 2007).</w:t>
      </w:r>
    </w:p>
    <w:p w:rsidR="00305AD1" w:rsidRPr="00C977D0" w:rsidRDefault="00115219" w:rsidP="003C4F6B">
      <w:pPr>
        <w:spacing w:after="120"/>
        <w:rPr>
          <w:rFonts w:cs="Calibri"/>
        </w:rPr>
      </w:pPr>
      <w:r w:rsidRPr="00C977D0">
        <w:rPr>
          <w:rFonts w:cs="Calibri"/>
        </w:rPr>
        <w:lastRenderedPageBreak/>
        <w:t xml:space="preserve">Here we make use of a new and current resource.  </w:t>
      </w:r>
      <w:r w:rsidR="00097D17" w:rsidRPr="00C977D0">
        <w:rPr>
          <w:rFonts w:cs="Calibri"/>
        </w:rPr>
        <w:t xml:space="preserve">The UK Household Longitudinal Study (known as </w:t>
      </w:r>
      <w:r w:rsidR="00305AD1" w:rsidRPr="00C977D0">
        <w:rPr>
          <w:rFonts w:cs="Calibri"/>
          <w:i/>
        </w:rPr>
        <w:t>Understanding Society</w:t>
      </w:r>
      <w:r w:rsidR="00097D17" w:rsidRPr="00C977D0">
        <w:rPr>
          <w:rFonts w:cs="Calibri"/>
        </w:rPr>
        <w:t>)</w:t>
      </w:r>
      <w:r w:rsidR="00305AD1" w:rsidRPr="00C977D0">
        <w:rPr>
          <w:rFonts w:cs="Calibri"/>
        </w:rPr>
        <w:t xml:space="preserve"> is </w:t>
      </w:r>
      <w:r w:rsidRPr="00C977D0">
        <w:rPr>
          <w:rFonts w:cs="Calibri"/>
        </w:rPr>
        <w:t xml:space="preserve">the successor to the </w:t>
      </w:r>
      <w:r w:rsidRPr="00C977D0">
        <w:rPr>
          <w:rFonts w:cs="Calibri"/>
          <w:i/>
        </w:rPr>
        <w:t>British Household Panel Study</w:t>
      </w:r>
      <w:r w:rsidRPr="00C977D0">
        <w:rPr>
          <w:rFonts w:cs="Calibri"/>
        </w:rPr>
        <w:t xml:space="preserve">.  It commenced in 2008 and is currently the world’s largest household panel study.  </w:t>
      </w:r>
      <w:r w:rsidR="00933D2E" w:rsidRPr="00C977D0">
        <w:rPr>
          <w:rFonts w:cs="Calibri"/>
        </w:rPr>
        <w:t>Like its predecessor, it</w:t>
      </w:r>
      <w:r w:rsidRPr="00C977D0">
        <w:rPr>
          <w:rFonts w:cs="Calibri"/>
        </w:rPr>
        <w:t xml:space="preserve"> collects </w:t>
      </w:r>
      <w:r w:rsidR="00305AD1" w:rsidRPr="00C977D0">
        <w:rPr>
          <w:rFonts w:cs="Calibri"/>
        </w:rPr>
        <w:t>information on the respondent’s social background at age 14</w:t>
      </w:r>
      <w:r w:rsidR="00933D2E" w:rsidRPr="00C977D0">
        <w:rPr>
          <w:rFonts w:cs="Calibri"/>
        </w:rPr>
        <w:t>, but from a much larger sample of households across the UK</w:t>
      </w:r>
      <w:r w:rsidR="00305AD1" w:rsidRPr="00C977D0">
        <w:rPr>
          <w:rFonts w:cs="Calibri"/>
        </w:rPr>
        <w:t xml:space="preserve">.  </w:t>
      </w:r>
      <w:r w:rsidRPr="00C977D0">
        <w:rPr>
          <w:rFonts w:cs="Calibri"/>
        </w:rPr>
        <w:t>Information from this source is presently only available for the first half of wave 1 of the new survey</w:t>
      </w:r>
      <w:r w:rsidR="00933D2E" w:rsidRPr="00C977D0">
        <w:rPr>
          <w:rFonts w:cs="Calibri"/>
        </w:rPr>
        <w:t>.  However, this provides sufficient information for a broad analysis of changes in the social background of recent and older graduates.</w:t>
      </w:r>
    </w:p>
    <w:p w:rsidR="00C81DDF" w:rsidRPr="00C977D0" w:rsidRDefault="00C81DDF" w:rsidP="003C4F6B">
      <w:pPr>
        <w:spacing w:after="120"/>
        <w:rPr>
          <w:rFonts w:cs="Calibri"/>
        </w:rPr>
      </w:pPr>
      <w:r w:rsidRPr="00C977D0">
        <w:rPr>
          <w:rFonts w:cs="Calibri"/>
        </w:rPr>
        <w:t>Two age cohorts are defined f</w:t>
      </w:r>
      <w:r w:rsidR="007E5C68">
        <w:rPr>
          <w:rFonts w:cs="Calibri"/>
        </w:rPr>
        <w:t>ro</w:t>
      </w:r>
      <w:r w:rsidRPr="00C977D0">
        <w:rPr>
          <w:rFonts w:cs="Calibri"/>
        </w:rPr>
        <w:t xml:space="preserve">m the </w:t>
      </w:r>
      <w:r w:rsidR="004649CB" w:rsidRPr="00C977D0">
        <w:rPr>
          <w:rFonts w:cs="Calibri"/>
          <w:i/>
        </w:rPr>
        <w:t>Understanding Society</w:t>
      </w:r>
      <w:r w:rsidR="004649CB" w:rsidRPr="00C977D0">
        <w:rPr>
          <w:rFonts w:cs="Calibri"/>
        </w:rPr>
        <w:t xml:space="preserve"> </w:t>
      </w:r>
      <w:r w:rsidRPr="00C977D0">
        <w:rPr>
          <w:rFonts w:cs="Calibri"/>
        </w:rPr>
        <w:t>survey</w:t>
      </w:r>
      <w:r w:rsidR="004649CB">
        <w:rPr>
          <w:rFonts w:cs="Calibri"/>
        </w:rPr>
        <w:t xml:space="preserve"> data</w:t>
      </w:r>
      <w:r w:rsidRPr="00C977D0">
        <w:rPr>
          <w:rFonts w:cs="Calibri"/>
        </w:rPr>
        <w:t>.  These are 22 – 34 years and 37 – 49 years</w:t>
      </w:r>
      <w:r w:rsidR="004649CB">
        <w:rPr>
          <w:rFonts w:cs="Calibri"/>
        </w:rPr>
        <w:t>;</w:t>
      </w:r>
      <w:r w:rsidRPr="00C977D0">
        <w:rPr>
          <w:rFonts w:cs="Calibri"/>
        </w:rPr>
        <w:t xml:space="preserve"> defined to match the age groups selected for the preceding analyses based on Labour Force Survey data and the 15 year period over which th</w:t>
      </w:r>
      <w:r w:rsidR="004649CB">
        <w:rPr>
          <w:rFonts w:cs="Calibri"/>
        </w:rPr>
        <w:t>e</w:t>
      </w:r>
      <w:r w:rsidRPr="00C977D0">
        <w:rPr>
          <w:rFonts w:cs="Calibri"/>
        </w:rPr>
        <w:t xml:space="preserve"> analysis has been conducted</w:t>
      </w:r>
      <w:r w:rsidR="00097D17" w:rsidRPr="00C977D0">
        <w:rPr>
          <w:rFonts w:cs="Calibri"/>
        </w:rPr>
        <w:t xml:space="preserve">.  For each age group we distinguish between those who stated that their highest qualification was a first degree or higher and those without such a high level qualification.  For the younger age group (22 – 34 years), the proportion stating that they have a first degree or higher in Understanding Society is 34.5 per cent.  This compares well with the </w:t>
      </w:r>
      <w:r w:rsidR="00680D94" w:rsidRPr="00C977D0">
        <w:rPr>
          <w:rFonts w:cs="Calibri"/>
        </w:rPr>
        <w:t>proportion in the combined Labour Force Survey files for 2009/10 at 34.9 per cent.  For the older cohort (37 – 49 years) these proportions are 26.0 per cent in Understanding So</w:t>
      </w:r>
      <w:r w:rsidR="00015167">
        <w:rPr>
          <w:rFonts w:cs="Calibri"/>
        </w:rPr>
        <w:t>ciety and 25.4 in the combined L</w:t>
      </w:r>
      <w:r w:rsidR="00680D94" w:rsidRPr="00C977D0">
        <w:rPr>
          <w:rFonts w:cs="Calibri"/>
        </w:rPr>
        <w:t>abour Force Survey files</w:t>
      </w:r>
      <w:r w:rsidR="00015167">
        <w:rPr>
          <w:rFonts w:cs="Calibri"/>
        </w:rPr>
        <w:t xml:space="preserve"> for each period</w:t>
      </w:r>
      <w:r w:rsidR="00680D94" w:rsidRPr="00C977D0">
        <w:rPr>
          <w:rFonts w:cs="Calibri"/>
        </w:rPr>
        <w:t>.</w:t>
      </w:r>
    </w:p>
    <w:p w:rsidR="00680D94" w:rsidRPr="00C977D0" w:rsidRDefault="00680D94" w:rsidP="003C4F6B">
      <w:pPr>
        <w:spacing w:after="120"/>
        <w:rPr>
          <w:rFonts w:cs="Calibri"/>
        </w:rPr>
      </w:pPr>
      <w:r w:rsidRPr="00C977D0">
        <w:rPr>
          <w:rFonts w:cs="Calibri"/>
        </w:rPr>
        <w:t>The use of two age cohorts to approximate the passage of time (15 years) takes no account of differential migration that has taken place over this period</w:t>
      </w:r>
      <w:r w:rsidR="008B4D57" w:rsidRPr="00C977D0">
        <w:rPr>
          <w:rFonts w:cs="Calibri"/>
        </w:rPr>
        <w:t xml:space="preserve"> nor, more importantly, does it take account of the fact that those aged 22 – 34 years in 1994/5 will have acquired further high level qualifications during the 15 years that passes before they are members of the later age group</w:t>
      </w:r>
      <w:r w:rsidRPr="00C977D0">
        <w:rPr>
          <w:rFonts w:cs="Calibri"/>
        </w:rPr>
        <w:t xml:space="preserve">.  We note that the 22 – 34 year age group as defined in the 1994/95 Labour Force Surveys shows the proportion holding a </w:t>
      </w:r>
      <w:r w:rsidR="008B4D57" w:rsidRPr="00C977D0">
        <w:rPr>
          <w:rFonts w:cs="Calibri"/>
        </w:rPr>
        <w:t>first</w:t>
      </w:r>
      <w:r w:rsidRPr="00C977D0">
        <w:rPr>
          <w:rFonts w:cs="Calibri"/>
        </w:rPr>
        <w:t xml:space="preserve"> degree or higher as 21</w:t>
      </w:r>
      <w:r w:rsidR="00015167">
        <w:rPr>
          <w:rFonts w:cs="Calibri"/>
        </w:rPr>
        <w:t>.0</w:t>
      </w:r>
      <w:r w:rsidRPr="00C977D0">
        <w:rPr>
          <w:rFonts w:cs="Calibri"/>
        </w:rPr>
        <w:t xml:space="preserve"> per cent, significantly lower than the 26</w:t>
      </w:r>
      <w:r w:rsidR="00015167">
        <w:rPr>
          <w:rFonts w:cs="Calibri"/>
        </w:rPr>
        <w:t>.0</w:t>
      </w:r>
      <w:r w:rsidRPr="00C977D0">
        <w:rPr>
          <w:rFonts w:cs="Calibri"/>
        </w:rPr>
        <w:t xml:space="preserve"> per cent recorded in the 37 – 49 age group in</w:t>
      </w:r>
      <w:r w:rsidR="00EE6DCB">
        <w:rPr>
          <w:rFonts w:cs="Calibri"/>
        </w:rPr>
        <w:t xml:space="preserve"> the</w:t>
      </w:r>
      <w:r w:rsidRPr="00C977D0">
        <w:rPr>
          <w:rFonts w:cs="Calibri"/>
        </w:rPr>
        <w:t xml:space="preserve"> </w:t>
      </w:r>
      <w:r w:rsidRPr="00EE6DCB">
        <w:rPr>
          <w:rFonts w:cs="Calibri"/>
          <w:i/>
        </w:rPr>
        <w:t>Understanding Society</w:t>
      </w:r>
      <w:r w:rsidRPr="00C977D0">
        <w:rPr>
          <w:rFonts w:cs="Calibri"/>
        </w:rPr>
        <w:t xml:space="preserve"> </w:t>
      </w:r>
      <w:r w:rsidR="00EE6DCB">
        <w:rPr>
          <w:rFonts w:cs="Calibri"/>
        </w:rPr>
        <w:t xml:space="preserve">survey data </w:t>
      </w:r>
      <w:r w:rsidRPr="00C977D0">
        <w:rPr>
          <w:rFonts w:cs="Calibri"/>
        </w:rPr>
        <w:t>in 2008</w:t>
      </w:r>
      <w:r w:rsidR="008B4D57" w:rsidRPr="00C977D0">
        <w:rPr>
          <w:rFonts w:cs="Calibri"/>
        </w:rPr>
        <w:t>.</w:t>
      </w:r>
    </w:p>
    <w:p w:rsidR="00B40896" w:rsidRPr="00C977D0" w:rsidRDefault="00933D2E" w:rsidP="003C4F6B">
      <w:pPr>
        <w:spacing w:after="120"/>
        <w:rPr>
          <w:rFonts w:cs="Calibri"/>
        </w:rPr>
      </w:pPr>
      <w:r w:rsidRPr="00C977D0">
        <w:rPr>
          <w:rFonts w:cs="Calibri"/>
        </w:rPr>
        <w:t xml:space="preserve">Figure 6 shows the socio-economic backgrounds of degree and non-degree holders for </w:t>
      </w:r>
      <w:r w:rsidR="008B4D57" w:rsidRPr="00C977D0">
        <w:rPr>
          <w:rFonts w:cs="Calibri"/>
        </w:rPr>
        <w:t xml:space="preserve">these </w:t>
      </w:r>
      <w:r w:rsidRPr="00C977D0">
        <w:rPr>
          <w:rFonts w:cs="Calibri"/>
        </w:rPr>
        <w:t xml:space="preserve">two age </w:t>
      </w:r>
      <w:r w:rsidR="00155A95" w:rsidRPr="00C977D0">
        <w:rPr>
          <w:rFonts w:cs="Calibri"/>
        </w:rPr>
        <w:t>groups</w:t>
      </w:r>
      <w:r w:rsidR="008B4D57" w:rsidRPr="00C977D0">
        <w:rPr>
          <w:rFonts w:cs="Calibri"/>
        </w:rPr>
        <w:t>.  Socio-economic background is defined via the National Statistics Socio-economic Classification (NS-SEC) based on the latest version of the UK Standard Occupational Classification (SOC2010).</w:t>
      </w:r>
      <w:r w:rsidR="008B4D57" w:rsidRPr="00015167">
        <w:rPr>
          <w:vertAlign w:val="superscript"/>
        </w:rPr>
        <w:footnoteReference w:id="11"/>
      </w:r>
      <w:r w:rsidRPr="00C977D0">
        <w:rPr>
          <w:rFonts w:cs="Calibri"/>
        </w:rPr>
        <w:t xml:space="preserve"> </w:t>
      </w:r>
      <w:r w:rsidR="00CE34BE" w:rsidRPr="00C977D0">
        <w:rPr>
          <w:rFonts w:cs="Calibri"/>
        </w:rPr>
        <w:t xml:space="preserve"> Of the seven broad socio-economic classes, we </w:t>
      </w:r>
      <w:r w:rsidR="00015167">
        <w:rPr>
          <w:rFonts w:cs="Calibri"/>
        </w:rPr>
        <w:t>group</w:t>
      </w:r>
      <w:r w:rsidR="00CE34BE" w:rsidRPr="00C977D0">
        <w:rPr>
          <w:rFonts w:cs="Calibri"/>
        </w:rPr>
        <w:t xml:space="preserve"> three </w:t>
      </w:r>
      <w:r w:rsidR="00015167">
        <w:rPr>
          <w:rFonts w:cs="Calibri"/>
        </w:rPr>
        <w:t>in te</w:t>
      </w:r>
      <w:r w:rsidR="00CE34BE" w:rsidRPr="00C977D0">
        <w:rPr>
          <w:rFonts w:cs="Calibri"/>
        </w:rPr>
        <w:t xml:space="preserve">rms of the </w:t>
      </w:r>
      <w:r w:rsidR="00015167">
        <w:rPr>
          <w:rFonts w:cs="Calibri"/>
        </w:rPr>
        <w:t xml:space="preserve">lower </w:t>
      </w:r>
      <w:r w:rsidR="00CE34BE" w:rsidRPr="00C977D0">
        <w:rPr>
          <w:rFonts w:cs="Calibri"/>
        </w:rPr>
        <w:t xml:space="preserve">likelihood that </w:t>
      </w:r>
      <w:r w:rsidR="00B40896" w:rsidRPr="00C977D0">
        <w:rPr>
          <w:rFonts w:cs="Calibri"/>
        </w:rPr>
        <w:t xml:space="preserve">people with such a </w:t>
      </w:r>
      <w:r w:rsidR="00015167">
        <w:rPr>
          <w:rFonts w:cs="Calibri"/>
        </w:rPr>
        <w:t xml:space="preserve">parental </w:t>
      </w:r>
      <w:r w:rsidR="00B40896" w:rsidRPr="00C977D0">
        <w:rPr>
          <w:rFonts w:cs="Calibri"/>
        </w:rPr>
        <w:t>social background will participate in higher education.  These are ‘</w:t>
      </w:r>
      <w:r w:rsidR="00B40896" w:rsidRPr="00B40896">
        <w:rPr>
          <w:rFonts w:cs="Calibri"/>
        </w:rPr>
        <w:t>Lower supervisory and technical occupations</w:t>
      </w:r>
      <w:r w:rsidR="00B40896" w:rsidRPr="00C977D0">
        <w:rPr>
          <w:rFonts w:cs="Calibri"/>
        </w:rPr>
        <w:t>’, ‘</w:t>
      </w:r>
      <w:r w:rsidR="00B40896" w:rsidRPr="00B40896">
        <w:rPr>
          <w:rFonts w:cs="Calibri"/>
        </w:rPr>
        <w:t>Semi-routine occupations</w:t>
      </w:r>
      <w:r w:rsidR="00B40896" w:rsidRPr="00C977D0">
        <w:rPr>
          <w:rFonts w:cs="Calibri"/>
        </w:rPr>
        <w:t>’ and ‘</w:t>
      </w:r>
      <w:r w:rsidR="00B40896" w:rsidRPr="00B40896">
        <w:rPr>
          <w:rFonts w:cs="Calibri"/>
        </w:rPr>
        <w:t>Routine occupations</w:t>
      </w:r>
      <w:r w:rsidR="00B40896" w:rsidRPr="00C977D0">
        <w:rPr>
          <w:rFonts w:cs="Calibri"/>
        </w:rPr>
        <w:t xml:space="preserve">’.  Among the </w:t>
      </w:r>
      <w:r w:rsidR="0043344D" w:rsidRPr="00C977D0">
        <w:rPr>
          <w:rFonts w:cs="Calibri"/>
        </w:rPr>
        <w:t>younger</w:t>
      </w:r>
      <w:r w:rsidR="00B40896" w:rsidRPr="00C977D0">
        <w:rPr>
          <w:rFonts w:cs="Calibri"/>
        </w:rPr>
        <w:t xml:space="preserve"> age cohort the proportion of degree holders from these social background categories in 2008 is </w:t>
      </w:r>
      <w:r w:rsidR="0043344D" w:rsidRPr="00C977D0">
        <w:rPr>
          <w:rFonts w:cs="Calibri"/>
        </w:rPr>
        <w:t>24.1</w:t>
      </w:r>
      <w:r w:rsidR="00B40896" w:rsidRPr="00C977D0">
        <w:rPr>
          <w:rFonts w:cs="Calibri"/>
        </w:rPr>
        <w:t xml:space="preserve"> per cent, although these categories account for </w:t>
      </w:r>
      <w:r w:rsidR="0043344D" w:rsidRPr="00C977D0">
        <w:rPr>
          <w:rFonts w:cs="Calibri"/>
        </w:rPr>
        <w:t xml:space="preserve">40.4 per cent of all respondents in the 22 </w:t>
      </w:r>
      <w:r w:rsidR="00015167" w:rsidRPr="00C977D0">
        <w:rPr>
          <w:rFonts w:cs="Calibri"/>
        </w:rPr>
        <w:t>–</w:t>
      </w:r>
      <w:r w:rsidR="0043344D" w:rsidRPr="00C977D0">
        <w:rPr>
          <w:rFonts w:cs="Calibri"/>
        </w:rPr>
        <w:t xml:space="preserve"> 34 age </w:t>
      </w:r>
      <w:proofErr w:type="gramStart"/>
      <w:r w:rsidR="0043344D" w:rsidRPr="00C977D0">
        <w:rPr>
          <w:rFonts w:cs="Calibri"/>
        </w:rPr>
        <w:t>group</w:t>
      </w:r>
      <w:proofErr w:type="gramEnd"/>
      <w:r w:rsidR="00B40896" w:rsidRPr="00C977D0">
        <w:rPr>
          <w:rFonts w:cs="Calibri"/>
        </w:rPr>
        <w:t xml:space="preserve">.  In the </w:t>
      </w:r>
      <w:r w:rsidR="0043344D" w:rsidRPr="00C977D0">
        <w:rPr>
          <w:rFonts w:cs="Calibri"/>
        </w:rPr>
        <w:t>old</w:t>
      </w:r>
      <w:r w:rsidR="00B40896" w:rsidRPr="00C977D0">
        <w:rPr>
          <w:rFonts w:cs="Calibri"/>
        </w:rPr>
        <w:t>er age cohort, th</w:t>
      </w:r>
      <w:r w:rsidR="0043344D" w:rsidRPr="00C977D0">
        <w:rPr>
          <w:rFonts w:cs="Calibri"/>
        </w:rPr>
        <w:t>ese proportions are</w:t>
      </w:r>
      <w:r w:rsidR="00B40896" w:rsidRPr="00C977D0">
        <w:rPr>
          <w:rFonts w:cs="Calibri"/>
        </w:rPr>
        <w:t xml:space="preserve"> </w:t>
      </w:r>
      <w:r w:rsidR="0043344D" w:rsidRPr="00C977D0">
        <w:rPr>
          <w:rFonts w:cs="Calibri"/>
        </w:rPr>
        <w:t>31.5 and 47.4</w:t>
      </w:r>
      <w:r w:rsidR="00B40896" w:rsidRPr="00C977D0">
        <w:rPr>
          <w:rFonts w:cs="Calibri"/>
        </w:rPr>
        <w:t xml:space="preserve"> per cent</w:t>
      </w:r>
      <w:r w:rsidR="0043344D" w:rsidRPr="00C977D0">
        <w:rPr>
          <w:rFonts w:cs="Calibri"/>
        </w:rPr>
        <w:t xml:space="preserve"> respectively.  In interpreting these figures, we must bear in mind that the older age cohort is likely to have gained more degree-level qualifications over the 15 year period separating these age groups, possibly by as much as 5 per cent.  This accounts for </w:t>
      </w:r>
      <w:r w:rsidR="00C977D0" w:rsidRPr="00C977D0">
        <w:rPr>
          <w:rFonts w:cs="Calibri"/>
        </w:rPr>
        <w:t>much of the</w:t>
      </w:r>
      <w:r w:rsidR="0043344D" w:rsidRPr="00C977D0">
        <w:rPr>
          <w:rFonts w:cs="Calibri"/>
        </w:rPr>
        <w:t xml:space="preserve"> apparent </w:t>
      </w:r>
      <w:r w:rsidR="00C977D0" w:rsidRPr="00C977D0">
        <w:rPr>
          <w:rFonts w:cs="Calibri"/>
        </w:rPr>
        <w:t>‘decline’ in the proportions holding degree level qualifications between these pseudo cohorts.  W</w:t>
      </w:r>
      <w:r w:rsidR="004649CB">
        <w:rPr>
          <w:rFonts w:cs="Calibri"/>
        </w:rPr>
        <w:t>e find a</w:t>
      </w:r>
      <w:r w:rsidR="00C977D0" w:rsidRPr="00C977D0">
        <w:rPr>
          <w:rFonts w:cs="Calibri"/>
        </w:rPr>
        <w:t xml:space="preserve"> significant absolute difference between these proportions</w:t>
      </w:r>
      <w:r w:rsidR="004649CB">
        <w:rPr>
          <w:rFonts w:cs="Calibri"/>
        </w:rPr>
        <w:t xml:space="preserve"> that</w:t>
      </w:r>
      <w:r w:rsidR="00C977D0" w:rsidRPr="00C977D0">
        <w:rPr>
          <w:rFonts w:cs="Calibri"/>
        </w:rPr>
        <w:t xml:space="preserve"> is virtually constant.  In other words, </w:t>
      </w:r>
      <w:r w:rsidR="004649CB">
        <w:rPr>
          <w:rFonts w:cs="Calibri"/>
        </w:rPr>
        <w:t>there is</w:t>
      </w:r>
      <w:r w:rsidR="00C977D0" w:rsidRPr="00C977D0">
        <w:rPr>
          <w:rFonts w:cs="Calibri"/>
        </w:rPr>
        <w:t xml:space="preserve"> little evidence to suggest that the expansion of higher education has </w:t>
      </w:r>
      <w:r w:rsidR="005B2A65">
        <w:rPr>
          <w:rFonts w:cs="Calibri"/>
        </w:rPr>
        <w:t xml:space="preserve">favoured </w:t>
      </w:r>
      <w:r w:rsidR="00C977D0" w:rsidRPr="00C977D0">
        <w:rPr>
          <w:rFonts w:cs="Calibri"/>
        </w:rPr>
        <w:t>th</w:t>
      </w:r>
      <w:r w:rsidR="004649CB">
        <w:rPr>
          <w:rFonts w:cs="Calibri"/>
        </w:rPr>
        <w:t>o</w:t>
      </w:r>
      <w:r w:rsidR="00C977D0" w:rsidRPr="00C977D0">
        <w:rPr>
          <w:rFonts w:cs="Calibri"/>
        </w:rPr>
        <w:t xml:space="preserve">se social categories </w:t>
      </w:r>
      <w:r w:rsidR="004649CB">
        <w:rPr>
          <w:rFonts w:cs="Calibri"/>
        </w:rPr>
        <w:t>which have</w:t>
      </w:r>
      <w:r w:rsidR="005B2A65">
        <w:rPr>
          <w:rFonts w:cs="Calibri"/>
        </w:rPr>
        <w:t xml:space="preserve"> low rates of participation in higher education</w:t>
      </w:r>
      <w:r w:rsidR="00C977D0" w:rsidRPr="00C977D0">
        <w:rPr>
          <w:rFonts w:cs="Calibri"/>
        </w:rPr>
        <w:t>.</w:t>
      </w:r>
    </w:p>
    <w:p w:rsidR="008D284F" w:rsidRPr="008D284F" w:rsidRDefault="008D284F" w:rsidP="008D284F">
      <w:pPr>
        <w:spacing w:line="240" w:lineRule="auto"/>
        <w:ind w:left="993" w:hanging="993"/>
        <w:rPr>
          <w:b/>
        </w:rPr>
      </w:pPr>
      <w:r>
        <w:rPr>
          <w:b/>
        </w:rPr>
        <w:lastRenderedPageBreak/>
        <w:t xml:space="preserve">Figure </w:t>
      </w:r>
      <w:r w:rsidR="00933D2E">
        <w:rPr>
          <w:b/>
        </w:rPr>
        <w:t>6</w:t>
      </w:r>
      <w:r>
        <w:rPr>
          <w:b/>
        </w:rPr>
        <w:t>:</w:t>
      </w:r>
      <w:r>
        <w:rPr>
          <w:b/>
        </w:rPr>
        <w:tab/>
      </w:r>
      <w:r w:rsidRPr="008D284F">
        <w:rPr>
          <w:b/>
          <w:bCs/>
          <w:lang w:val="en-US"/>
        </w:rPr>
        <w:t>Degree level qualifications by parental social class, respondents aged 22-34 years and 37-49 years</w:t>
      </w:r>
    </w:p>
    <w:p w:rsidR="008D284F" w:rsidRDefault="008D284F" w:rsidP="00AE70BF">
      <w:pPr>
        <w:rPr>
          <w:b/>
        </w:rPr>
      </w:pPr>
      <w:r>
        <w:rPr>
          <w:noProof/>
        </w:rPr>
        <w:drawing>
          <wp:inline distT="0" distB="0" distL="0" distR="0" wp14:anchorId="26B51C54" wp14:editId="0D0C7A6A">
            <wp:extent cx="5648015" cy="7604406"/>
            <wp:effectExtent l="0" t="0" r="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15167" w:rsidRPr="00015167" w:rsidRDefault="00015167" w:rsidP="00AE70BF">
      <w:pPr>
        <w:rPr>
          <w:sz w:val="16"/>
          <w:szCs w:val="16"/>
        </w:rPr>
      </w:pPr>
      <w:r w:rsidRPr="00015167">
        <w:rPr>
          <w:sz w:val="16"/>
          <w:szCs w:val="16"/>
        </w:rPr>
        <w:t>Source: UK Households Longitudinal Study, Wave 1, Year 1</w:t>
      </w:r>
    </w:p>
    <w:p w:rsidR="005B2A65" w:rsidRDefault="005B2A65">
      <w:pPr>
        <w:rPr>
          <w:b/>
        </w:rPr>
      </w:pPr>
      <w:r>
        <w:rPr>
          <w:b/>
        </w:rPr>
        <w:br w:type="page"/>
      </w:r>
    </w:p>
    <w:p w:rsidR="00AE70BF" w:rsidRPr="006F416A" w:rsidRDefault="00AE70BF" w:rsidP="00AE70BF">
      <w:pPr>
        <w:rPr>
          <w:b/>
        </w:rPr>
      </w:pPr>
      <w:r w:rsidRPr="006F416A">
        <w:rPr>
          <w:b/>
        </w:rPr>
        <w:lastRenderedPageBreak/>
        <w:t>Conclusions</w:t>
      </w:r>
    </w:p>
    <w:p w:rsidR="00725ED8" w:rsidRPr="00725ED8" w:rsidRDefault="00725ED8" w:rsidP="00725ED8">
      <w:r w:rsidRPr="00725ED8">
        <w:t>We show that, over the past 15 years and through a period of growth and recession, the UK labour market has undergone occupational and industrial and restructuring which has maintained a strong demand for highly qualified young people, particularly those with a degree.  This has taken place against a background of demographic change which has seen the population of 22-34 year olds declining in the UK over the same period.</w:t>
      </w:r>
    </w:p>
    <w:p w:rsidR="00725ED8" w:rsidRDefault="00725ED8" w:rsidP="00725ED8">
      <w:r w:rsidRPr="00725ED8">
        <w:t xml:space="preserve">Our analysis of the impact of this restructuring on earnings shows that, on average, the real earnings-premium for a degree among young people has held virtually constant over the 15 year period from 1994/95 to 2009/10.  The stability of this return is remarkable given the scale of the expansion of higher education that took place through the 1990s and the subsequent increase in the proportion of young degree holders in the labour market.  However, the average experience masks some significant distributional effects.  We note that certain sectors show a large increase in the proportion of degree holders who are working in jobs we define as non-graduate jobs.  These are </w:t>
      </w:r>
      <w:proofErr w:type="spellStart"/>
      <w:r w:rsidRPr="00725ED8">
        <w:t>sectorally</w:t>
      </w:r>
      <w:proofErr w:type="spellEnd"/>
      <w:r w:rsidRPr="00725ED8">
        <w:t xml:space="preserve"> specific, </w:t>
      </w:r>
      <w:r>
        <w:t>being concentrated mainly in</w:t>
      </w:r>
      <w:r w:rsidRPr="00725ED8">
        <w:t xml:space="preserve"> retailing, hotels, restaurants and land transport.  More graduates than ever before can be found in non-graduate jobs</w:t>
      </w:r>
      <w:r>
        <w:t xml:space="preserve"> in these sectors</w:t>
      </w:r>
      <w:r w:rsidR="009C1522">
        <w:t xml:space="preserve">.  Given that these sectors are also associated with relatively low paid jobs, this could impact significantly upon the estimated economic return for a degree at the lower end of the earnings distribution.  If there is also a corresponding higher than average return for those with jobs which demand </w:t>
      </w:r>
      <w:r w:rsidRPr="00725ED8">
        <w:t>graduate level skills and knowledge</w:t>
      </w:r>
      <w:r w:rsidR="009C1522">
        <w:t xml:space="preserve"> and with gross weekly earning towards the upper end of the earnings distribution, the mean return </w:t>
      </w:r>
      <w:r w:rsidR="002A014D">
        <w:t>could remain constant</w:t>
      </w:r>
      <w:r w:rsidRPr="00725ED8">
        <w:t xml:space="preserve">.  Analysis of the returns to a first degree at different points in the earnings distribution shows </w:t>
      </w:r>
      <w:r>
        <w:t xml:space="preserve">clearly </w:t>
      </w:r>
      <w:r w:rsidRPr="00725ED8">
        <w:t>that these returns have not been gained equally.  Graduates at the bottom end of the earnings distribution have seen a decline in their relative earnings premium, from 21 to 16 per cent.  This has been offset by a rise in the rate of return at the top end of the earnings distribution, from 14 to 25 per cent.  In the earlier period, young people with ‘A’ levels as their highest qualification were able to command high salaries.  It appears that this is no longer the case in 2009/10.</w:t>
      </w:r>
    </w:p>
    <w:p w:rsidR="00C977D0" w:rsidRDefault="00C977D0" w:rsidP="00725ED8">
      <w:r>
        <w:t xml:space="preserve">As an instrument of social engineering, </w:t>
      </w:r>
      <w:r w:rsidR="002A014D">
        <w:t xml:space="preserve">we use recent information on inter-generational social positions to investigate </w:t>
      </w:r>
      <w:r>
        <w:t xml:space="preserve">the </w:t>
      </w:r>
      <w:r w:rsidR="002A014D">
        <w:t xml:space="preserve">impact that the </w:t>
      </w:r>
      <w:r>
        <w:t>expansion of higher education has had</w:t>
      </w:r>
      <w:r w:rsidR="002A014D">
        <w:t xml:space="preserve"> </w:t>
      </w:r>
      <w:r>
        <w:t>on social mobility.  While the expansion of higher education has benefited all socio-economic categories, the proportion of young peop</w:t>
      </w:r>
      <w:r w:rsidR="002A014D">
        <w:t xml:space="preserve">le with degrees coming from social </w:t>
      </w:r>
      <w:r>
        <w:t xml:space="preserve">background categories </w:t>
      </w:r>
      <w:r w:rsidR="002A014D">
        <w:t xml:space="preserve">which have traditionally had low rates of participation in higher education </w:t>
      </w:r>
      <w:r>
        <w:t>is virtually unchanged over the last fifteen years.</w:t>
      </w:r>
    </w:p>
    <w:p w:rsidR="00725ED8" w:rsidRPr="00725ED8" w:rsidRDefault="00725ED8" w:rsidP="00725ED8">
      <w:r>
        <w:t xml:space="preserve">We are aware that the analysis we have undertaken is partial in nature.  For instance, if more </w:t>
      </w:r>
      <w:r w:rsidR="00822DB7">
        <w:t xml:space="preserve">graduates are now found in </w:t>
      </w:r>
      <w:r w:rsidR="00EE6DCB">
        <w:t>non-graduate</w:t>
      </w:r>
      <w:r w:rsidR="00822DB7">
        <w:t xml:space="preserve"> jobs in specific sectors, what is the prospect for those non-graduates who would have traditionally taken such jobs?  Also, </w:t>
      </w:r>
      <w:r w:rsidR="00EE6DCB">
        <w:t>although</w:t>
      </w:r>
      <w:r w:rsidR="00822DB7">
        <w:t xml:space="preserve"> our evidence is the most up-to-date currently available, recent evidence may be little guide to the future.  If the </w:t>
      </w:r>
      <w:r w:rsidR="00EE6DCB">
        <w:t xml:space="preserve">UK </w:t>
      </w:r>
      <w:r w:rsidR="00822DB7">
        <w:t xml:space="preserve">economy continues to stagnate while </w:t>
      </w:r>
      <w:r w:rsidR="00EE6DCB">
        <w:t xml:space="preserve">the output of graduates from higher education institutions continues to grow, </w:t>
      </w:r>
      <w:r w:rsidR="00822DB7">
        <w:t>the decline in the return to a degree</w:t>
      </w:r>
      <w:r w:rsidR="002A014D">
        <w:t xml:space="preserve">, </w:t>
      </w:r>
      <w:r w:rsidR="00822DB7">
        <w:t>currently located within the very lowest part of the earnings distribution</w:t>
      </w:r>
      <w:r w:rsidR="002A014D">
        <w:t>,</w:t>
      </w:r>
      <w:r w:rsidR="00822DB7">
        <w:t xml:space="preserve"> </w:t>
      </w:r>
      <w:r w:rsidR="00EE6DCB">
        <w:t xml:space="preserve">may </w:t>
      </w:r>
      <w:r w:rsidR="00822DB7">
        <w:t>become more widespread</w:t>
      </w:r>
      <w:r w:rsidR="002A014D">
        <w:t xml:space="preserve"> throughout the distribution</w:t>
      </w:r>
      <w:r w:rsidR="00EE6DCB">
        <w:t>.</w:t>
      </w:r>
    </w:p>
    <w:p w:rsidR="005B2A65" w:rsidRDefault="005B2A65">
      <w:pPr>
        <w:rPr>
          <w:rFonts w:ascii="Arial" w:hAnsi="Arial" w:cs="Arial"/>
          <w:b/>
          <w:sz w:val="20"/>
          <w:szCs w:val="20"/>
        </w:rPr>
      </w:pPr>
      <w:r>
        <w:rPr>
          <w:rFonts w:ascii="Arial" w:hAnsi="Arial" w:cs="Arial"/>
          <w:b/>
          <w:sz w:val="20"/>
          <w:szCs w:val="20"/>
        </w:rPr>
        <w:br w:type="page"/>
      </w:r>
    </w:p>
    <w:p w:rsidR="00AE70BF" w:rsidRDefault="00AE70BF" w:rsidP="00AE70BF">
      <w:pPr>
        <w:rPr>
          <w:rFonts w:ascii="Arial" w:hAnsi="Arial" w:cs="Arial"/>
          <w:b/>
          <w:sz w:val="20"/>
          <w:szCs w:val="20"/>
        </w:rPr>
      </w:pPr>
      <w:r>
        <w:rPr>
          <w:rFonts w:ascii="Arial" w:hAnsi="Arial" w:cs="Arial"/>
          <w:b/>
          <w:sz w:val="20"/>
          <w:szCs w:val="20"/>
        </w:rPr>
        <w:lastRenderedPageBreak/>
        <w:t>References</w:t>
      </w:r>
    </w:p>
    <w:p w:rsidR="00AE70BF" w:rsidRDefault="00AE70BF" w:rsidP="00AE70BF">
      <w:pPr>
        <w:spacing w:after="0" w:line="240" w:lineRule="auto"/>
        <w:ind w:left="284" w:hanging="284"/>
        <w:rPr>
          <w:rFonts w:eastAsia="Times New Roman"/>
        </w:rPr>
      </w:pPr>
      <w:proofErr w:type="spellStart"/>
      <w:proofErr w:type="gramStart"/>
      <w:r w:rsidRPr="0020267C">
        <w:rPr>
          <w:rFonts w:eastAsia="Times New Roman"/>
        </w:rPr>
        <w:t>Battu</w:t>
      </w:r>
      <w:proofErr w:type="spellEnd"/>
      <w:r w:rsidRPr="0020267C">
        <w:rPr>
          <w:rFonts w:eastAsia="Times New Roman"/>
        </w:rPr>
        <w:t xml:space="preserve">, H., </w:t>
      </w:r>
      <w:r>
        <w:rPr>
          <w:rFonts w:eastAsia="Times New Roman"/>
        </w:rPr>
        <w:t xml:space="preserve">C. </w:t>
      </w:r>
      <w:r w:rsidRPr="0020267C">
        <w:rPr>
          <w:rFonts w:eastAsia="Times New Roman"/>
        </w:rPr>
        <w:t xml:space="preserve">Belfield </w:t>
      </w:r>
      <w:r>
        <w:rPr>
          <w:rFonts w:eastAsia="Times New Roman"/>
        </w:rPr>
        <w:t>a</w:t>
      </w:r>
      <w:r w:rsidRPr="0020267C">
        <w:rPr>
          <w:rFonts w:eastAsia="Times New Roman"/>
        </w:rPr>
        <w:t xml:space="preserve">nd </w:t>
      </w:r>
      <w:r>
        <w:rPr>
          <w:rFonts w:eastAsia="Times New Roman"/>
        </w:rPr>
        <w:t xml:space="preserve">P. </w:t>
      </w:r>
      <w:r w:rsidRPr="0020267C">
        <w:rPr>
          <w:rFonts w:eastAsia="Times New Roman"/>
        </w:rPr>
        <w:t>Sloane (1999).</w:t>
      </w:r>
      <w:proofErr w:type="gramEnd"/>
      <w:r w:rsidRPr="0020267C">
        <w:rPr>
          <w:rFonts w:eastAsia="Times New Roman"/>
        </w:rPr>
        <w:t xml:space="preserve"> Over-education among graduates: a cohort view. </w:t>
      </w:r>
      <w:r w:rsidRPr="0020267C">
        <w:rPr>
          <w:rFonts w:eastAsia="Times New Roman"/>
          <w:i/>
          <w:iCs/>
        </w:rPr>
        <w:t>Education Economics</w:t>
      </w:r>
      <w:r w:rsidRPr="0020267C">
        <w:rPr>
          <w:rFonts w:eastAsia="Times New Roman"/>
        </w:rPr>
        <w:t>, 7, 21-38</w:t>
      </w:r>
      <w:r>
        <w:rPr>
          <w:rFonts w:eastAsia="Times New Roman"/>
        </w:rPr>
        <w:t>.</w:t>
      </w:r>
    </w:p>
    <w:p w:rsidR="00AE70BF" w:rsidRDefault="00AE70BF" w:rsidP="00AE70BF">
      <w:pPr>
        <w:spacing w:after="0" w:line="240" w:lineRule="auto"/>
        <w:rPr>
          <w:rFonts w:eastAsia="Times New Roman"/>
        </w:rPr>
      </w:pPr>
    </w:p>
    <w:p w:rsidR="00AE70BF" w:rsidRDefault="00AE70BF" w:rsidP="00AE70BF">
      <w:pPr>
        <w:spacing w:after="0" w:line="240" w:lineRule="auto"/>
        <w:ind w:left="284" w:hanging="284"/>
        <w:rPr>
          <w:rFonts w:eastAsia="Times New Roman"/>
        </w:rPr>
      </w:pPr>
      <w:proofErr w:type="gramStart"/>
      <w:r w:rsidRPr="00DB7978">
        <w:rPr>
          <w:rFonts w:eastAsia="Times New Roman"/>
        </w:rPr>
        <w:t>Bauer, T. (2002).</w:t>
      </w:r>
      <w:proofErr w:type="gramEnd"/>
      <w:r w:rsidRPr="00DB7978">
        <w:rPr>
          <w:rFonts w:eastAsia="Times New Roman"/>
        </w:rPr>
        <w:t xml:space="preserve"> Educational mismatch and wages: a panel analysis. </w:t>
      </w:r>
      <w:r w:rsidRPr="00DB7978">
        <w:rPr>
          <w:rFonts w:eastAsia="Times New Roman"/>
          <w:i/>
        </w:rPr>
        <w:t>Economics of Education Review</w:t>
      </w:r>
      <w:r w:rsidRPr="00DB7978">
        <w:rPr>
          <w:rFonts w:eastAsia="Times New Roman"/>
        </w:rPr>
        <w:t>, 21, 221-229</w:t>
      </w:r>
      <w:r>
        <w:rPr>
          <w:rFonts w:eastAsia="Times New Roman"/>
        </w:rPr>
        <w:t>.</w:t>
      </w:r>
    </w:p>
    <w:p w:rsidR="00F677B7" w:rsidRDefault="00F677B7" w:rsidP="00AE70BF">
      <w:pPr>
        <w:spacing w:after="0" w:line="240" w:lineRule="auto"/>
        <w:ind w:left="284" w:hanging="284"/>
        <w:rPr>
          <w:rFonts w:eastAsia="Times New Roman"/>
        </w:rPr>
      </w:pPr>
    </w:p>
    <w:p w:rsidR="00F677B7" w:rsidRDefault="00F677B7" w:rsidP="00F677B7">
      <w:pPr>
        <w:spacing w:after="0" w:line="240" w:lineRule="auto"/>
        <w:ind w:left="284" w:hanging="284"/>
        <w:rPr>
          <w:rFonts w:eastAsia="Times New Roman"/>
        </w:rPr>
      </w:pPr>
      <w:proofErr w:type="spellStart"/>
      <w:r w:rsidRPr="00F677B7">
        <w:rPr>
          <w:rFonts w:eastAsia="Times New Roman"/>
        </w:rPr>
        <w:t>Blanden</w:t>
      </w:r>
      <w:proofErr w:type="spellEnd"/>
      <w:r w:rsidRPr="00F677B7">
        <w:rPr>
          <w:rFonts w:eastAsia="Times New Roman"/>
        </w:rPr>
        <w:t xml:space="preserve">, J., A. Goodman, P. Gregg and S. </w:t>
      </w:r>
      <w:proofErr w:type="spellStart"/>
      <w:r w:rsidRPr="00F677B7">
        <w:rPr>
          <w:rFonts w:eastAsia="Times New Roman"/>
        </w:rPr>
        <w:t>Machin</w:t>
      </w:r>
      <w:proofErr w:type="spellEnd"/>
      <w:r w:rsidRPr="00F677B7">
        <w:rPr>
          <w:rFonts w:eastAsia="Times New Roman"/>
        </w:rPr>
        <w:t xml:space="preserve"> (2004) ‘Changes in Intergenerational Mobility in Britain’, in M. </w:t>
      </w:r>
      <w:proofErr w:type="spellStart"/>
      <w:r w:rsidRPr="00F677B7">
        <w:rPr>
          <w:rFonts w:eastAsia="Times New Roman"/>
        </w:rPr>
        <w:t>Corak</w:t>
      </w:r>
      <w:proofErr w:type="spellEnd"/>
      <w:r w:rsidRPr="00F677B7">
        <w:rPr>
          <w:rFonts w:eastAsia="Times New Roman"/>
        </w:rPr>
        <w:t xml:space="preserve"> (ed.) </w:t>
      </w:r>
      <w:r w:rsidRPr="00F677B7">
        <w:rPr>
          <w:rFonts w:eastAsia="Times New Roman"/>
          <w:i/>
        </w:rPr>
        <w:t>Generational Income Mobility in North America and Europe</w:t>
      </w:r>
      <w:r w:rsidRPr="00F677B7">
        <w:rPr>
          <w:rFonts w:eastAsia="Times New Roman"/>
        </w:rPr>
        <w:t>. Cambridge: Cambridge University Press.</w:t>
      </w:r>
    </w:p>
    <w:p w:rsidR="00F677B7" w:rsidRPr="00F677B7" w:rsidRDefault="00F677B7" w:rsidP="00F677B7">
      <w:pPr>
        <w:spacing w:after="0" w:line="240" w:lineRule="auto"/>
        <w:ind w:left="284" w:hanging="284"/>
        <w:rPr>
          <w:rFonts w:eastAsia="Times New Roman"/>
        </w:rPr>
      </w:pPr>
    </w:p>
    <w:p w:rsidR="00F677B7" w:rsidRPr="00F677B7" w:rsidRDefault="00F677B7" w:rsidP="00F677B7">
      <w:pPr>
        <w:spacing w:after="0" w:line="240" w:lineRule="auto"/>
        <w:ind w:left="284" w:hanging="284"/>
        <w:rPr>
          <w:rFonts w:eastAsia="Times New Roman"/>
        </w:rPr>
      </w:pPr>
      <w:proofErr w:type="spellStart"/>
      <w:r w:rsidRPr="00F677B7">
        <w:rPr>
          <w:rFonts w:eastAsia="Times New Roman"/>
        </w:rPr>
        <w:t>Blanden</w:t>
      </w:r>
      <w:proofErr w:type="spellEnd"/>
      <w:r w:rsidRPr="00F677B7">
        <w:rPr>
          <w:rFonts w:eastAsia="Times New Roman"/>
        </w:rPr>
        <w:t>, J., P.</w:t>
      </w:r>
      <w:r>
        <w:rPr>
          <w:rFonts w:eastAsia="Times New Roman"/>
        </w:rPr>
        <w:t xml:space="preserve"> </w:t>
      </w:r>
      <w:r w:rsidRPr="00F677B7">
        <w:rPr>
          <w:rFonts w:eastAsia="Times New Roman"/>
        </w:rPr>
        <w:t>Gregg and L. Macmillan (2008) ‘Intergenerational Persistence in Income and Social Class: The Impact of Increased Inequality’ Centre for Market and Public Organisation, university of Bristol, Working Paper No. 08/195.</w:t>
      </w:r>
    </w:p>
    <w:p w:rsidR="00AE70BF" w:rsidRDefault="00AE70BF" w:rsidP="00AE70BF">
      <w:pPr>
        <w:spacing w:after="0" w:line="240" w:lineRule="auto"/>
        <w:ind w:left="284" w:hanging="284"/>
        <w:rPr>
          <w:rFonts w:eastAsia="Times New Roman"/>
        </w:rPr>
      </w:pPr>
    </w:p>
    <w:p w:rsidR="00901D5C" w:rsidRDefault="00901D5C" w:rsidP="00AE70BF">
      <w:pPr>
        <w:spacing w:after="0" w:line="240" w:lineRule="auto"/>
        <w:ind w:left="284" w:hanging="284"/>
        <w:rPr>
          <w:rFonts w:eastAsia="Times New Roman"/>
        </w:rPr>
      </w:pPr>
      <w:proofErr w:type="gramStart"/>
      <w:r>
        <w:rPr>
          <w:rFonts w:eastAsia="Times New Roman"/>
        </w:rPr>
        <w:t>Bolton, P. (2010) ‘Higher Education and Social Class’.</w:t>
      </w:r>
      <w:proofErr w:type="gramEnd"/>
      <w:r>
        <w:rPr>
          <w:rFonts w:eastAsia="Times New Roman"/>
        </w:rPr>
        <w:t xml:space="preserve"> House of Commons Library Standard Note (Social and General Statistics) 620, 18</w:t>
      </w:r>
      <w:r w:rsidRPr="00901D5C">
        <w:rPr>
          <w:rFonts w:eastAsia="Times New Roman"/>
          <w:vertAlign w:val="superscript"/>
        </w:rPr>
        <w:t>th</w:t>
      </w:r>
      <w:r>
        <w:rPr>
          <w:rFonts w:eastAsia="Times New Roman"/>
        </w:rPr>
        <w:t xml:space="preserve"> June. London: House of Commons Library.</w:t>
      </w:r>
    </w:p>
    <w:p w:rsidR="00901D5C" w:rsidRPr="00DB7978" w:rsidRDefault="00901D5C" w:rsidP="00AE70BF">
      <w:pPr>
        <w:spacing w:after="0" w:line="240" w:lineRule="auto"/>
        <w:ind w:left="284" w:hanging="284"/>
        <w:rPr>
          <w:rFonts w:eastAsia="Times New Roman"/>
        </w:rPr>
      </w:pPr>
    </w:p>
    <w:p w:rsidR="00AE70BF" w:rsidRDefault="00AE70BF" w:rsidP="00AE70BF">
      <w:pPr>
        <w:spacing w:after="0" w:line="240" w:lineRule="auto"/>
        <w:ind w:left="284" w:hanging="284"/>
        <w:rPr>
          <w:rFonts w:eastAsia="Times New Roman"/>
        </w:rPr>
      </w:pPr>
      <w:proofErr w:type="gramStart"/>
      <w:r w:rsidRPr="00AD30B9">
        <w:rPr>
          <w:rFonts w:eastAsia="Times New Roman"/>
        </w:rPr>
        <w:t xml:space="preserve">Brown, P. and A. </w:t>
      </w:r>
      <w:proofErr w:type="spellStart"/>
      <w:r w:rsidRPr="00AD30B9">
        <w:rPr>
          <w:rFonts w:eastAsia="Times New Roman"/>
        </w:rPr>
        <w:t>Hesketh</w:t>
      </w:r>
      <w:proofErr w:type="spellEnd"/>
      <w:r w:rsidRPr="00AD30B9">
        <w:rPr>
          <w:rFonts w:eastAsia="Times New Roman"/>
        </w:rPr>
        <w:t xml:space="preserve"> (2004).</w:t>
      </w:r>
      <w:proofErr w:type="gramEnd"/>
      <w:r w:rsidRPr="00AD30B9">
        <w:rPr>
          <w:rFonts w:eastAsia="Times New Roman"/>
        </w:rPr>
        <w:t xml:space="preserve"> </w:t>
      </w:r>
      <w:proofErr w:type="gramStart"/>
      <w:r w:rsidRPr="00AD30B9">
        <w:rPr>
          <w:rFonts w:eastAsia="Times New Roman"/>
          <w:i/>
        </w:rPr>
        <w:t>The Mismanagement of Talent</w:t>
      </w:r>
      <w:r w:rsidRPr="00AD30B9">
        <w:rPr>
          <w:rFonts w:eastAsia="Times New Roman"/>
        </w:rPr>
        <w:t>.</w:t>
      </w:r>
      <w:proofErr w:type="gramEnd"/>
      <w:r w:rsidRPr="00AD30B9">
        <w:rPr>
          <w:rFonts w:eastAsia="Times New Roman"/>
        </w:rPr>
        <w:t xml:space="preserve"> Oxford, Oxford, University Press.</w:t>
      </w:r>
    </w:p>
    <w:p w:rsidR="00F677B7" w:rsidRPr="00AD30B9" w:rsidRDefault="00F677B7" w:rsidP="00AE70BF">
      <w:pPr>
        <w:spacing w:after="0" w:line="240" w:lineRule="auto"/>
        <w:ind w:left="284" w:hanging="284"/>
        <w:rPr>
          <w:rFonts w:eastAsia="Times New Roman"/>
        </w:rPr>
      </w:pPr>
    </w:p>
    <w:p w:rsidR="00F677B7" w:rsidRDefault="00F677B7" w:rsidP="00F677B7">
      <w:pPr>
        <w:tabs>
          <w:tab w:val="left" w:pos="284"/>
        </w:tabs>
        <w:spacing w:after="0" w:line="240" w:lineRule="auto"/>
        <w:ind w:left="284" w:hanging="284"/>
      </w:pPr>
      <w:r>
        <w:t xml:space="preserve">Cabinet Office (2009) </w:t>
      </w:r>
      <w:r w:rsidRPr="00FA4CCD">
        <w:rPr>
          <w:i/>
        </w:rPr>
        <w:t>Unleashing Aspiration: the Final Report of the Panel on Fair Access to the Professions</w:t>
      </w:r>
      <w:r>
        <w:t xml:space="preserve">. </w:t>
      </w:r>
      <w:r w:rsidR="00901D5C">
        <w:t xml:space="preserve">London: </w:t>
      </w:r>
      <w:r>
        <w:t>Cabinet Office.</w:t>
      </w:r>
    </w:p>
    <w:p w:rsidR="00AE70BF" w:rsidRPr="00AD30B9" w:rsidRDefault="00AE70BF" w:rsidP="00AE70BF">
      <w:pPr>
        <w:spacing w:after="0" w:line="240" w:lineRule="auto"/>
        <w:ind w:left="284" w:hanging="284"/>
        <w:rPr>
          <w:rFonts w:eastAsia="Times New Roman"/>
        </w:rPr>
      </w:pPr>
    </w:p>
    <w:p w:rsidR="00AE70BF" w:rsidRDefault="00AE70BF" w:rsidP="00AE70BF">
      <w:pPr>
        <w:spacing w:after="0" w:line="240" w:lineRule="auto"/>
        <w:ind w:left="284" w:hanging="284"/>
        <w:rPr>
          <w:rFonts w:eastAsia="Times New Roman"/>
        </w:rPr>
      </w:pPr>
      <w:r w:rsidRPr="00AD30B9">
        <w:rPr>
          <w:rFonts w:eastAsia="Times New Roman"/>
        </w:rPr>
        <w:t xml:space="preserve">Chevalier, A. (2003). </w:t>
      </w:r>
      <w:proofErr w:type="gramStart"/>
      <w:r>
        <w:rPr>
          <w:rFonts w:eastAsia="Times New Roman"/>
        </w:rPr>
        <w:t>‘</w:t>
      </w:r>
      <w:r w:rsidR="000B12E2">
        <w:rPr>
          <w:rFonts w:eastAsia="Times New Roman"/>
        </w:rPr>
        <w:t xml:space="preserve">Measuring </w:t>
      </w:r>
      <w:proofErr w:type="spellStart"/>
      <w:r w:rsidR="000B12E2">
        <w:rPr>
          <w:rFonts w:eastAsia="Times New Roman"/>
        </w:rPr>
        <w:t>over</w:t>
      </w:r>
      <w:r w:rsidRPr="00AD30B9">
        <w:rPr>
          <w:rFonts w:eastAsia="Times New Roman"/>
        </w:rPr>
        <w:t>education</w:t>
      </w:r>
      <w:proofErr w:type="spellEnd"/>
      <w:r>
        <w:rPr>
          <w:rFonts w:eastAsia="Times New Roman"/>
        </w:rPr>
        <w:t>’</w:t>
      </w:r>
      <w:r w:rsidRPr="00AD30B9">
        <w:rPr>
          <w:rFonts w:eastAsia="Times New Roman"/>
        </w:rPr>
        <w:t>.</w:t>
      </w:r>
      <w:proofErr w:type="gramEnd"/>
      <w:r w:rsidRPr="00AD30B9">
        <w:rPr>
          <w:rFonts w:eastAsia="Times New Roman"/>
        </w:rPr>
        <w:t xml:space="preserve"> </w:t>
      </w:r>
      <w:proofErr w:type="spellStart"/>
      <w:proofErr w:type="gramStart"/>
      <w:r w:rsidRPr="00AD30B9">
        <w:rPr>
          <w:rFonts w:eastAsia="Times New Roman"/>
          <w:i/>
        </w:rPr>
        <w:t>Economica</w:t>
      </w:r>
      <w:proofErr w:type="spellEnd"/>
      <w:r w:rsidRPr="00AD30B9">
        <w:rPr>
          <w:rFonts w:eastAsia="Times New Roman"/>
          <w:i/>
        </w:rPr>
        <w:t>,</w:t>
      </w:r>
      <w:r w:rsidRPr="00AD30B9">
        <w:rPr>
          <w:rFonts w:eastAsia="Times New Roman"/>
        </w:rPr>
        <w:t xml:space="preserve"> 70, 509-31.</w:t>
      </w:r>
      <w:proofErr w:type="gramEnd"/>
    </w:p>
    <w:p w:rsidR="00AE70BF" w:rsidRPr="00AD30B9" w:rsidRDefault="00AE70BF" w:rsidP="00AE70BF">
      <w:pPr>
        <w:spacing w:after="0" w:line="240" w:lineRule="auto"/>
        <w:ind w:left="284" w:hanging="284"/>
        <w:rPr>
          <w:rFonts w:eastAsia="Times New Roman"/>
        </w:rPr>
      </w:pPr>
    </w:p>
    <w:p w:rsidR="00AE70BF" w:rsidRPr="00AD30B9" w:rsidRDefault="00AE70BF" w:rsidP="00AE70BF">
      <w:pPr>
        <w:spacing w:after="0" w:line="240" w:lineRule="auto"/>
        <w:ind w:left="284" w:hanging="284"/>
        <w:rPr>
          <w:rFonts w:eastAsia="Times New Roman"/>
        </w:rPr>
      </w:pPr>
      <w:proofErr w:type="gramStart"/>
      <w:r w:rsidRPr="00AD30B9">
        <w:rPr>
          <w:rFonts w:eastAsia="Times New Roman"/>
        </w:rPr>
        <w:t>Chevalier, A. and J. Lindley (2007).</w:t>
      </w:r>
      <w:proofErr w:type="gramEnd"/>
      <w:r w:rsidRPr="00AD30B9">
        <w:rPr>
          <w:rFonts w:eastAsia="Times New Roman"/>
        </w:rPr>
        <w:t xml:space="preserve"> </w:t>
      </w:r>
      <w:proofErr w:type="gramStart"/>
      <w:r w:rsidRPr="00AD30B9">
        <w:rPr>
          <w:rFonts w:eastAsia="Times New Roman"/>
        </w:rPr>
        <w:t>‘Over-Education and the Skills of UK Graduates’, LSE, Centre for the Economics of Education, DPCEEDP0079.</w:t>
      </w:r>
      <w:proofErr w:type="gramEnd"/>
    </w:p>
    <w:p w:rsidR="00AE70BF" w:rsidRPr="00AD30B9" w:rsidRDefault="00AE70BF" w:rsidP="00AE70BF">
      <w:pPr>
        <w:spacing w:after="0" w:line="240" w:lineRule="auto"/>
        <w:ind w:left="284" w:hanging="284"/>
        <w:rPr>
          <w:rFonts w:eastAsia="Times New Roman"/>
        </w:rPr>
      </w:pPr>
    </w:p>
    <w:p w:rsidR="00AE70BF" w:rsidRDefault="00AE70BF" w:rsidP="00AE70BF">
      <w:pPr>
        <w:spacing w:after="0" w:line="240" w:lineRule="auto"/>
        <w:ind w:left="284" w:hanging="284"/>
        <w:rPr>
          <w:rFonts w:eastAsia="Times New Roman"/>
        </w:rPr>
      </w:pPr>
      <w:r w:rsidRPr="00203778">
        <w:rPr>
          <w:rFonts w:eastAsia="Times New Roman"/>
        </w:rPr>
        <w:t xml:space="preserve">Chevalier, A.; J. Lindley (2009) </w:t>
      </w:r>
      <w:r>
        <w:rPr>
          <w:rFonts w:eastAsia="Times New Roman"/>
        </w:rPr>
        <w:t>‘</w:t>
      </w:r>
      <w:proofErr w:type="spellStart"/>
      <w:r w:rsidRPr="00203778">
        <w:rPr>
          <w:rFonts w:eastAsia="Times New Roman"/>
        </w:rPr>
        <w:t>Overeducation</w:t>
      </w:r>
      <w:proofErr w:type="spellEnd"/>
      <w:r w:rsidRPr="00203778">
        <w:rPr>
          <w:rFonts w:eastAsia="Times New Roman"/>
        </w:rPr>
        <w:t xml:space="preserve"> and the skills of UK graduates</w:t>
      </w:r>
      <w:r>
        <w:rPr>
          <w:rFonts w:eastAsia="Times New Roman"/>
        </w:rPr>
        <w:t>’</w:t>
      </w:r>
      <w:r w:rsidRPr="00203778">
        <w:rPr>
          <w:rFonts w:eastAsia="Times New Roman"/>
        </w:rPr>
        <w:t xml:space="preserve"> </w:t>
      </w:r>
      <w:r w:rsidRPr="00F677B7">
        <w:rPr>
          <w:rFonts w:eastAsia="Times New Roman"/>
        </w:rPr>
        <w:t>Journal of the Royal Statistical Society: Series A (Statistics in Society)</w:t>
      </w:r>
      <w:r w:rsidRPr="00203778">
        <w:rPr>
          <w:rFonts w:eastAsia="Times New Roman"/>
        </w:rPr>
        <w:t>, 172, 2</w:t>
      </w:r>
      <w:r>
        <w:rPr>
          <w:rFonts w:eastAsia="Times New Roman"/>
        </w:rPr>
        <w:t>:</w:t>
      </w:r>
      <w:r w:rsidRPr="00203778">
        <w:rPr>
          <w:rFonts w:eastAsia="Times New Roman"/>
        </w:rPr>
        <w:t xml:space="preserve"> 307-337</w:t>
      </w:r>
      <w:r>
        <w:rPr>
          <w:rFonts w:eastAsia="Times New Roman"/>
        </w:rPr>
        <w:t>.</w:t>
      </w:r>
    </w:p>
    <w:p w:rsidR="00F677B7" w:rsidRPr="00203778" w:rsidRDefault="00F677B7" w:rsidP="00AE70BF">
      <w:pPr>
        <w:spacing w:after="0" w:line="240" w:lineRule="auto"/>
        <w:ind w:left="284" w:hanging="284"/>
        <w:rPr>
          <w:rFonts w:eastAsia="Times New Roman"/>
        </w:rPr>
      </w:pPr>
    </w:p>
    <w:p w:rsidR="00F677B7" w:rsidRDefault="00F677B7" w:rsidP="00F677B7">
      <w:pPr>
        <w:tabs>
          <w:tab w:val="left" w:pos="284"/>
        </w:tabs>
        <w:spacing w:after="0" w:line="240" w:lineRule="auto"/>
        <w:ind w:left="284" w:hanging="284"/>
      </w:pPr>
      <w:proofErr w:type="gramStart"/>
      <w:r>
        <w:t xml:space="preserve">Department for Business, Innovation and Skills (2009) </w:t>
      </w:r>
      <w:r w:rsidRPr="00981B5B">
        <w:rPr>
          <w:i/>
        </w:rPr>
        <w:t>Higher Ambitions.</w:t>
      </w:r>
      <w:proofErr w:type="gramEnd"/>
      <w:r w:rsidRPr="00981B5B">
        <w:rPr>
          <w:i/>
        </w:rPr>
        <w:t xml:space="preserve">  </w:t>
      </w:r>
      <w:proofErr w:type="gramStart"/>
      <w:r w:rsidRPr="00981B5B">
        <w:rPr>
          <w:i/>
        </w:rPr>
        <w:t>The future of universities in a knowledge economy.</w:t>
      </w:r>
      <w:proofErr w:type="gramEnd"/>
      <w:r>
        <w:t xml:space="preserve">  London: Department for Business, Innovation and Skills.</w:t>
      </w:r>
    </w:p>
    <w:p w:rsidR="00AE70BF" w:rsidRPr="00DB7978" w:rsidRDefault="00AE70BF" w:rsidP="00AE70BF">
      <w:pPr>
        <w:spacing w:after="0" w:line="240" w:lineRule="auto"/>
        <w:ind w:left="284" w:hanging="284"/>
        <w:rPr>
          <w:rFonts w:eastAsia="Times New Roman"/>
        </w:rPr>
      </w:pPr>
    </w:p>
    <w:p w:rsidR="00AE70BF" w:rsidRDefault="00AE70BF" w:rsidP="00AE70BF">
      <w:pPr>
        <w:spacing w:after="0" w:line="240" w:lineRule="auto"/>
        <w:ind w:left="284" w:hanging="284"/>
        <w:rPr>
          <w:rFonts w:eastAsia="Times New Roman"/>
        </w:rPr>
      </w:pPr>
      <w:proofErr w:type="gramStart"/>
      <w:r w:rsidRPr="00AD30B9">
        <w:rPr>
          <w:rFonts w:eastAsia="Times New Roman"/>
        </w:rPr>
        <w:t xml:space="preserve">Dolton, P. and A. </w:t>
      </w:r>
      <w:proofErr w:type="spellStart"/>
      <w:r w:rsidRPr="00AD30B9">
        <w:rPr>
          <w:rFonts w:eastAsia="Times New Roman"/>
        </w:rPr>
        <w:t>Vignoles</w:t>
      </w:r>
      <w:proofErr w:type="spellEnd"/>
      <w:r w:rsidRPr="00AD30B9">
        <w:rPr>
          <w:rFonts w:eastAsia="Times New Roman"/>
        </w:rPr>
        <w:t xml:space="preserve"> (2000).</w:t>
      </w:r>
      <w:proofErr w:type="gramEnd"/>
      <w:r w:rsidRPr="00AD30B9">
        <w:rPr>
          <w:rFonts w:eastAsia="Times New Roman"/>
        </w:rPr>
        <w:t xml:space="preserve"> </w:t>
      </w:r>
      <w:r>
        <w:rPr>
          <w:rFonts w:eastAsia="Times New Roman"/>
        </w:rPr>
        <w:t>‘</w:t>
      </w:r>
      <w:r w:rsidRPr="00AD30B9">
        <w:rPr>
          <w:rFonts w:eastAsia="Times New Roman"/>
        </w:rPr>
        <w:t xml:space="preserve">The incidence and effects of </w:t>
      </w:r>
      <w:proofErr w:type="spellStart"/>
      <w:r w:rsidRPr="00AD30B9">
        <w:rPr>
          <w:rFonts w:eastAsia="Times New Roman"/>
        </w:rPr>
        <w:t>overeducation</w:t>
      </w:r>
      <w:proofErr w:type="spellEnd"/>
      <w:r w:rsidRPr="00AD30B9">
        <w:rPr>
          <w:rFonts w:eastAsia="Times New Roman"/>
        </w:rPr>
        <w:t xml:space="preserve"> in the U.K. graduate labour market</w:t>
      </w:r>
      <w:r>
        <w:rPr>
          <w:rFonts w:eastAsia="Times New Roman"/>
        </w:rPr>
        <w:t>’</w:t>
      </w:r>
      <w:r w:rsidRPr="00AD30B9">
        <w:rPr>
          <w:rFonts w:eastAsia="Times New Roman"/>
        </w:rPr>
        <w:t xml:space="preserve">. </w:t>
      </w:r>
      <w:r w:rsidRPr="00AD30B9">
        <w:rPr>
          <w:rFonts w:eastAsia="Times New Roman"/>
          <w:i/>
        </w:rPr>
        <w:t>Economics of Education Review</w:t>
      </w:r>
      <w:r w:rsidRPr="00AD30B9">
        <w:rPr>
          <w:rFonts w:eastAsia="Times New Roman"/>
        </w:rPr>
        <w:t xml:space="preserve"> 19: 179-198.</w:t>
      </w:r>
    </w:p>
    <w:p w:rsidR="00AE70BF" w:rsidRPr="00AD30B9" w:rsidRDefault="00AE70BF" w:rsidP="00AE70BF">
      <w:pPr>
        <w:spacing w:after="0" w:line="240" w:lineRule="auto"/>
        <w:ind w:left="284" w:hanging="284"/>
        <w:rPr>
          <w:rFonts w:eastAsia="Times New Roman"/>
        </w:rPr>
      </w:pPr>
    </w:p>
    <w:p w:rsidR="00AE70BF" w:rsidRDefault="00AE70BF" w:rsidP="00AE70BF">
      <w:pPr>
        <w:spacing w:after="0" w:line="240" w:lineRule="auto"/>
        <w:ind w:left="284" w:hanging="284"/>
        <w:rPr>
          <w:rFonts w:eastAsia="Times New Roman"/>
        </w:rPr>
      </w:pPr>
      <w:r w:rsidRPr="00385251">
        <w:rPr>
          <w:rFonts w:eastAsia="Times New Roman"/>
        </w:rPr>
        <w:t xml:space="preserve">Elias, P. and K. Purcell (2004) ‘Is Mass Higher Education Working? </w:t>
      </w:r>
      <w:proofErr w:type="gramStart"/>
      <w:r w:rsidRPr="00385251">
        <w:rPr>
          <w:rFonts w:eastAsia="Times New Roman"/>
        </w:rPr>
        <w:t xml:space="preserve">Evidence from the Labour Market Experiences of Recent Graduates’, </w:t>
      </w:r>
      <w:r w:rsidRPr="00385251">
        <w:rPr>
          <w:rFonts w:eastAsia="Times New Roman"/>
          <w:i/>
        </w:rPr>
        <w:t>National Institute Economic Review</w:t>
      </w:r>
      <w:r w:rsidRPr="00385251">
        <w:rPr>
          <w:rFonts w:eastAsia="Times New Roman"/>
        </w:rPr>
        <w:t>, 90</w:t>
      </w:r>
      <w:r>
        <w:rPr>
          <w:rFonts w:eastAsia="Times New Roman"/>
        </w:rPr>
        <w:t>:</w:t>
      </w:r>
      <w:r w:rsidRPr="00385251">
        <w:rPr>
          <w:rFonts w:eastAsia="Times New Roman"/>
        </w:rPr>
        <w:t xml:space="preserve"> 60-74.</w:t>
      </w:r>
      <w:proofErr w:type="gramEnd"/>
      <w:r w:rsidRPr="00385251">
        <w:rPr>
          <w:rFonts w:eastAsia="Times New Roman"/>
        </w:rPr>
        <w:t xml:space="preserve"> </w:t>
      </w:r>
    </w:p>
    <w:p w:rsidR="00F677B7" w:rsidRPr="00385251" w:rsidRDefault="00F677B7" w:rsidP="00AE70BF">
      <w:pPr>
        <w:spacing w:after="0" w:line="240" w:lineRule="auto"/>
        <w:ind w:left="284" w:hanging="284"/>
        <w:rPr>
          <w:rFonts w:eastAsia="Times New Roman"/>
        </w:rPr>
      </w:pPr>
    </w:p>
    <w:p w:rsidR="00F677B7" w:rsidRDefault="00F677B7" w:rsidP="00F677B7">
      <w:pPr>
        <w:tabs>
          <w:tab w:val="left" w:pos="284"/>
        </w:tabs>
        <w:spacing w:after="0" w:line="240" w:lineRule="auto"/>
        <w:ind w:left="284" w:hanging="284"/>
      </w:pPr>
      <w:proofErr w:type="spellStart"/>
      <w:r w:rsidRPr="00F677B7">
        <w:rPr>
          <w:rFonts w:eastAsia="Times New Roman"/>
        </w:rPr>
        <w:t>Goldthorpe</w:t>
      </w:r>
      <w:proofErr w:type="spellEnd"/>
      <w:r w:rsidRPr="00F677B7">
        <w:rPr>
          <w:rFonts w:eastAsia="Times New Roman"/>
        </w:rPr>
        <w:t>, J. H. and M. Jackson (2007) ‘Intergenerational class mobility in contemporary Britain: political</w:t>
      </w:r>
      <w:r>
        <w:t xml:space="preserve"> concerns and empirical findings’.  </w:t>
      </w:r>
      <w:r w:rsidRPr="00F6486B">
        <w:rPr>
          <w:i/>
        </w:rPr>
        <w:t>British Journal of Sociology</w:t>
      </w:r>
      <w:r>
        <w:t>, 58, 4, 525-546.</w:t>
      </w:r>
    </w:p>
    <w:p w:rsidR="00AE70BF" w:rsidRPr="00AD30B9" w:rsidRDefault="00AE70BF" w:rsidP="00AE70BF">
      <w:pPr>
        <w:spacing w:after="0" w:line="240" w:lineRule="auto"/>
        <w:ind w:left="284" w:hanging="284"/>
        <w:rPr>
          <w:rFonts w:eastAsia="Times New Roman"/>
        </w:rPr>
      </w:pPr>
    </w:p>
    <w:p w:rsidR="00AE70BF" w:rsidRPr="00AD30B9" w:rsidRDefault="00AE70BF" w:rsidP="00AE70BF">
      <w:pPr>
        <w:spacing w:after="0" w:line="240" w:lineRule="auto"/>
        <w:ind w:left="284" w:hanging="284"/>
        <w:rPr>
          <w:rFonts w:eastAsia="Times New Roman"/>
        </w:rPr>
      </w:pPr>
      <w:r w:rsidRPr="00AD30B9">
        <w:rPr>
          <w:rFonts w:eastAsia="Times New Roman"/>
        </w:rPr>
        <w:t xml:space="preserve">Green, F. and S. </w:t>
      </w:r>
      <w:proofErr w:type="spellStart"/>
      <w:proofErr w:type="gramStart"/>
      <w:r w:rsidRPr="00AD30B9">
        <w:rPr>
          <w:rFonts w:eastAsia="Times New Roman"/>
        </w:rPr>
        <w:t>Mcintosh</w:t>
      </w:r>
      <w:proofErr w:type="spellEnd"/>
      <w:proofErr w:type="gramEnd"/>
      <w:r w:rsidRPr="00AD30B9">
        <w:rPr>
          <w:rFonts w:eastAsia="Times New Roman"/>
        </w:rPr>
        <w:t xml:space="preserve"> (2007). </w:t>
      </w:r>
      <w:r>
        <w:rPr>
          <w:rFonts w:eastAsia="Times New Roman"/>
        </w:rPr>
        <w:t>‘</w:t>
      </w:r>
      <w:r w:rsidRPr="00AD30B9">
        <w:rPr>
          <w:rFonts w:eastAsia="Times New Roman"/>
        </w:rPr>
        <w:t>Is there a Genuine Underutilisation of Skills Amongst the Over-qualified?</w:t>
      </w:r>
      <w:r>
        <w:rPr>
          <w:rFonts w:eastAsia="Times New Roman"/>
        </w:rPr>
        <w:t>’</w:t>
      </w:r>
      <w:r w:rsidRPr="00AD30B9">
        <w:rPr>
          <w:rFonts w:eastAsia="Times New Roman"/>
        </w:rPr>
        <w:t xml:space="preserve"> </w:t>
      </w:r>
      <w:proofErr w:type="gramStart"/>
      <w:r w:rsidRPr="00AD30B9">
        <w:rPr>
          <w:rFonts w:eastAsia="Times New Roman"/>
          <w:i/>
        </w:rPr>
        <w:t xml:space="preserve">Applied Economics </w:t>
      </w:r>
      <w:r w:rsidRPr="00AD30B9">
        <w:rPr>
          <w:rFonts w:eastAsia="Times New Roman"/>
        </w:rPr>
        <w:t>39(4): 427-439.</w:t>
      </w:r>
      <w:proofErr w:type="gramEnd"/>
    </w:p>
    <w:p w:rsidR="00AE70BF" w:rsidRPr="00AD30B9" w:rsidRDefault="00AE70BF" w:rsidP="00AE70BF">
      <w:pPr>
        <w:spacing w:after="0" w:line="240" w:lineRule="auto"/>
        <w:ind w:left="284" w:hanging="284"/>
        <w:rPr>
          <w:rFonts w:eastAsia="Times New Roman"/>
        </w:rPr>
      </w:pPr>
    </w:p>
    <w:p w:rsidR="00AE70BF" w:rsidRDefault="00AE70BF" w:rsidP="00AE70BF">
      <w:pPr>
        <w:spacing w:after="0" w:line="240" w:lineRule="auto"/>
        <w:ind w:left="284" w:hanging="284"/>
        <w:rPr>
          <w:rFonts w:eastAsia="Times New Roman"/>
        </w:rPr>
      </w:pPr>
      <w:r w:rsidRPr="00AD30B9">
        <w:rPr>
          <w:rFonts w:eastAsia="Times New Roman"/>
        </w:rPr>
        <w:t>Green, F. and Y. Zhu (2008) ‘</w:t>
      </w:r>
      <w:proofErr w:type="spellStart"/>
      <w:r w:rsidRPr="00AD30B9">
        <w:rPr>
          <w:rFonts w:eastAsia="Times New Roman"/>
        </w:rPr>
        <w:t>Overqualification</w:t>
      </w:r>
      <w:proofErr w:type="spellEnd"/>
      <w:r w:rsidRPr="00AD30B9">
        <w:rPr>
          <w:rFonts w:eastAsia="Times New Roman"/>
        </w:rPr>
        <w:t>, Job Dissatisfaction, and Increasing Dispersion in the Returns to Graduate Education’ University of Kent Department of Economics Discussion Paper KDPE 0803</w:t>
      </w:r>
      <w:r>
        <w:rPr>
          <w:rFonts w:eastAsia="Times New Roman"/>
        </w:rPr>
        <w:t>.</w:t>
      </w:r>
    </w:p>
    <w:p w:rsidR="00AE70BF" w:rsidRPr="00AD30B9" w:rsidRDefault="00AE70BF" w:rsidP="00AE70BF">
      <w:pPr>
        <w:spacing w:after="0" w:line="240" w:lineRule="auto"/>
        <w:ind w:left="284" w:hanging="284"/>
        <w:rPr>
          <w:rFonts w:eastAsia="Times New Roman"/>
        </w:rPr>
      </w:pPr>
    </w:p>
    <w:p w:rsidR="00AE70BF" w:rsidRDefault="00AE70BF" w:rsidP="00AE70BF">
      <w:pPr>
        <w:spacing w:after="0" w:line="240" w:lineRule="auto"/>
        <w:ind w:left="284" w:hanging="284"/>
        <w:rPr>
          <w:rFonts w:eastAsia="Times New Roman"/>
        </w:rPr>
      </w:pPr>
      <w:proofErr w:type="spellStart"/>
      <w:r w:rsidRPr="00AD30B9">
        <w:rPr>
          <w:rFonts w:eastAsia="Times New Roman"/>
        </w:rPr>
        <w:lastRenderedPageBreak/>
        <w:t>Hartog</w:t>
      </w:r>
      <w:proofErr w:type="spellEnd"/>
      <w:r w:rsidRPr="00AD30B9">
        <w:rPr>
          <w:rFonts w:eastAsia="Times New Roman"/>
        </w:rPr>
        <w:t xml:space="preserve">, J. (2000). </w:t>
      </w:r>
      <w:r>
        <w:rPr>
          <w:rFonts w:eastAsia="Times New Roman"/>
        </w:rPr>
        <w:t>‘</w:t>
      </w:r>
      <w:r w:rsidRPr="00AD30B9">
        <w:rPr>
          <w:rFonts w:eastAsia="Times New Roman"/>
        </w:rPr>
        <w:t>Over-education and earnings: Where are we, where should we go?</w:t>
      </w:r>
      <w:r>
        <w:rPr>
          <w:rFonts w:eastAsia="Times New Roman"/>
        </w:rPr>
        <w:t>’</w:t>
      </w:r>
      <w:r w:rsidRPr="00AD30B9">
        <w:rPr>
          <w:rFonts w:eastAsia="Times New Roman"/>
        </w:rPr>
        <w:t xml:space="preserve"> </w:t>
      </w:r>
      <w:r w:rsidRPr="00AD30B9">
        <w:rPr>
          <w:rFonts w:eastAsia="Times New Roman"/>
          <w:i/>
        </w:rPr>
        <w:t>Economics of Education Review</w:t>
      </w:r>
      <w:r w:rsidRPr="00AD30B9">
        <w:rPr>
          <w:rFonts w:eastAsia="Times New Roman"/>
        </w:rPr>
        <w:t xml:space="preserve"> 19: 131-147.</w:t>
      </w:r>
    </w:p>
    <w:p w:rsidR="004137C3" w:rsidRPr="00AD30B9" w:rsidRDefault="004137C3" w:rsidP="00AE70BF">
      <w:pPr>
        <w:spacing w:after="0" w:line="240" w:lineRule="auto"/>
        <w:ind w:left="284" w:hanging="284"/>
        <w:rPr>
          <w:rFonts w:eastAsia="Times New Roman"/>
        </w:rPr>
      </w:pPr>
    </w:p>
    <w:p w:rsidR="00AE70BF" w:rsidRDefault="004137C3" w:rsidP="004137C3">
      <w:pPr>
        <w:spacing w:after="0" w:line="240" w:lineRule="auto"/>
        <w:ind w:left="284" w:hanging="284"/>
        <w:rPr>
          <w:rFonts w:eastAsia="Times New Roman"/>
        </w:rPr>
      </w:pPr>
      <w:r>
        <w:t xml:space="preserve">Kelly, K. and S. Cook (2007) </w:t>
      </w:r>
      <w:r w:rsidRPr="00106445">
        <w:rPr>
          <w:i/>
        </w:rPr>
        <w:t>Full-time Young Participation by Socio-economic Class: a new widening participation measure in Higher Education</w:t>
      </w:r>
      <w:r>
        <w:t>. Research Report RR806, Department for Education and Skills, London.</w:t>
      </w:r>
      <w:r w:rsidRPr="004C1138">
        <w:rPr>
          <w:rFonts w:eastAsia="Times New Roman"/>
        </w:rPr>
        <w:t xml:space="preserve"> </w:t>
      </w:r>
    </w:p>
    <w:p w:rsidR="004137C3" w:rsidRPr="00AD30B9" w:rsidRDefault="004137C3" w:rsidP="004137C3">
      <w:pPr>
        <w:spacing w:after="0" w:line="240" w:lineRule="auto"/>
        <w:ind w:left="284" w:hanging="284"/>
        <w:rPr>
          <w:rFonts w:eastAsia="Times New Roman"/>
        </w:rPr>
      </w:pPr>
    </w:p>
    <w:p w:rsidR="00AE70BF" w:rsidRPr="00AD30B9" w:rsidRDefault="00AE70BF" w:rsidP="00AE70BF">
      <w:pPr>
        <w:spacing w:after="0" w:line="240" w:lineRule="auto"/>
        <w:ind w:left="284" w:hanging="284"/>
        <w:rPr>
          <w:rFonts w:eastAsia="Times New Roman"/>
        </w:rPr>
      </w:pPr>
      <w:r w:rsidRPr="00AD30B9">
        <w:rPr>
          <w:rFonts w:eastAsia="Times New Roman"/>
        </w:rPr>
        <w:t xml:space="preserve">Lindley, J. and S. McIntosh (2008) ‘A Panel Data Analysis of the Incidence and Impact of </w:t>
      </w:r>
      <w:proofErr w:type="spellStart"/>
      <w:r w:rsidRPr="00AD30B9">
        <w:rPr>
          <w:rFonts w:eastAsia="Times New Roman"/>
        </w:rPr>
        <w:t>Overeducation</w:t>
      </w:r>
      <w:proofErr w:type="spellEnd"/>
      <w:r w:rsidRPr="00AD30B9">
        <w:rPr>
          <w:rFonts w:eastAsia="Times New Roman"/>
        </w:rPr>
        <w:t>’ Sheffield Economic Research paper 2008009, Department of Economics, University of Sheffield.</w:t>
      </w:r>
    </w:p>
    <w:p w:rsidR="00AE70BF" w:rsidRPr="00AD30B9" w:rsidRDefault="00AE70BF" w:rsidP="00AE70BF">
      <w:pPr>
        <w:spacing w:after="0" w:line="240" w:lineRule="auto"/>
        <w:ind w:left="284" w:hanging="284"/>
        <w:rPr>
          <w:rFonts w:eastAsia="Times New Roman"/>
        </w:rPr>
      </w:pPr>
    </w:p>
    <w:p w:rsidR="00AE70BF" w:rsidRPr="00AD30B9" w:rsidRDefault="00AE70BF" w:rsidP="00AE70BF">
      <w:pPr>
        <w:spacing w:after="0" w:line="240" w:lineRule="auto"/>
        <w:ind w:left="284" w:hanging="284"/>
        <w:rPr>
          <w:rFonts w:eastAsia="Times New Roman"/>
        </w:rPr>
      </w:pPr>
      <w:r w:rsidRPr="00AD30B9">
        <w:rPr>
          <w:rFonts w:eastAsia="Times New Roman"/>
        </w:rPr>
        <w:t xml:space="preserve">McGuiness, S. (2006). </w:t>
      </w:r>
      <w:proofErr w:type="gramStart"/>
      <w:r>
        <w:rPr>
          <w:rFonts w:eastAsia="Times New Roman"/>
        </w:rPr>
        <w:t>‘</w:t>
      </w:r>
      <w:proofErr w:type="spellStart"/>
      <w:r w:rsidRPr="00AD30B9">
        <w:rPr>
          <w:rFonts w:eastAsia="Times New Roman"/>
        </w:rPr>
        <w:t>Overeducation</w:t>
      </w:r>
      <w:proofErr w:type="spellEnd"/>
      <w:r w:rsidRPr="00AD30B9">
        <w:rPr>
          <w:rFonts w:eastAsia="Times New Roman"/>
        </w:rPr>
        <w:t xml:space="preserve"> </w:t>
      </w:r>
      <w:r>
        <w:rPr>
          <w:rFonts w:eastAsia="Times New Roman"/>
        </w:rPr>
        <w:t>i</w:t>
      </w:r>
      <w:r w:rsidRPr="00AD30B9">
        <w:rPr>
          <w:rFonts w:eastAsia="Times New Roman"/>
        </w:rPr>
        <w:t xml:space="preserve">n </w:t>
      </w:r>
      <w:r>
        <w:rPr>
          <w:rFonts w:eastAsia="Times New Roman"/>
        </w:rPr>
        <w:t>t</w:t>
      </w:r>
      <w:r w:rsidRPr="00AD30B9">
        <w:rPr>
          <w:rFonts w:eastAsia="Times New Roman"/>
        </w:rPr>
        <w:t>he Labour Market</w:t>
      </w:r>
      <w:r>
        <w:rPr>
          <w:rFonts w:eastAsia="Times New Roman"/>
        </w:rPr>
        <w:t>’</w:t>
      </w:r>
      <w:r w:rsidRPr="00AD30B9">
        <w:rPr>
          <w:rFonts w:eastAsia="Times New Roman"/>
        </w:rPr>
        <w:t>.</w:t>
      </w:r>
      <w:proofErr w:type="gramEnd"/>
      <w:r w:rsidRPr="00AD30B9">
        <w:rPr>
          <w:rFonts w:eastAsia="Times New Roman"/>
        </w:rPr>
        <w:t xml:space="preserve"> </w:t>
      </w:r>
      <w:r w:rsidRPr="00B26494">
        <w:rPr>
          <w:rFonts w:eastAsia="Times New Roman"/>
          <w:i/>
        </w:rPr>
        <w:t>Journal of Economic Surveys</w:t>
      </w:r>
      <w:r w:rsidRPr="00AD30B9">
        <w:rPr>
          <w:rFonts w:eastAsia="Times New Roman"/>
        </w:rPr>
        <w:t xml:space="preserve"> 20(3): 387-417.</w:t>
      </w:r>
    </w:p>
    <w:p w:rsidR="00AE70BF" w:rsidRPr="00AD30B9" w:rsidRDefault="00AE70BF" w:rsidP="00AE70BF">
      <w:pPr>
        <w:spacing w:after="0" w:line="240" w:lineRule="auto"/>
        <w:ind w:left="284" w:hanging="284"/>
        <w:rPr>
          <w:rFonts w:eastAsia="Times New Roman"/>
        </w:rPr>
      </w:pPr>
    </w:p>
    <w:p w:rsidR="00AE70BF" w:rsidRPr="00AD30B9" w:rsidRDefault="00AE70BF" w:rsidP="00AE70BF">
      <w:pPr>
        <w:spacing w:after="0" w:line="240" w:lineRule="auto"/>
        <w:ind w:left="284" w:hanging="284"/>
        <w:rPr>
          <w:rFonts w:eastAsia="Times New Roman"/>
        </w:rPr>
      </w:pPr>
      <w:proofErr w:type="spellStart"/>
      <w:proofErr w:type="gramStart"/>
      <w:r w:rsidRPr="00AD30B9">
        <w:rPr>
          <w:rFonts w:eastAsia="Times New Roman"/>
        </w:rPr>
        <w:t>Rubb</w:t>
      </w:r>
      <w:proofErr w:type="spellEnd"/>
      <w:r w:rsidRPr="00AD30B9">
        <w:rPr>
          <w:rFonts w:eastAsia="Times New Roman"/>
        </w:rPr>
        <w:t>, S. (2003).</w:t>
      </w:r>
      <w:proofErr w:type="gramEnd"/>
      <w:r w:rsidRPr="00AD30B9">
        <w:rPr>
          <w:rFonts w:eastAsia="Times New Roman"/>
        </w:rPr>
        <w:t xml:space="preserve"> </w:t>
      </w:r>
      <w:r>
        <w:rPr>
          <w:rFonts w:eastAsia="Times New Roman"/>
        </w:rPr>
        <w:t>‘</w:t>
      </w:r>
      <w:proofErr w:type="spellStart"/>
      <w:r w:rsidRPr="00AD30B9">
        <w:rPr>
          <w:rFonts w:eastAsia="Times New Roman"/>
        </w:rPr>
        <w:t>Overeducation</w:t>
      </w:r>
      <w:proofErr w:type="spellEnd"/>
      <w:r w:rsidRPr="00AD30B9">
        <w:rPr>
          <w:rFonts w:eastAsia="Times New Roman"/>
        </w:rPr>
        <w:t>: a short or long run phenomenon for individuals?</w:t>
      </w:r>
      <w:r>
        <w:rPr>
          <w:rFonts w:eastAsia="Times New Roman"/>
        </w:rPr>
        <w:t>’</w:t>
      </w:r>
      <w:r w:rsidRPr="00AD30B9">
        <w:rPr>
          <w:rFonts w:eastAsia="Times New Roman"/>
        </w:rPr>
        <w:t xml:space="preserve">  </w:t>
      </w:r>
      <w:r w:rsidRPr="00B26494">
        <w:rPr>
          <w:rFonts w:eastAsia="Times New Roman"/>
          <w:i/>
        </w:rPr>
        <w:t xml:space="preserve">Economics of Education Review </w:t>
      </w:r>
      <w:r w:rsidRPr="00AD30B9">
        <w:rPr>
          <w:rFonts w:eastAsia="Times New Roman"/>
        </w:rPr>
        <w:t>22(4): 389-394.</w:t>
      </w:r>
    </w:p>
    <w:p w:rsidR="00AE70BF" w:rsidRPr="00AD30B9" w:rsidRDefault="00AE70BF" w:rsidP="00AE70BF">
      <w:pPr>
        <w:spacing w:after="0" w:line="240" w:lineRule="auto"/>
        <w:ind w:left="284" w:hanging="284"/>
        <w:rPr>
          <w:rFonts w:eastAsia="Times New Roman"/>
        </w:rPr>
      </w:pPr>
    </w:p>
    <w:p w:rsidR="00AE70BF" w:rsidRDefault="00AE70BF" w:rsidP="00AE70BF">
      <w:pPr>
        <w:spacing w:after="0" w:line="240" w:lineRule="auto"/>
        <w:ind w:left="284" w:hanging="284"/>
        <w:rPr>
          <w:rFonts w:eastAsia="Times New Roman"/>
        </w:rPr>
      </w:pPr>
      <w:proofErr w:type="spellStart"/>
      <w:r w:rsidRPr="00DB7978">
        <w:rPr>
          <w:rFonts w:eastAsia="Times New Roman"/>
        </w:rPr>
        <w:t>Sicherman</w:t>
      </w:r>
      <w:proofErr w:type="spellEnd"/>
      <w:r w:rsidRPr="00DB7978">
        <w:rPr>
          <w:rFonts w:eastAsia="Times New Roman"/>
        </w:rPr>
        <w:t xml:space="preserve">, N. (1991). </w:t>
      </w:r>
      <w:proofErr w:type="gramStart"/>
      <w:r>
        <w:rPr>
          <w:rFonts w:eastAsia="Times New Roman"/>
        </w:rPr>
        <w:t>‘</w:t>
      </w:r>
      <w:r w:rsidRPr="00DB7978">
        <w:rPr>
          <w:rFonts w:eastAsia="Times New Roman"/>
        </w:rPr>
        <w:t>Over-education in the labour market</w:t>
      </w:r>
      <w:r>
        <w:rPr>
          <w:rFonts w:eastAsia="Times New Roman"/>
        </w:rPr>
        <w:t>’</w:t>
      </w:r>
      <w:r w:rsidRPr="00DB7978">
        <w:rPr>
          <w:rFonts w:eastAsia="Times New Roman"/>
        </w:rPr>
        <w:t>.</w:t>
      </w:r>
      <w:proofErr w:type="gramEnd"/>
      <w:r w:rsidRPr="00DB7978">
        <w:rPr>
          <w:rFonts w:eastAsia="Times New Roman"/>
        </w:rPr>
        <w:t xml:space="preserve"> </w:t>
      </w:r>
      <w:r w:rsidRPr="00DB7978">
        <w:rPr>
          <w:rFonts w:eastAsia="Times New Roman"/>
          <w:i/>
        </w:rPr>
        <w:t xml:space="preserve">Journal of </w:t>
      </w:r>
      <w:proofErr w:type="spellStart"/>
      <w:r w:rsidRPr="00DB7978">
        <w:rPr>
          <w:rFonts w:eastAsia="Times New Roman"/>
          <w:i/>
        </w:rPr>
        <w:t>Labor</w:t>
      </w:r>
      <w:proofErr w:type="spellEnd"/>
      <w:r w:rsidRPr="00B26494">
        <w:rPr>
          <w:rFonts w:eastAsia="Times New Roman"/>
          <w:i/>
        </w:rPr>
        <w:t xml:space="preserve"> </w:t>
      </w:r>
      <w:r w:rsidRPr="00DB7978">
        <w:rPr>
          <w:rFonts w:eastAsia="Times New Roman"/>
          <w:i/>
        </w:rPr>
        <w:t>Economics</w:t>
      </w:r>
      <w:r w:rsidRPr="00DB7978">
        <w:rPr>
          <w:rFonts w:eastAsia="Times New Roman"/>
        </w:rPr>
        <w:t>, 9, 101-122</w:t>
      </w:r>
      <w:r>
        <w:rPr>
          <w:rFonts w:eastAsia="Times New Roman"/>
        </w:rPr>
        <w:t>.</w:t>
      </w:r>
    </w:p>
    <w:p w:rsidR="00AE70BF" w:rsidRPr="00DB7978" w:rsidRDefault="00AE70BF" w:rsidP="00AE70BF">
      <w:pPr>
        <w:spacing w:after="0" w:line="240" w:lineRule="auto"/>
        <w:ind w:left="284" w:hanging="284"/>
        <w:rPr>
          <w:rFonts w:eastAsia="Times New Roman"/>
        </w:rPr>
      </w:pPr>
    </w:p>
    <w:p w:rsidR="00AE70BF" w:rsidRPr="00AD30B9" w:rsidRDefault="00AE70BF" w:rsidP="00AE70BF">
      <w:pPr>
        <w:spacing w:after="0" w:line="240" w:lineRule="auto"/>
        <w:ind w:left="284" w:hanging="284"/>
        <w:rPr>
          <w:rFonts w:eastAsia="Times New Roman"/>
        </w:rPr>
      </w:pPr>
      <w:r w:rsidRPr="00AD30B9">
        <w:rPr>
          <w:rFonts w:eastAsia="Times New Roman"/>
        </w:rPr>
        <w:t xml:space="preserve">Sloane, P. J. (2003). </w:t>
      </w:r>
      <w:r>
        <w:rPr>
          <w:rFonts w:eastAsia="Times New Roman"/>
        </w:rPr>
        <w:t>‘</w:t>
      </w:r>
      <w:r w:rsidRPr="00AD30B9">
        <w:rPr>
          <w:rFonts w:eastAsia="Times New Roman"/>
        </w:rPr>
        <w:t xml:space="preserve">Much Ado </w:t>
      </w:r>
      <w:proofErr w:type="gramStart"/>
      <w:r w:rsidRPr="00AD30B9">
        <w:rPr>
          <w:rFonts w:eastAsia="Times New Roman"/>
        </w:rPr>
        <w:t>About</w:t>
      </w:r>
      <w:proofErr w:type="gramEnd"/>
      <w:r w:rsidRPr="00AD30B9">
        <w:rPr>
          <w:rFonts w:eastAsia="Times New Roman"/>
        </w:rPr>
        <w:t xml:space="preserve"> Nothing? What does the </w:t>
      </w:r>
      <w:proofErr w:type="spellStart"/>
      <w:r w:rsidRPr="00AD30B9">
        <w:rPr>
          <w:rFonts w:eastAsia="Times New Roman"/>
        </w:rPr>
        <w:t>Overeducation</w:t>
      </w:r>
      <w:proofErr w:type="spellEnd"/>
      <w:r w:rsidRPr="00AD30B9">
        <w:rPr>
          <w:rFonts w:eastAsia="Times New Roman"/>
        </w:rPr>
        <w:t xml:space="preserve"> Literature Really Tell Us?</w:t>
      </w:r>
      <w:r>
        <w:rPr>
          <w:rFonts w:eastAsia="Times New Roman"/>
        </w:rPr>
        <w:t>’</w:t>
      </w:r>
      <w:r w:rsidRPr="00AD30B9">
        <w:rPr>
          <w:rFonts w:eastAsia="Times New Roman"/>
        </w:rPr>
        <w:t xml:space="preserve"> </w:t>
      </w:r>
      <w:proofErr w:type="spellStart"/>
      <w:r w:rsidRPr="00B26494">
        <w:rPr>
          <w:rFonts w:eastAsia="Times New Roman"/>
          <w:i/>
        </w:rPr>
        <w:t>Overeducation</w:t>
      </w:r>
      <w:proofErr w:type="spellEnd"/>
      <w:r w:rsidRPr="00B26494">
        <w:rPr>
          <w:rFonts w:eastAsia="Times New Roman"/>
          <w:i/>
        </w:rPr>
        <w:t xml:space="preserve"> </w:t>
      </w:r>
      <w:proofErr w:type="gramStart"/>
      <w:r w:rsidRPr="00B26494">
        <w:rPr>
          <w:rFonts w:eastAsia="Times New Roman"/>
          <w:i/>
        </w:rPr>
        <w:t>In</w:t>
      </w:r>
      <w:proofErr w:type="gramEnd"/>
      <w:r w:rsidRPr="00B26494">
        <w:rPr>
          <w:rFonts w:eastAsia="Times New Roman"/>
          <w:i/>
        </w:rPr>
        <w:t xml:space="preserve"> Europe</w:t>
      </w:r>
      <w:r w:rsidRPr="00AD30B9">
        <w:rPr>
          <w:rFonts w:eastAsia="Times New Roman"/>
        </w:rPr>
        <w:t xml:space="preserve">. F. </w:t>
      </w:r>
      <w:proofErr w:type="spellStart"/>
      <w:r w:rsidRPr="00AD30B9">
        <w:rPr>
          <w:rFonts w:eastAsia="Times New Roman"/>
        </w:rPr>
        <w:t>Buchel</w:t>
      </w:r>
      <w:proofErr w:type="spellEnd"/>
      <w:r w:rsidRPr="00AD30B9">
        <w:rPr>
          <w:rFonts w:eastAsia="Times New Roman"/>
        </w:rPr>
        <w:t xml:space="preserve">, A. de Grip and A. </w:t>
      </w:r>
      <w:proofErr w:type="spellStart"/>
      <w:r w:rsidRPr="00AD30B9">
        <w:rPr>
          <w:rFonts w:eastAsia="Times New Roman"/>
        </w:rPr>
        <w:t>Mertens</w:t>
      </w:r>
      <w:proofErr w:type="spellEnd"/>
      <w:r w:rsidRPr="00AD30B9">
        <w:rPr>
          <w:rFonts w:eastAsia="Times New Roman"/>
        </w:rPr>
        <w:t xml:space="preserve"> (eds.) Cheltenham, Edward Elgar: 11-48.</w:t>
      </w:r>
    </w:p>
    <w:p w:rsidR="00AE70BF" w:rsidRPr="00AD30B9" w:rsidRDefault="00AE70BF" w:rsidP="00AE70BF">
      <w:pPr>
        <w:spacing w:after="0" w:line="240" w:lineRule="auto"/>
        <w:ind w:left="284" w:hanging="284"/>
        <w:rPr>
          <w:rFonts w:eastAsia="Times New Roman"/>
        </w:rPr>
      </w:pPr>
    </w:p>
    <w:p w:rsidR="00AE70BF" w:rsidRDefault="00AE70BF" w:rsidP="00AE70BF">
      <w:pPr>
        <w:spacing w:after="0" w:line="240" w:lineRule="auto"/>
        <w:ind w:left="284" w:hanging="284"/>
        <w:rPr>
          <w:rFonts w:eastAsia="Times New Roman"/>
        </w:rPr>
      </w:pPr>
      <w:proofErr w:type="gramStart"/>
      <w:r w:rsidRPr="00DB7978">
        <w:rPr>
          <w:rFonts w:eastAsia="Times New Roman"/>
        </w:rPr>
        <w:t xml:space="preserve">Sloane, P.J., </w:t>
      </w:r>
      <w:r>
        <w:rPr>
          <w:rFonts w:eastAsia="Times New Roman"/>
        </w:rPr>
        <w:t xml:space="preserve">H. </w:t>
      </w:r>
      <w:proofErr w:type="spellStart"/>
      <w:r w:rsidRPr="00DB7978">
        <w:rPr>
          <w:rFonts w:eastAsia="Times New Roman"/>
        </w:rPr>
        <w:t>Battu</w:t>
      </w:r>
      <w:proofErr w:type="spellEnd"/>
      <w:r w:rsidRPr="00DB7978">
        <w:rPr>
          <w:rFonts w:eastAsia="Times New Roman"/>
        </w:rPr>
        <w:t xml:space="preserve"> </w:t>
      </w:r>
      <w:r>
        <w:rPr>
          <w:rFonts w:eastAsia="Times New Roman"/>
        </w:rPr>
        <w:t>a</w:t>
      </w:r>
      <w:r w:rsidRPr="00DB7978">
        <w:rPr>
          <w:rFonts w:eastAsia="Times New Roman"/>
        </w:rPr>
        <w:t xml:space="preserve">nd </w:t>
      </w:r>
      <w:r>
        <w:rPr>
          <w:rFonts w:eastAsia="Times New Roman"/>
        </w:rPr>
        <w:t xml:space="preserve">P. T. </w:t>
      </w:r>
      <w:r w:rsidRPr="00DB7978">
        <w:rPr>
          <w:rFonts w:eastAsia="Times New Roman"/>
        </w:rPr>
        <w:t>Seaman (1996).</w:t>
      </w:r>
      <w:proofErr w:type="gramEnd"/>
      <w:r w:rsidRPr="00DB7978">
        <w:rPr>
          <w:rFonts w:eastAsia="Times New Roman"/>
        </w:rPr>
        <w:t xml:space="preserve"> </w:t>
      </w:r>
      <w:r>
        <w:rPr>
          <w:rFonts w:eastAsia="Times New Roman"/>
        </w:rPr>
        <w:t>‘</w:t>
      </w:r>
      <w:r w:rsidRPr="00DB7978">
        <w:rPr>
          <w:rFonts w:eastAsia="Times New Roman"/>
        </w:rPr>
        <w:t>Over-education and the formal</w:t>
      </w:r>
      <w:r>
        <w:rPr>
          <w:rFonts w:eastAsia="Times New Roman"/>
        </w:rPr>
        <w:t xml:space="preserve"> </w:t>
      </w:r>
      <w:r w:rsidRPr="00DB7978">
        <w:rPr>
          <w:rFonts w:eastAsia="Times New Roman"/>
        </w:rPr>
        <w:t>education/experience and training trade-off</w:t>
      </w:r>
      <w:r>
        <w:rPr>
          <w:rFonts w:eastAsia="Times New Roman"/>
        </w:rPr>
        <w:t>’</w:t>
      </w:r>
      <w:r w:rsidRPr="00DB7978">
        <w:rPr>
          <w:rFonts w:eastAsia="Times New Roman"/>
        </w:rPr>
        <w:t xml:space="preserve">. </w:t>
      </w:r>
      <w:proofErr w:type="gramStart"/>
      <w:r w:rsidRPr="00DB7978">
        <w:rPr>
          <w:rFonts w:eastAsia="Times New Roman"/>
          <w:i/>
        </w:rPr>
        <w:t>Applied Economic Letters</w:t>
      </w:r>
      <w:r w:rsidRPr="00DB7978">
        <w:rPr>
          <w:rFonts w:eastAsia="Times New Roman"/>
        </w:rPr>
        <w:t>, 3, 511-515.</w:t>
      </w:r>
      <w:proofErr w:type="gramEnd"/>
    </w:p>
    <w:p w:rsidR="00AE70BF" w:rsidRPr="00006937" w:rsidRDefault="00AE70BF" w:rsidP="00AE70BF">
      <w:pPr>
        <w:spacing w:after="0" w:line="240" w:lineRule="auto"/>
        <w:ind w:left="284" w:hanging="284"/>
        <w:rPr>
          <w:rFonts w:eastAsia="Times New Roman"/>
        </w:rPr>
      </w:pPr>
    </w:p>
    <w:p w:rsidR="00AE70BF" w:rsidRDefault="00AE70BF" w:rsidP="00AE70BF">
      <w:pPr>
        <w:spacing w:after="0" w:line="240" w:lineRule="auto"/>
        <w:ind w:left="284" w:hanging="284"/>
        <w:rPr>
          <w:rFonts w:eastAsia="Times New Roman"/>
        </w:rPr>
      </w:pPr>
      <w:proofErr w:type="gramStart"/>
      <w:r w:rsidRPr="00DB7978">
        <w:rPr>
          <w:rFonts w:eastAsia="Times New Roman"/>
        </w:rPr>
        <w:t xml:space="preserve">Sloane, P.J., </w:t>
      </w:r>
      <w:r>
        <w:rPr>
          <w:rFonts w:eastAsia="Times New Roman"/>
        </w:rPr>
        <w:t xml:space="preserve">H. </w:t>
      </w:r>
      <w:proofErr w:type="spellStart"/>
      <w:r w:rsidRPr="00DB7978">
        <w:rPr>
          <w:rFonts w:eastAsia="Times New Roman"/>
        </w:rPr>
        <w:t>Battu</w:t>
      </w:r>
      <w:proofErr w:type="spellEnd"/>
      <w:r w:rsidRPr="00DB7978">
        <w:rPr>
          <w:rFonts w:eastAsia="Times New Roman"/>
        </w:rPr>
        <w:t xml:space="preserve"> </w:t>
      </w:r>
      <w:r>
        <w:rPr>
          <w:rFonts w:eastAsia="Times New Roman"/>
        </w:rPr>
        <w:t>a</w:t>
      </w:r>
      <w:r w:rsidRPr="00DB7978">
        <w:rPr>
          <w:rFonts w:eastAsia="Times New Roman"/>
        </w:rPr>
        <w:t xml:space="preserve">nd </w:t>
      </w:r>
      <w:r>
        <w:rPr>
          <w:rFonts w:eastAsia="Times New Roman"/>
        </w:rPr>
        <w:t xml:space="preserve">P. T. </w:t>
      </w:r>
      <w:r w:rsidRPr="00DB7978">
        <w:rPr>
          <w:rFonts w:eastAsia="Times New Roman"/>
        </w:rPr>
        <w:t>Seaman (1999).</w:t>
      </w:r>
      <w:proofErr w:type="gramEnd"/>
      <w:r w:rsidRPr="00DB7978">
        <w:rPr>
          <w:rFonts w:eastAsia="Times New Roman"/>
        </w:rPr>
        <w:t xml:space="preserve"> </w:t>
      </w:r>
      <w:r>
        <w:rPr>
          <w:rFonts w:eastAsia="Times New Roman"/>
        </w:rPr>
        <w:t>‘</w:t>
      </w:r>
      <w:r w:rsidRPr="00DB7978">
        <w:rPr>
          <w:rFonts w:eastAsia="Times New Roman"/>
        </w:rPr>
        <w:t>Over-education, under</w:t>
      </w:r>
      <w:r w:rsidR="00901D5C">
        <w:rPr>
          <w:rFonts w:eastAsia="Times New Roman"/>
        </w:rPr>
        <w:t>-</w:t>
      </w:r>
      <w:r w:rsidRPr="00DB7978">
        <w:rPr>
          <w:rFonts w:eastAsia="Times New Roman"/>
        </w:rPr>
        <w:t>education and the British labour market</w:t>
      </w:r>
      <w:r>
        <w:rPr>
          <w:rFonts w:eastAsia="Times New Roman"/>
        </w:rPr>
        <w:t>’</w:t>
      </w:r>
      <w:r w:rsidRPr="00DB7978">
        <w:rPr>
          <w:rFonts w:eastAsia="Times New Roman"/>
        </w:rPr>
        <w:t xml:space="preserve">. </w:t>
      </w:r>
      <w:proofErr w:type="gramStart"/>
      <w:r w:rsidRPr="00DB7978">
        <w:rPr>
          <w:rFonts w:eastAsia="Times New Roman"/>
          <w:i/>
        </w:rPr>
        <w:t>Applied Economics</w:t>
      </w:r>
      <w:r w:rsidRPr="00DB7978">
        <w:rPr>
          <w:rFonts w:eastAsia="Times New Roman"/>
        </w:rPr>
        <w:t>, 31,</w:t>
      </w:r>
      <w:r>
        <w:rPr>
          <w:rFonts w:eastAsia="Times New Roman"/>
        </w:rPr>
        <w:t xml:space="preserve"> </w:t>
      </w:r>
      <w:r w:rsidRPr="00DB7978">
        <w:rPr>
          <w:rFonts w:eastAsia="Times New Roman"/>
        </w:rPr>
        <w:t>1437-1453</w:t>
      </w:r>
      <w:r>
        <w:rPr>
          <w:rFonts w:eastAsia="Times New Roman"/>
        </w:rPr>
        <w:t>.</w:t>
      </w:r>
      <w:proofErr w:type="gramEnd"/>
    </w:p>
    <w:p w:rsidR="00AE70BF" w:rsidRPr="00DB7978" w:rsidRDefault="00AE70BF" w:rsidP="00AE70BF">
      <w:pPr>
        <w:spacing w:after="0" w:line="240" w:lineRule="auto"/>
        <w:ind w:left="284" w:hanging="284"/>
        <w:rPr>
          <w:rFonts w:eastAsia="Times New Roman"/>
        </w:rPr>
      </w:pPr>
    </w:p>
    <w:p w:rsidR="00AE70BF" w:rsidRDefault="00AE70BF" w:rsidP="00AE70BF">
      <w:pPr>
        <w:spacing w:after="0" w:line="240" w:lineRule="auto"/>
        <w:ind w:left="284" w:hanging="284"/>
        <w:rPr>
          <w:rFonts w:eastAsia="Times New Roman"/>
        </w:rPr>
      </w:pPr>
      <w:proofErr w:type="gramStart"/>
      <w:r w:rsidRPr="00094D58">
        <w:rPr>
          <w:rFonts w:eastAsia="Times New Roman"/>
        </w:rPr>
        <w:t xml:space="preserve">Walker, I. and </w:t>
      </w:r>
      <w:r>
        <w:rPr>
          <w:rFonts w:eastAsia="Times New Roman"/>
        </w:rPr>
        <w:t xml:space="preserve">Y. </w:t>
      </w:r>
      <w:r w:rsidRPr="00094D58">
        <w:rPr>
          <w:rFonts w:eastAsia="Times New Roman"/>
        </w:rPr>
        <w:t xml:space="preserve">Zhu 2008, </w:t>
      </w:r>
      <w:r>
        <w:rPr>
          <w:rFonts w:eastAsia="Times New Roman"/>
        </w:rPr>
        <w:t>‘</w:t>
      </w:r>
      <w:r w:rsidRPr="00094D58">
        <w:rPr>
          <w:rFonts w:eastAsia="Times New Roman"/>
        </w:rPr>
        <w:t xml:space="preserve">The college wage premium, </w:t>
      </w:r>
      <w:proofErr w:type="spellStart"/>
      <w:r w:rsidRPr="00094D58">
        <w:rPr>
          <w:rFonts w:eastAsia="Times New Roman"/>
        </w:rPr>
        <w:t>overeducation</w:t>
      </w:r>
      <w:proofErr w:type="spellEnd"/>
      <w:r w:rsidRPr="00094D58">
        <w:rPr>
          <w:rFonts w:eastAsia="Times New Roman"/>
        </w:rPr>
        <w:t>, and the</w:t>
      </w:r>
      <w:r w:rsidR="00E7189C">
        <w:rPr>
          <w:rFonts w:eastAsia="Times New Roman"/>
        </w:rPr>
        <w:t xml:space="preserve"> </w:t>
      </w:r>
      <w:r w:rsidRPr="00094D58">
        <w:rPr>
          <w:rFonts w:eastAsia="Times New Roman"/>
        </w:rPr>
        <w:t>expansion of higher education in the UK</w:t>
      </w:r>
      <w:r>
        <w:rPr>
          <w:rFonts w:eastAsia="Times New Roman"/>
        </w:rPr>
        <w:t>’</w:t>
      </w:r>
      <w:r w:rsidRPr="00094D58">
        <w:rPr>
          <w:rFonts w:eastAsia="Times New Roman"/>
        </w:rPr>
        <w:t xml:space="preserve">, </w:t>
      </w:r>
      <w:r w:rsidRPr="00E7189C">
        <w:rPr>
          <w:rFonts w:eastAsia="Times New Roman"/>
          <w:i/>
        </w:rPr>
        <w:t>Scandinavian Journal of Economics</w:t>
      </w:r>
      <w:r w:rsidRPr="00094D58">
        <w:rPr>
          <w:rFonts w:eastAsia="Times New Roman"/>
        </w:rPr>
        <w:t>, 110,</w:t>
      </w:r>
      <w:r w:rsidR="00E7189C">
        <w:rPr>
          <w:rFonts w:eastAsia="Times New Roman"/>
        </w:rPr>
        <w:t xml:space="preserve"> </w:t>
      </w:r>
      <w:r w:rsidRPr="00094D58">
        <w:rPr>
          <w:rFonts w:eastAsia="Times New Roman"/>
        </w:rPr>
        <w:t>695-710.</w:t>
      </w:r>
      <w:proofErr w:type="gramEnd"/>
    </w:p>
    <w:p w:rsidR="00231863" w:rsidRDefault="00231863" w:rsidP="00AE70BF">
      <w:pPr>
        <w:spacing w:after="0" w:line="240" w:lineRule="auto"/>
        <w:ind w:left="284" w:hanging="284"/>
        <w:rPr>
          <w:rFonts w:eastAsia="Times New Roman"/>
        </w:rPr>
      </w:pPr>
    </w:p>
    <w:p w:rsidR="00231863" w:rsidRDefault="00231863">
      <w:pPr>
        <w:rPr>
          <w:rFonts w:eastAsia="Times New Roman"/>
        </w:rPr>
      </w:pPr>
      <w:r>
        <w:rPr>
          <w:rFonts w:eastAsia="Times New Roman"/>
        </w:rPr>
        <w:br w:type="page"/>
      </w:r>
    </w:p>
    <w:p w:rsidR="00231863" w:rsidRPr="00BB382E" w:rsidRDefault="00231863" w:rsidP="00AE70BF">
      <w:pPr>
        <w:spacing w:after="0" w:line="240" w:lineRule="auto"/>
        <w:ind w:left="284" w:hanging="284"/>
        <w:rPr>
          <w:rFonts w:eastAsia="Times New Roman"/>
          <w:b/>
        </w:rPr>
      </w:pPr>
      <w:r w:rsidRPr="00BB382E">
        <w:rPr>
          <w:rFonts w:eastAsia="Times New Roman"/>
          <w:b/>
        </w:rPr>
        <w:lastRenderedPageBreak/>
        <w:t>Appendix</w:t>
      </w:r>
    </w:p>
    <w:p w:rsidR="00231863" w:rsidRDefault="00231863" w:rsidP="00AE70BF">
      <w:pPr>
        <w:spacing w:after="0" w:line="240" w:lineRule="auto"/>
        <w:ind w:left="284" w:hanging="284"/>
        <w:rPr>
          <w:rFonts w:eastAsia="Times New Roman"/>
        </w:rPr>
      </w:pPr>
    </w:p>
    <w:p w:rsidR="00231863" w:rsidRPr="00BB382E" w:rsidRDefault="00231863" w:rsidP="00AE70BF">
      <w:pPr>
        <w:spacing w:after="0" w:line="240" w:lineRule="auto"/>
        <w:ind w:left="284" w:hanging="284"/>
        <w:rPr>
          <w:rFonts w:eastAsia="Times New Roman"/>
          <w:i/>
        </w:rPr>
      </w:pPr>
      <w:r w:rsidRPr="00BB382E">
        <w:rPr>
          <w:rFonts w:eastAsia="Times New Roman"/>
          <w:i/>
        </w:rPr>
        <w:t>Data sources</w:t>
      </w:r>
      <w:r w:rsidR="004137C3">
        <w:rPr>
          <w:rFonts w:eastAsia="Times New Roman"/>
          <w:i/>
        </w:rPr>
        <w:t xml:space="preserve"> and definitions</w:t>
      </w:r>
    </w:p>
    <w:p w:rsidR="00231863" w:rsidRDefault="00231863" w:rsidP="00AE70BF">
      <w:pPr>
        <w:spacing w:after="0" w:line="240" w:lineRule="auto"/>
        <w:ind w:left="284" w:hanging="284"/>
        <w:rPr>
          <w:rFonts w:eastAsia="Times New Roman"/>
        </w:rPr>
      </w:pPr>
    </w:p>
    <w:p w:rsidR="00231863" w:rsidRDefault="00231863" w:rsidP="00BB382E">
      <w:pPr>
        <w:spacing w:after="0" w:line="240" w:lineRule="auto"/>
        <w:rPr>
          <w:rFonts w:eastAsia="Times New Roman"/>
        </w:rPr>
      </w:pPr>
      <w:r>
        <w:rPr>
          <w:rFonts w:eastAsia="Times New Roman"/>
        </w:rPr>
        <w:t xml:space="preserve">The data required for </w:t>
      </w:r>
      <w:r w:rsidR="00BB382E">
        <w:rPr>
          <w:rFonts w:eastAsia="Times New Roman"/>
        </w:rPr>
        <w:t xml:space="preserve">the analyses presented in </w:t>
      </w:r>
      <w:r>
        <w:rPr>
          <w:rFonts w:eastAsia="Times New Roman"/>
        </w:rPr>
        <w:t xml:space="preserve">Tables </w:t>
      </w:r>
      <w:r w:rsidR="00BB382E">
        <w:rPr>
          <w:rFonts w:eastAsia="Times New Roman"/>
        </w:rPr>
        <w:t xml:space="preserve">1 – 7 were obtained by merging 8 quarterly Labour Force Survey files from quarters 1 to 4 for 1994 and quarters 1 to 4 for 1995 and 8 files from quarters 1 to 4 for 2009 and quarters 1 to 4 for 2010.  </w:t>
      </w:r>
      <w:r w:rsidR="006547B1">
        <w:rPr>
          <w:rFonts w:eastAsia="Times New Roman"/>
        </w:rPr>
        <w:t xml:space="preserve">Labour Force Survey files were provided courtesy of the UK Economic and Social Data Service.  </w:t>
      </w:r>
      <w:r w:rsidR="00BB382E">
        <w:rPr>
          <w:rFonts w:eastAsia="Times New Roman"/>
        </w:rPr>
        <w:t xml:space="preserve">Respondents remain in the survey for five quarters.  Before merging these files, all respondents who appeared more than once were removed.  For </w:t>
      </w:r>
      <w:r w:rsidR="00F76E82">
        <w:rPr>
          <w:rFonts w:eastAsia="Times New Roman"/>
        </w:rPr>
        <w:t xml:space="preserve">the </w:t>
      </w:r>
      <w:r w:rsidR="00BB382E">
        <w:rPr>
          <w:rFonts w:eastAsia="Times New Roman"/>
        </w:rPr>
        <w:t>1994/95</w:t>
      </w:r>
      <w:r w:rsidR="00F76E82">
        <w:rPr>
          <w:rFonts w:eastAsia="Times New Roman"/>
        </w:rPr>
        <w:t xml:space="preserve"> surveys</w:t>
      </w:r>
      <w:r w:rsidR="00BB382E">
        <w:rPr>
          <w:rFonts w:eastAsia="Times New Roman"/>
        </w:rPr>
        <w:t>, occupations were coded to the 1990 Standard Occupational Classification.  For 2009/10, coding was performed to the 2000 Standard occupational Classification.  In an earlier paper we show how these t</w:t>
      </w:r>
      <w:r w:rsidR="006547B1">
        <w:rPr>
          <w:rFonts w:eastAsia="Times New Roman"/>
        </w:rPr>
        <w:t>wo</w:t>
      </w:r>
      <w:r w:rsidR="00BB382E">
        <w:rPr>
          <w:rFonts w:eastAsia="Times New Roman"/>
        </w:rPr>
        <w:t xml:space="preserve"> classifications can be </w:t>
      </w:r>
      <w:r w:rsidR="006547B1">
        <w:rPr>
          <w:rFonts w:eastAsia="Times New Roman"/>
        </w:rPr>
        <w:t>mapped</w:t>
      </w:r>
      <w:r w:rsidR="00BB382E">
        <w:rPr>
          <w:rFonts w:eastAsia="Times New Roman"/>
        </w:rPr>
        <w:t xml:space="preserve"> to a common classification of jobs for analysis of the graduate labour market.   Full </w:t>
      </w:r>
      <w:r w:rsidR="006547B1">
        <w:rPr>
          <w:rFonts w:eastAsia="Times New Roman"/>
        </w:rPr>
        <w:t>details</w:t>
      </w:r>
      <w:r w:rsidR="00BB382E">
        <w:rPr>
          <w:rFonts w:eastAsia="Times New Roman"/>
        </w:rPr>
        <w:t xml:space="preserve"> </w:t>
      </w:r>
      <w:r w:rsidR="006547B1">
        <w:rPr>
          <w:rFonts w:eastAsia="Times New Roman"/>
        </w:rPr>
        <w:t xml:space="preserve">of these mappings and their validation </w:t>
      </w:r>
      <w:r w:rsidR="00BB382E">
        <w:rPr>
          <w:rFonts w:eastAsia="Times New Roman"/>
        </w:rPr>
        <w:t xml:space="preserve">are given in </w:t>
      </w:r>
      <w:hyperlink r:id="rId25" w:history="1">
        <w:r w:rsidR="006547B1" w:rsidRPr="003805BB">
          <w:rPr>
            <w:rStyle w:val="Hyperlink"/>
            <w:rFonts w:eastAsia="Times New Roman"/>
          </w:rPr>
          <w:t>http://www2.warwick.ac.uk/fac/soc/ier/research/completed/7yrs2/rp6.pdf</w:t>
        </w:r>
      </w:hyperlink>
    </w:p>
    <w:p w:rsidR="006547B1" w:rsidRDefault="006547B1" w:rsidP="00BB382E">
      <w:pPr>
        <w:spacing w:after="0" w:line="240" w:lineRule="auto"/>
        <w:rPr>
          <w:rFonts w:eastAsia="Times New Roman"/>
        </w:rPr>
      </w:pPr>
    </w:p>
    <w:p w:rsidR="006547B1" w:rsidRDefault="006547B1" w:rsidP="00BB382E">
      <w:pPr>
        <w:spacing w:after="0" w:line="240" w:lineRule="auto"/>
        <w:rPr>
          <w:rFonts w:eastAsia="Times New Roman"/>
        </w:rPr>
      </w:pPr>
      <w:r>
        <w:rPr>
          <w:rFonts w:eastAsia="Times New Roman"/>
        </w:rPr>
        <w:t xml:space="preserve">Table </w:t>
      </w:r>
      <w:r w:rsidR="00F76E82">
        <w:rPr>
          <w:rFonts w:eastAsia="Times New Roman"/>
        </w:rPr>
        <w:t>3 maps sectors of economic activity to</w:t>
      </w:r>
      <w:r w:rsidR="00F23B08">
        <w:rPr>
          <w:rFonts w:eastAsia="Times New Roman"/>
        </w:rPr>
        <w:t xml:space="preserve"> innovation</w:t>
      </w:r>
      <w:r w:rsidR="00F76E82">
        <w:rPr>
          <w:rFonts w:eastAsia="Times New Roman"/>
        </w:rPr>
        <w:t xml:space="preserve"> </w:t>
      </w:r>
      <w:r w:rsidR="00F23B08">
        <w:rPr>
          <w:rFonts w:eastAsia="Times New Roman"/>
        </w:rPr>
        <w:t>categories</w:t>
      </w:r>
      <w:r w:rsidR="00F76E82">
        <w:rPr>
          <w:rFonts w:eastAsia="Times New Roman"/>
        </w:rPr>
        <w:t xml:space="preserve">.  This was </w:t>
      </w:r>
      <w:r w:rsidR="00F23B08">
        <w:rPr>
          <w:rFonts w:eastAsia="Times New Roman"/>
        </w:rPr>
        <w:t>performed</w:t>
      </w:r>
      <w:r w:rsidR="00F76E82">
        <w:rPr>
          <w:rFonts w:eastAsia="Times New Roman"/>
        </w:rPr>
        <w:t xml:space="preserve"> with reference to the </w:t>
      </w:r>
      <w:r w:rsidR="00F76E82" w:rsidRPr="00C66B93">
        <w:rPr>
          <w:rFonts w:eastAsia="Times New Roman"/>
          <w:i/>
        </w:rPr>
        <w:t>2009 UK Innovation Survey</w:t>
      </w:r>
      <w:r w:rsidR="00F76E82">
        <w:rPr>
          <w:rFonts w:eastAsia="Times New Roman"/>
        </w:rPr>
        <w:t xml:space="preserve">, covering the period 2006 to 2008.  Details of the survey methodology, sampling methods and sample size, definitions of concepts and the questionnaire are given at </w:t>
      </w:r>
      <w:hyperlink r:id="rId26" w:history="1">
        <w:r w:rsidR="00F76E82" w:rsidRPr="003805BB">
          <w:rPr>
            <w:rStyle w:val="Hyperlink"/>
            <w:rFonts w:eastAsia="Times New Roman"/>
          </w:rPr>
          <w:t>http://www.bis.gov.uk/assets/biscore/science/docs/u/10-p106-uk-innovation-survey-2009-statistical-annex</w:t>
        </w:r>
      </w:hyperlink>
    </w:p>
    <w:p w:rsidR="00F76E82" w:rsidRDefault="00F76E82" w:rsidP="00BB382E">
      <w:pPr>
        <w:spacing w:after="0" w:line="240" w:lineRule="auto"/>
        <w:rPr>
          <w:rFonts w:eastAsia="Times New Roman"/>
        </w:rPr>
      </w:pPr>
    </w:p>
    <w:p w:rsidR="00C66B93" w:rsidRDefault="00F76E82" w:rsidP="00BB382E">
      <w:pPr>
        <w:spacing w:after="0" w:line="240" w:lineRule="auto"/>
        <w:rPr>
          <w:rFonts w:eastAsia="Times New Roman"/>
        </w:rPr>
      </w:pPr>
      <w:r>
        <w:rPr>
          <w:rFonts w:eastAsia="Times New Roman"/>
        </w:rPr>
        <w:t xml:space="preserve">The mapping to innovation categories was </w:t>
      </w:r>
      <w:r w:rsidR="00F20179">
        <w:rPr>
          <w:rFonts w:eastAsia="Times New Roman"/>
        </w:rPr>
        <w:t>performed</w:t>
      </w:r>
      <w:r>
        <w:rPr>
          <w:rFonts w:eastAsia="Times New Roman"/>
        </w:rPr>
        <w:t xml:space="preserve"> </w:t>
      </w:r>
      <w:r w:rsidR="00F20179">
        <w:rPr>
          <w:rFonts w:eastAsia="Times New Roman"/>
        </w:rPr>
        <w:t xml:space="preserve">with reference to </w:t>
      </w:r>
      <w:proofErr w:type="spellStart"/>
      <w:r w:rsidR="00F20179">
        <w:rPr>
          <w:rFonts w:eastAsia="Times New Roman"/>
        </w:rPr>
        <w:t>sectoral</w:t>
      </w:r>
      <w:proofErr w:type="spellEnd"/>
      <w:r w:rsidR="00F20179">
        <w:rPr>
          <w:rFonts w:eastAsia="Times New Roman"/>
        </w:rPr>
        <w:t xml:space="preserve"> information in this survey </w:t>
      </w:r>
      <w:r w:rsidR="00C66B93">
        <w:rPr>
          <w:rFonts w:eastAsia="Times New Roman"/>
        </w:rPr>
        <w:t xml:space="preserve">on the percentage of organisations defined as ‘wider or strategic innovators’.  ‘Wider or strategic innovators’ are </w:t>
      </w:r>
      <w:r w:rsidR="00400289">
        <w:rPr>
          <w:rFonts w:eastAsia="Times New Roman"/>
        </w:rPr>
        <w:t>‘</w:t>
      </w:r>
      <w:r w:rsidR="00C66B93">
        <w:rPr>
          <w:rFonts w:eastAsia="Times New Roman"/>
        </w:rPr>
        <w:t xml:space="preserve">organisations which have introduced </w:t>
      </w:r>
      <w:r w:rsidR="00C66B93" w:rsidRPr="00C66B93">
        <w:rPr>
          <w:rFonts w:eastAsia="Times New Roman"/>
        </w:rPr>
        <w:t>new and significantly improved forms of organisation, business structures or practices aimed at improving internal efficiency or effectiveness of approaching markets and customers</w:t>
      </w:r>
      <w:r w:rsidR="00400289">
        <w:rPr>
          <w:rFonts w:eastAsia="Times New Roman"/>
        </w:rPr>
        <w:t>’ (see above referenced statistical annex)</w:t>
      </w:r>
      <w:r w:rsidR="00C66B93" w:rsidRPr="00C66B93">
        <w:rPr>
          <w:rFonts w:eastAsia="Times New Roman"/>
        </w:rPr>
        <w:t>.</w:t>
      </w:r>
      <w:r w:rsidR="00400289">
        <w:rPr>
          <w:rFonts w:eastAsia="Times New Roman"/>
        </w:rPr>
        <w:t xml:space="preserve">  High innovation sectors are those sectors which have more than 30% of organisations recorded in this category.  Medium innovation sectors have 20-30 % of organisations recorded in this category.  Low innovation sectors have less than 20% of organisations in this category.  The UK Innovation </w:t>
      </w:r>
      <w:r w:rsidR="00343C3B">
        <w:rPr>
          <w:rFonts w:eastAsia="Times New Roman"/>
        </w:rPr>
        <w:t>Survey</w:t>
      </w:r>
      <w:r w:rsidR="00400289">
        <w:rPr>
          <w:rFonts w:eastAsia="Times New Roman"/>
        </w:rPr>
        <w:t xml:space="preserve"> does not cover sectors 1 – 4 and </w:t>
      </w:r>
      <w:r w:rsidR="00343C3B">
        <w:rPr>
          <w:rFonts w:eastAsia="Times New Roman"/>
        </w:rPr>
        <w:t>52 – 60.  These have been classified as ‘low’ and ‘medium’ respectively on the basis of information contained in a detailed cross classification of Labour Force Survey text descriptions of occupations and industries for January to March 2006.</w:t>
      </w:r>
    </w:p>
    <w:p w:rsidR="00400289" w:rsidRDefault="00400289" w:rsidP="00BB382E">
      <w:pPr>
        <w:spacing w:after="0" w:line="240" w:lineRule="auto"/>
        <w:rPr>
          <w:rFonts w:eastAsia="Times New Roman"/>
        </w:rPr>
      </w:pPr>
    </w:p>
    <w:p w:rsidR="00501B58" w:rsidRDefault="00400289" w:rsidP="00BB382E">
      <w:pPr>
        <w:spacing w:after="0" w:line="240" w:lineRule="auto"/>
        <w:rPr>
          <w:rFonts w:eastAsia="Times New Roman"/>
        </w:rPr>
      </w:pPr>
      <w:r>
        <w:rPr>
          <w:rFonts w:eastAsia="Times New Roman"/>
        </w:rPr>
        <w:t xml:space="preserve">Sectors were also grouped by the proportion of graduates in their total workforce in 1994/95.  The table </w:t>
      </w:r>
      <w:r w:rsidR="00501B58">
        <w:rPr>
          <w:rFonts w:eastAsia="Times New Roman"/>
        </w:rPr>
        <w:t>that follows</w:t>
      </w:r>
      <w:r>
        <w:rPr>
          <w:rFonts w:eastAsia="Times New Roman"/>
        </w:rPr>
        <w:t xml:space="preserve"> shows how the six grouped categories of graduate intensity were defined.  Table 1 uses a broad </w:t>
      </w:r>
      <w:proofErr w:type="spellStart"/>
      <w:r>
        <w:rPr>
          <w:rFonts w:eastAsia="Times New Roman"/>
        </w:rPr>
        <w:t>sectoral</w:t>
      </w:r>
      <w:proofErr w:type="spellEnd"/>
      <w:r>
        <w:rPr>
          <w:rFonts w:eastAsia="Times New Roman"/>
        </w:rPr>
        <w:t xml:space="preserve"> classification.  The mapping from the 60 sectors recorded in the Labour Force Survey to these broad sectors is also shown in the table below (with the associated key table).</w:t>
      </w:r>
    </w:p>
    <w:p w:rsidR="00501B58" w:rsidRDefault="00501B58">
      <w:pPr>
        <w:rPr>
          <w:rFonts w:eastAsia="Times New Roman"/>
        </w:rPr>
      </w:pPr>
      <w:r>
        <w:rPr>
          <w:rFonts w:eastAsia="Times New Roman"/>
        </w:rPr>
        <w:br w:type="page"/>
      </w:r>
    </w:p>
    <w:tbl>
      <w:tblPr>
        <w:tblW w:w="7390" w:type="dxa"/>
        <w:tblInd w:w="821" w:type="dxa"/>
        <w:tblLook w:val="04A0" w:firstRow="1" w:lastRow="0" w:firstColumn="1" w:lastColumn="0" w:noHBand="0" w:noVBand="1"/>
      </w:tblPr>
      <w:tblGrid>
        <w:gridCol w:w="3760"/>
        <w:gridCol w:w="222"/>
        <w:gridCol w:w="1136"/>
        <w:gridCol w:w="1418"/>
        <w:gridCol w:w="854"/>
      </w:tblGrid>
      <w:tr w:rsidR="00F23B08" w:rsidRPr="00400289" w:rsidTr="00501B58">
        <w:trPr>
          <w:trHeight w:val="288"/>
        </w:trPr>
        <w:tc>
          <w:tcPr>
            <w:tcW w:w="3982" w:type="dxa"/>
            <w:gridSpan w:val="2"/>
            <w:tcBorders>
              <w:top w:val="single" w:sz="4" w:space="0" w:color="auto"/>
              <w:left w:val="nil"/>
              <w:bottom w:val="single" w:sz="4" w:space="0" w:color="auto"/>
              <w:right w:val="nil"/>
            </w:tcBorders>
            <w:shd w:val="clear" w:color="auto" w:fill="auto"/>
            <w:noWrap/>
            <w:vAlign w:val="center"/>
          </w:tcPr>
          <w:p w:rsidR="00F23B08" w:rsidRPr="00400289" w:rsidRDefault="00F23B08" w:rsidP="00F20179">
            <w:pPr>
              <w:spacing w:after="0" w:line="240" w:lineRule="auto"/>
              <w:jc w:val="center"/>
              <w:rPr>
                <w:rFonts w:ascii="Calibri" w:eastAsia="Times New Roman" w:hAnsi="Calibri" w:cs="Calibri"/>
                <w:b/>
                <w:color w:val="000000"/>
                <w:sz w:val="16"/>
                <w:szCs w:val="16"/>
              </w:rPr>
            </w:pPr>
            <w:r w:rsidRPr="00400289">
              <w:rPr>
                <w:rFonts w:ascii="Calibri" w:eastAsia="Times New Roman" w:hAnsi="Calibri" w:cs="Calibri"/>
                <w:b/>
                <w:color w:val="000000"/>
                <w:sz w:val="16"/>
                <w:szCs w:val="16"/>
              </w:rPr>
              <w:lastRenderedPageBreak/>
              <w:t>Sector (Standard Industrial Classification 1992)</w:t>
            </w:r>
          </w:p>
        </w:tc>
        <w:tc>
          <w:tcPr>
            <w:tcW w:w="1136" w:type="dxa"/>
            <w:tcBorders>
              <w:top w:val="single" w:sz="4" w:space="0" w:color="auto"/>
              <w:left w:val="nil"/>
              <w:bottom w:val="single" w:sz="4" w:space="0" w:color="auto"/>
              <w:right w:val="nil"/>
            </w:tcBorders>
            <w:shd w:val="clear" w:color="auto" w:fill="auto"/>
            <w:vAlign w:val="center"/>
          </w:tcPr>
          <w:p w:rsidR="00F23B08" w:rsidRPr="00400289" w:rsidRDefault="00F23B08" w:rsidP="00C66B93">
            <w:pPr>
              <w:spacing w:after="0" w:line="240" w:lineRule="auto"/>
              <w:jc w:val="center"/>
              <w:rPr>
                <w:rFonts w:ascii="Calibri" w:eastAsia="Times New Roman" w:hAnsi="Calibri" w:cs="Calibri"/>
                <w:b/>
                <w:color w:val="000000"/>
                <w:sz w:val="16"/>
                <w:szCs w:val="16"/>
              </w:rPr>
            </w:pPr>
            <w:r w:rsidRPr="00400289">
              <w:rPr>
                <w:rFonts w:ascii="Calibri" w:eastAsia="Times New Roman" w:hAnsi="Calibri" w:cs="Calibri"/>
                <w:b/>
                <w:color w:val="000000"/>
                <w:sz w:val="16"/>
                <w:szCs w:val="16"/>
              </w:rPr>
              <w:t>Innovation activity</w:t>
            </w:r>
          </w:p>
        </w:tc>
        <w:tc>
          <w:tcPr>
            <w:tcW w:w="1418" w:type="dxa"/>
            <w:tcBorders>
              <w:top w:val="single" w:sz="4" w:space="0" w:color="auto"/>
              <w:left w:val="nil"/>
              <w:bottom w:val="single" w:sz="4" w:space="0" w:color="auto"/>
              <w:right w:val="nil"/>
            </w:tcBorders>
            <w:shd w:val="clear" w:color="auto" w:fill="auto"/>
          </w:tcPr>
          <w:p w:rsidR="00F23B08" w:rsidRPr="00400289" w:rsidRDefault="00BE47BD" w:rsidP="00F20179">
            <w:pPr>
              <w:spacing w:after="0" w:line="240" w:lineRule="auto"/>
              <w:jc w:val="center"/>
              <w:rPr>
                <w:rFonts w:ascii="Calibri" w:eastAsia="Times New Roman" w:hAnsi="Calibri" w:cs="Calibri"/>
                <w:b/>
                <w:color w:val="000000"/>
                <w:sz w:val="16"/>
                <w:szCs w:val="16"/>
              </w:rPr>
            </w:pPr>
            <w:r w:rsidRPr="00400289">
              <w:rPr>
                <w:rFonts w:ascii="Calibri" w:eastAsia="Times New Roman" w:hAnsi="Calibri" w:cs="Calibri"/>
                <w:b/>
                <w:color w:val="000000"/>
                <w:sz w:val="16"/>
                <w:szCs w:val="16"/>
              </w:rPr>
              <w:t>Graduate intensity in 1994/95</w:t>
            </w:r>
          </w:p>
        </w:tc>
        <w:tc>
          <w:tcPr>
            <w:tcW w:w="854" w:type="dxa"/>
            <w:tcBorders>
              <w:top w:val="single" w:sz="4" w:space="0" w:color="auto"/>
              <w:left w:val="nil"/>
              <w:bottom w:val="single" w:sz="4" w:space="0" w:color="auto"/>
              <w:right w:val="nil"/>
            </w:tcBorders>
            <w:shd w:val="clear" w:color="auto" w:fill="auto"/>
            <w:vAlign w:val="center"/>
          </w:tcPr>
          <w:p w:rsidR="00F23B08" w:rsidRPr="00400289" w:rsidRDefault="00BE47BD" w:rsidP="00C66B93">
            <w:pPr>
              <w:spacing w:after="0" w:line="240" w:lineRule="auto"/>
              <w:jc w:val="center"/>
              <w:rPr>
                <w:rFonts w:ascii="Calibri" w:eastAsia="Times New Roman" w:hAnsi="Calibri" w:cs="Calibri"/>
                <w:b/>
                <w:color w:val="000000"/>
                <w:sz w:val="16"/>
                <w:szCs w:val="16"/>
              </w:rPr>
            </w:pPr>
            <w:r w:rsidRPr="00400289">
              <w:rPr>
                <w:rFonts w:ascii="Calibri" w:eastAsia="Times New Roman" w:hAnsi="Calibri" w:cs="Calibri"/>
                <w:b/>
                <w:color w:val="000000"/>
                <w:sz w:val="16"/>
                <w:szCs w:val="16"/>
              </w:rPr>
              <w:t>Broad sector of activity</w:t>
            </w:r>
          </w:p>
        </w:tc>
      </w:tr>
      <w:tr w:rsidR="00F23B08" w:rsidRPr="00F20179" w:rsidTr="00501B58">
        <w:trPr>
          <w:trHeight w:val="288"/>
        </w:trPr>
        <w:tc>
          <w:tcPr>
            <w:tcW w:w="3982" w:type="dxa"/>
            <w:gridSpan w:val="2"/>
            <w:tcBorders>
              <w:top w:val="single" w:sz="4" w:space="0" w:color="auto"/>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01 Agriculture,</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hunting,</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etc</w:t>
            </w:r>
            <w:r w:rsidRPr="00F20179">
              <w:rPr>
                <w:rFonts w:ascii="Calibri" w:eastAsia="Times New Roman" w:hAnsi="Calibri" w:cs="Calibri"/>
                <w:color w:val="000000"/>
                <w:sz w:val="16"/>
                <w:szCs w:val="16"/>
              </w:rPr>
              <w:t>.</w:t>
            </w:r>
          </w:p>
        </w:tc>
        <w:tc>
          <w:tcPr>
            <w:tcW w:w="1136" w:type="dxa"/>
            <w:tcBorders>
              <w:top w:val="single" w:sz="4" w:space="0" w:color="auto"/>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Low</w:t>
            </w:r>
          </w:p>
        </w:tc>
        <w:tc>
          <w:tcPr>
            <w:tcW w:w="1418" w:type="dxa"/>
            <w:tcBorders>
              <w:top w:val="single" w:sz="4" w:space="0" w:color="auto"/>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Less than 5%</w:t>
            </w:r>
          </w:p>
        </w:tc>
        <w:tc>
          <w:tcPr>
            <w:tcW w:w="854" w:type="dxa"/>
            <w:tcBorders>
              <w:top w:val="single" w:sz="4" w:space="0" w:color="auto"/>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02 Forestry,</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logging etc</w:t>
            </w:r>
            <w:r w:rsidRPr="00F20179">
              <w:rPr>
                <w:rFonts w:ascii="Calibri" w:eastAsia="Times New Roman" w:hAnsi="Calibri" w:cs="Calibri"/>
                <w:color w:val="000000"/>
                <w:sz w:val="16"/>
                <w:szCs w:val="16"/>
              </w:rPr>
              <w:t>.</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Low</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15% and &lt; 20%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03 Fishing,</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fish farms,</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hatcheries etc</w:t>
            </w:r>
            <w:r w:rsidRPr="00F20179">
              <w:rPr>
                <w:rFonts w:ascii="Calibri" w:eastAsia="Times New Roman" w:hAnsi="Calibri" w:cs="Calibri"/>
                <w:color w:val="000000"/>
                <w:sz w:val="16"/>
                <w:szCs w:val="16"/>
              </w:rPr>
              <w:t>.</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Low</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Less than 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400289">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 xml:space="preserve">04 </w:t>
            </w:r>
            <w:r w:rsidR="00343C3B" w:rsidRPr="00BF2655">
              <w:rPr>
                <w:rFonts w:ascii="Calibri" w:eastAsia="Times New Roman" w:hAnsi="Calibri" w:cs="Calibri"/>
                <w:color w:val="000000"/>
                <w:sz w:val="16"/>
                <w:szCs w:val="16"/>
              </w:rPr>
              <w:t>Coal,</w:t>
            </w:r>
            <w:r w:rsidR="00343C3B">
              <w:rPr>
                <w:rFonts w:ascii="Calibri" w:eastAsia="Times New Roman" w:hAnsi="Calibri" w:cs="Calibri"/>
                <w:color w:val="000000"/>
                <w:sz w:val="16"/>
                <w:szCs w:val="16"/>
              </w:rPr>
              <w:t xml:space="preserve"> </w:t>
            </w:r>
            <w:r w:rsidR="00343C3B" w:rsidRPr="00BF2655">
              <w:rPr>
                <w:rFonts w:ascii="Calibri" w:eastAsia="Times New Roman" w:hAnsi="Calibri" w:cs="Calibri"/>
                <w:color w:val="000000"/>
                <w:sz w:val="16"/>
                <w:szCs w:val="16"/>
              </w:rPr>
              <w:t>lignite</w:t>
            </w:r>
            <w:r w:rsidRPr="00BF2655">
              <w:rPr>
                <w:rFonts w:ascii="Calibri" w:eastAsia="Times New Roman" w:hAnsi="Calibri" w:cs="Calibri"/>
                <w:color w:val="000000"/>
                <w:sz w:val="16"/>
                <w:szCs w:val="16"/>
              </w:rPr>
              <w:t xml:space="preserve"> mining,</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peat extraction</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Low</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2</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05 Oil,</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gas extract</w:t>
            </w:r>
            <w:r w:rsidRPr="00F20179">
              <w:rPr>
                <w:rFonts w:ascii="Calibri" w:eastAsia="Times New Roman" w:hAnsi="Calibri" w:cs="Calibri"/>
                <w:color w:val="000000"/>
                <w:sz w:val="16"/>
                <w:szCs w:val="16"/>
              </w:rPr>
              <w:t>io</w:t>
            </w:r>
            <w:r w:rsidRPr="00BF2655">
              <w:rPr>
                <w:rFonts w:ascii="Calibri" w:eastAsia="Times New Roman" w:hAnsi="Calibri" w:cs="Calibri"/>
                <w:color w:val="000000"/>
                <w:sz w:val="16"/>
                <w:szCs w:val="16"/>
              </w:rPr>
              <w:t>n etc</w:t>
            </w:r>
            <w:r w:rsidRPr="00F20179">
              <w:rPr>
                <w:rFonts w:ascii="Calibri" w:eastAsia="Times New Roman" w:hAnsi="Calibri" w:cs="Calibri"/>
                <w:color w:val="000000"/>
                <w:sz w:val="16"/>
                <w:szCs w:val="16"/>
              </w:rPr>
              <w:t>.</w:t>
            </w:r>
            <w:r w:rsidRPr="00BF2655">
              <w:rPr>
                <w:rFonts w:ascii="Calibri" w:eastAsia="Times New Roman" w:hAnsi="Calibri" w:cs="Calibri"/>
                <w:color w:val="000000"/>
                <w:sz w:val="16"/>
                <w:szCs w:val="16"/>
              </w:rPr>
              <w:t xml:space="preserve"> (not surveying)</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Low</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20% and &lt; 25%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2</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07 Mining of metal ores</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Low</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20% and &lt; 25%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2</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08 Other mining,</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quarrying</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Low</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2</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09 Food,</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beverage manufacture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10 Tobacco products manufacture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10% and &lt; 15%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11Textile manufacture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12 Clothing,</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fur manufacture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Less than 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13 Leather,</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leather goods manufacture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Less than 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14 Wood,</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straw,</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cork,</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wood prods(not furn</w:t>
            </w:r>
            <w:r w:rsidRPr="00F20179">
              <w:rPr>
                <w:rFonts w:ascii="Calibri" w:eastAsia="Times New Roman" w:hAnsi="Calibri" w:cs="Calibri"/>
                <w:color w:val="000000"/>
                <w:sz w:val="16"/>
                <w:szCs w:val="16"/>
              </w:rPr>
              <w:t>iture</w:t>
            </w:r>
            <w:r w:rsidRPr="00BF2655">
              <w:rPr>
                <w:rFonts w:ascii="Calibri" w:eastAsia="Times New Roman" w:hAnsi="Calibri" w:cs="Calibri"/>
                <w:color w:val="000000"/>
                <w:sz w:val="16"/>
                <w:szCs w:val="16"/>
              </w:rPr>
              <w:t>)</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Less than 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15 Pulp,</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paper,</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paper prod</w:t>
            </w:r>
            <w:r w:rsidRPr="00F20179">
              <w:rPr>
                <w:rFonts w:ascii="Calibri" w:eastAsia="Times New Roman" w:hAnsi="Calibri" w:cs="Calibri"/>
                <w:color w:val="000000"/>
                <w:sz w:val="16"/>
                <w:szCs w:val="16"/>
              </w:rPr>
              <w:t>ucts</w:t>
            </w:r>
            <w:r w:rsidRPr="00BF2655">
              <w:rPr>
                <w:rFonts w:ascii="Calibri" w:eastAsia="Times New Roman" w:hAnsi="Calibri" w:cs="Calibri"/>
                <w:color w:val="000000"/>
                <w:sz w:val="16"/>
                <w:szCs w:val="16"/>
              </w:rPr>
              <w:t xml:space="preserve"> manufacture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16 Printing,</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publishing,</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recorded media</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10% and &lt; 15%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17 Coke,</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petrol prod</w:t>
            </w:r>
            <w:r w:rsidRPr="00F20179">
              <w:rPr>
                <w:rFonts w:ascii="Calibri" w:eastAsia="Times New Roman" w:hAnsi="Calibri" w:cs="Calibri"/>
                <w:color w:val="000000"/>
                <w:sz w:val="16"/>
                <w:szCs w:val="16"/>
              </w:rPr>
              <w:t>uct</w:t>
            </w:r>
            <w:r w:rsidRPr="00BF2655">
              <w:rPr>
                <w:rFonts w:ascii="Calibri" w:eastAsia="Times New Roman" w:hAnsi="Calibri" w:cs="Calibri"/>
                <w:color w:val="000000"/>
                <w:sz w:val="16"/>
                <w:szCs w:val="16"/>
              </w:rPr>
              <w:t>s,</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nuclear fuel man</w:t>
            </w:r>
            <w:r w:rsidRPr="00F20179">
              <w:rPr>
                <w:rFonts w:ascii="Calibri" w:eastAsia="Times New Roman" w:hAnsi="Calibri" w:cs="Calibri"/>
                <w:color w:val="000000"/>
                <w:sz w:val="16"/>
                <w:szCs w:val="16"/>
              </w:rPr>
              <w:t>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20% and &lt; 25%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18 Chemicals,</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chemical products man</w:t>
            </w:r>
            <w:r w:rsidRPr="00F20179">
              <w:rPr>
                <w:rFonts w:ascii="Calibri" w:eastAsia="Times New Roman" w:hAnsi="Calibri" w:cs="Calibri"/>
                <w:color w:val="000000"/>
                <w:sz w:val="16"/>
                <w:szCs w:val="16"/>
              </w:rPr>
              <w:t>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20% and &lt; 25%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19 Rubber,</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plastic products manufacture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20 Other non-metallic products man</w:t>
            </w:r>
            <w:r w:rsidRPr="00F20179">
              <w:rPr>
                <w:rFonts w:ascii="Calibri" w:eastAsia="Times New Roman" w:hAnsi="Calibri" w:cs="Calibri"/>
                <w:color w:val="000000"/>
                <w:sz w:val="16"/>
                <w:szCs w:val="16"/>
              </w:rPr>
              <w:t>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21 Basic metals manufacture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22 Fabric-metal prod (not mach</w:t>
            </w:r>
            <w:r w:rsidRPr="00F20179">
              <w:rPr>
                <w:rFonts w:ascii="Calibri" w:eastAsia="Times New Roman" w:hAnsi="Calibri" w:cs="Calibri"/>
                <w:color w:val="000000"/>
                <w:sz w:val="16"/>
                <w:szCs w:val="16"/>
              </w:rPr>
              <w:t>ines</w:t>
            </w:r>
            <w:r w:rsidRPr="00BF2655">
              <w:rPr>
                <w:rFonts w:ascii="Calibri" w:eastAsia="Times New Roman" w:hAnsi="Calibri" w:cs="Calibri"/>
                <w:color w:val="000000"/>
                <w:sz w:val="16"/>
                <w:szCs w:val="16"/>
              </w:rPr>
              <w:t>,</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eq</w:t>
            </w:r>
            <w:r w:rsidRPr="00F20179">
              <w:rPr>
                <w:rFonts w:ascii="Calibri" w:eastAsia="Times New Roman" w:hAnsi="Calibri" w:cs="Calibri"/>
                <w:color w:val="000000"/>
                <w:sz w:val="16"/>
                <w:szCs w:val="16"/>
              </w:rPr>
              <w:t>uipmen</w:t>
            </w:r>
            <w:r w:rsidRPr="00BF2655">
              <w:rPr>
                <w:rFonts w:ascii="Calibri" w:eastAsia="Times New Roman" w:hAnsi="Calibri" w:cs="Calibri"/>
                <w:color w:val="000000"/>
                <w:sz w:val="16"/>
                <w:szCs w:val="16"/>
              </w:rPr>
              <w:t>t) man</w:t>
            </w:r>
            <w:r w:rsidRPr="00F20179">
              <w:rPr>
                <w:rFonts w:ascii="Calibri" w:eastAsia="Times New Roman" w:hAnsi="Calibri" w:cs="Calibri"/>
                <w:color w:val="000000"/>
                <w:sz w:val="16"/>
                <w:szCs w:val="16"/>
              </w:rPr>
              <w:t>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Less than 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23 Mach</w:t>
            </w:r>
            <w:r w:rsidRPr="00F20179">
              <w:rPr>
                <w:rFonts w:ascii="Calibri" w:eastAsia="Times New Roman" w:hAnsi="Calibri" w:cs="Calibri"/>
                <w:color w:val="000000"/>
                <w:sz w:val="16"/>
                <w:szCs w:val="16"/>
              </w:rPr>
              <w:t xml:space="preserve">inery equipment </w:t>
            </w:r>
            <w:r w:rsidRPr="00BF2655">
              <w:rPr>
                <w:rFonts w:ascii="Calibri" w:eastAsia="Times New Roman" w:hAnsi="Calibri" w:cs="Calibri"/>
                <w:color w:val="000000"/>
                <w:sz w:val="16"/>
                <w:szCs w:val="16"/>
              </w:rPr>
              <w:t xml:space="preserve"> manufacture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24 Office mach</w:t>
            </w:r>
            <w:r w:rsidRPr="00F20179">
              <w:rPr>
                <w:rFonts w:ascii="Calibri" w:eastAsia="Times New Roman" w:hAnsi="Calibri" w:cs="Calibri"/>
                <w:color w:val="000000"/>
                <w:sz w:val="16"/>
                <w:szCs w:val="16"/>
              </w:rPr>
              <w:t>ine</w:t>
            </w:r>
            <w:r w:rsidRPr="00BF2655">
              <w:rPr>
                <w:rFonts w:ascii="Calibri" w:eastAsia="Times New Roman" w:hAnsi="Calibri" w:cs="Calibri"/>
                <w:color w:val="000000"/>
                <w:sz w:val="16"/>
                <w:szCs w:val="16"/>
              </w:rPr>
              <w:t>,</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computer manufacture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25%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25 Elec</w:t>
            </w:r>
            <w:r w:rsidRPr="00F20179">
              <w:rPr>
                <w:rFonts w:ascii="Calibri" w:eastAsia="Times New Roman" w:hAnsi="Calibri" w:cs="Calibri"/>
                <w:color w:val="000000"/>
                <w:sz w:val="16"/>
                <w:szCs w:val="16"/>
              </w:rPr>
              <w:t>trical</w:t>
            </w:r>
            <w:r w:rsidRPr="00BF2655">
              <w:rPr>
                <w:rFonts w:ascii="Calibri" w:eastAsia="Times New Roman" w:hAnsi="Calibri" w:cs="Calibri"/>
                <w:color w:val="000000"/>
                <w:sz w:val="16"/>
                <w:szCs w:val="16"/>
              </w:rPr>
              <w:t xml:space="preserve"> mach</w:t>
            </w:r>
            <w:r w:rsidRPr="00F20179">
              <w:rPr>
                <w:rFonts w:ascii="Calibri" w:eastAsia="Times New Roman" w:hAnsi="Calibri" w:cs="Calibri"/>
                <w:color w:val="000000"/>
                <w:sz w:val="16"/>
                <w:szCs w:val="16"/>
              </w:rPr>
              <w:t>inery</w:t>
            </w:r>
            <w:r w:rsidRPr="00BF2655">
              <w:rPr>
                <w:rFonts w:ascii="Calibri" w:eastAsia="Times New Roman" w:hAnsi="Calibri" w:cs="Calibri"/>
                <w:color w:val="000000"/>
                <w:sz w:val="16"/>
                <w:szCs w:val="16"/>
              </w:rPr>
              <w:t>,</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eq</w:t>
            </w:r>
            <w:r w:rsidRPr="00F20179">
              <w:rPr>
                <w:rFonts w:ascii="Calibri" w:eastAsia="Times New Roman" w:hAnsi="Calibri" w:cs="Calibri"/>
                <w:color w:val="000000"/>
                <w:sz w:val="16"/>
                <w:szCs w:val="16"/>
              </w:rPr>
              <w:t>uipment</w:t>
            </w:r>
            <w:r w:rsidRPr="00BF2655">
              <w:rPr>
                <w:rFonts w:ascii="Calibri" w:eastAsia="Times New Roman" w:hAnsi="Calibri" w:cs="Calibri"/>
                <w:color w:val="000000"/>
                <w:sz w:val="16"/>
                <w:szCs w:val="16"/>
              </w:rPr>
              <w:t xml:space="preserve"> manufacture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10% and &lt; 15%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26 Radio,</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TV,</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communication eq</w:t>
            </w:r>
            <w:r w:rsidRPr="00F20179">
              <w:rPr>
                <w:rFonts w:ascii="Calibri" w:eastAsia="Times New Roman" w:hAnsi="Calibri" w:cs="Calibri"/>
                <w:color w:val="000000"/>
                <w:sz w:val="16"/>
                <w:szCs w:val="16"/>
              </w:rPr>
              <w:t>uipmen</w:t>
            </w:r>
            <w:r w:rsidRPr="00BF2655">
              <w:rPr>
                <w:rFonts w:ascii="Calibri" w:eastAsia="Times New Roman" w:hAnsi="Calibri" w:cs="Calibri"/>
                <w:color w:val="000000"/>
                <w:sz w:val="16"/>
                <w:szCs w:val="16"/>
              </w:rPr>
              <w:t>t man</w:t>
            </w:r>
            <w:r w:rsidRPr="00F20179">
              <w:rPr>
                <w:rFonts w:ascii="Calibri" w:eastAsia="Times New Roman" w:hAnsi="Calibri" w:cs="Calibri"/>
                <w:color w:val="000000"/>
                <w:sz w:val="16"/>
                <w:szCs w:val="16"/>
              </w:rPr>
              <w:t>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10% and &lt; 15%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27 Medical,</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precision,</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optical eq</w:t>
            </w:r>
            <w:r w:rsidRPr="00F20179">
              <w:rPr>
                <w:rFonts w:ascii="Calibri" w:eastAsia="Times New Roman" w:hAnsi="Calibri" w:cs="Calibri"/>
                <w:color w:val="000000"/>
                <w:sz w:val="16"/>
                <w:szCs w:val="16"/>
              </w:rPr>
              <w:t>uipmen</w:t>
            </w:r>
            <w:r w:rsidRPr="00BF2655">
              <w:rPr>
                <w:rFonts w:ascii="Calibri" w:eastAsia="Times New Roman" w:hAnsi="Calibri" w:cs="Calibri"/>
                <w:color w:val="000000"/>
                <w:sz w:val="16"/>
                <w:szCs w:val="16"/>
              </w:rPr>
              <w:t>t man</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15% and &lt; 20%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28 Motor veh</w:t>
            </w:r>
            <w:r w:rsidRPr="00F20179">
              <w:rPr>
                <w:rFonts w:ascii="Calibri" w:eastAsia="Times New Roman" w:hAnsi="Calibri" w:cs="Calibri"/>
                <w:color w:val="000000"/>
                <w:sz w:val="16"/>
                <w:szCs w:val="16"/>
              </w:rPr>
              <w:t>icles</w:t>
            </w:r>
            <w:r w:rsidRPr="00BF2655">
              <w:rPr>
                <w:rFonts w:ascii="Calibri" w:eastAsia="Times New Roman" w:hAnsi="Calibri" w:cs="Calibri"/>
                <w:color w:val="000000"/>
                <w:sz w:val="16"/>
                <w:szCs w:val="16"/>
              </w:rPr>
              <w:t>,</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trailer,</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etc</w:t>
            </w:r>
            <w:r w:rsidRPr="00F20179">
              <w:rPr>
                <w:rFonts w:ascii="Calibri" w:eastAsia="Times New Roman" w:hAnsi="Calibri" w:cs="Calibri"/>
                <w:color w:val="000000"/>
                <w:sz w:val="16"/>
                <w:szCs w:val="16"/>
              </w:rPr>
              <w:t>.</w:t>
            </w:r>
            <w:r w:rsidRPr="00BF2655">
              <w:rPr>
                <w:rFonts w:ascii="Calibri" w:eastAsia="Times New Roman" w:hAnsi="Calibri" w:cs="Calibri"/>
                <w:color w:val="000000"/>
                <w:sz w:val="16"/>
                <w:szCs w:val="16"/>
              </w:rPr>
              <w:t xml:space="preserve"> manufacture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29 Other transport eq</w:t>
            </w:r>
            <w:r w:rsidRPr="00F20179">
              <w:rPr>
                <w:rFonts w:ascii="Calibri" w:eastAsia="Times New Roman" w:hAnsi="Calibri" w:cs="Calibri"/>
                <w:color w:val="000000"/>
                <w:sz w:val="16"/>
                <w:szCs w:val="16"/>
              </w:rPr>
              <w:t>uipmen</w:t>
            </w:r>
            <w:r w:rsidRPr="00BF2655">
              <w:rPr>
                <w:rFonts w:ascii="Calibri" w:eastAsia="Times New Roman" w:hAnsi="Calibri" w:cs="Calibri"/>
                <w:color w:val="000000"/>
                <w:sz w:val="16"/>
                <w:szCs w:val="16"/>
              </w:rPr>
              <w:t>t manufacture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10% and &lt; 15%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30 Furniture etc</w:t>
            </w:r>
            <w:r w:rsidRPr="00F20179">
              <w:rPr>
                <w:rFonts w:ascii="Calibri" w:eastAsia="Times New Roman" w:hAnsi="Calibri" w:cs="Calibri"/>
                <w:color w:val="000000"/>
                <w:sz w:val="16"/>
                <w:szCs w:val="16"/>
              </w:rPr>
              <w:t>.</w:t>
            </w:r>
            <w:r w:rsidRPr="00BF2655">
              <w:rPr>
                <w:rFonts w:ascii="Calibri" w:eastAsia="Times New Roman" w:hAnsi="Calibri" w:cs="Calibri"/>
                <w:color w:val="000000"/>
                <w:sz w:val="16"/>
                <w:szCs w:val="16"/>
              </w:rPr>
              <w:t xml:space="preserve"> manufacture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31 Recycling</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 xml:space="preserve">32 </w:t>
            </w:r>
            <w:r w:rsidR="006A043A" w:rsidRPr="00BF2655">
              <w:rPr>
                <w:rFonts w:ascii="Calibri" w:eastAsia="Times New Roman" w:hAnsi="Calibri" w:cs="Calibri"/>
                <w:color w:val="000000"/>
                <w:sz w:val="16"/>
                <w:szCs w:val="16"/>
              </w:rPr>
              <w:t>Elec</w:t>
            </w:r>
            <w:r w:rsidR="006A043A">
              <w:rPr>
                <w:rFonts w:ascii="Calibri" w:eastAsia="Times New Roman" w:hAnsi="Calibri" w:cs="Calibri"/>
                <w:color w:val="000000"/>
                <w:sz w:val="16"/>
                <w:szCs w:val="16"/>
              </w:rPr>
              <w:t>tricity</w:t>
            </w:r>
            <w:r w:rsidRPr="00BF2655">
              <w:rPr>
                <w:rFonts w:ascii="Calibri" w:eastAsia="Times New Roman" w:hAnsi="Calibri" w:cs="Calibri"/>
                <w:color w:val="000000"/>
                <w:sz w:val="16"/>
                <w:szCs w:val="16"/>
              </w:rPr>
              <w:t>,</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gas,</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steam etc</w:t>
            </w:r>
            <w:r w:rsidRPr="00F20179">
              <w:rPr>
                <w:rFonts w:ascii="Calibri" w:eastAsia="Times New Roman" w:hAnsi="Calibri" w:cs="Calibri"/>
                <w:color w:val="000000"/>
                <w:sz w:val="16"/>
                <w:szCs w:val="16"/>
              </w:rPr>
              <w:t>.</w:t>
            </w:r>
            <w:r w:rsidRPr="00BF2655">
              <w:rPr>
                <w:rFonts w:ascii="Calibri" w:eastAsia="Times New Roman" w:hAnsi="Calibri" w:cs="Calibri"/>
                <w:color w:val="000000"/>
                <w:sz w:val="16"/>
                <w:szCs w:val="16"/>
              </w:rPr>
              <w:t xml:space="preserve"> supply</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15% and &lt; 20%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4</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33 Water collection,</w:t>
            </w:r>
            <w:r w:rsidRPr="00F20179">
              <w:rPr>
                <w:rFonts w:ascii="Calibri" w:eastAsia="Times New Roman" w:hAnsi="Calibri" w:cs="Calibri"/>
                <w:color w:val="000000"/>
                <w:sz w:val="16"/>
                <w:szCs w:val="16"/>
              </w:rPr>
              <w:t xml:space="preserve"> p</w:t>
            </w:r>
            <w:r w:rsidRPr="00BF2655">
              <w:rPr>
                <w:rFonts w:ascii="Calibri" w:eastAsia="Times New Roman" w:hAnsi="Calibri" w:cs="Calibri"/>
                <w:color w:val="000000"/>
                <w:sz w:val="16"/>
                <w:szCs w:val="16"/>
              </w:rPr>
              <w:t>urif</w:t>
            </w:r>
            <w:r w:rsidRPr="00F20179">
              <w:rPr>
                <w:rFonts w:ascii="Calibri" w:eastAsia="Times New Roman" w:hAnsi="Calibri" w:cs="Calibri"/>
                <w:color w:val="000000"/>
                <w:sz w:val="16"/>
                <w:szCs w:val="16"/>
              </w:rPr>
              <w:t>ication</w:t>
            </w:r>
            <w:r w:rsidRPr="00BF2655">
              <w:rPr>
                <w:rFonts w:ascii="Calibri" w:eastAsia="Times New Roman" w:hAnsi="Calibri" w:cs="Calibri"/>
                <w:color w:val="000000"/>
                <w:sz w:val="16"/>
                <w:szCs w:val="16"/>
              </w:rPr>
              <w:t>,</w:t>
            </w:r>
            <w:r w:rsidRPr="00F20179">
              <w:rPr>
                <w:rFonts w:ascii="Calibri" w:eastAsia="Times New Roman" w:hAnsi="Calibri" w:cs="Calibri"/>
                <w:color w:val="000000"/>
                <w:sz w:val="16"/>
                <w:szCs w:val="16"/>
              </w:rPr>
              <w:t xml:space="preserve"> s</w:t>
            </w:r>
            <w:r w:rsidRPr="00BF2655">
              <w:rPr>
                <w:rFonts w:ascii="Calibri" w:eastAsia="Times New Roman" w:hAnsi="Calibri" w:cs="Calibri"/>
                <w:color w:val="000000"/>
                <w:sz w:val="16"/>
                <w:szCs w:val="16"/>
              </w:rPr>
              <w:t>upply etc</w:t>
            </w:r>
            <w:r w:rsidRPr="00F20179">
              <w:rPr>
                <w:rFonts w:ascii="Calibri" w:eastAsia="Times New Roman" w:hAnsi="Calibri" w:cs="Calibri"/>
                <w:color w:val="000000"/>
                <w:sz w:val="16"/>
                <w:szCs w:val="16"/>
              </w:rPr>
              <w:t>.</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25%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4</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34 Construction</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5</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35 Sales of motor veh</w:t>
            </w:r>
            <w:r w:rsidRPr="00F20179">
              <w:rPr>
                <w:rFonts w:ascii="Calibri" w:eastAsia="Times New Roman" w:hAnsi="Calibri" w:cs="Calibri"/>
                <w:color w:val="000000"/>
                <w:sz w:val="16"/>
                <w:szCs w:val="16"/>
              </w:rPr>
              <w:t>icle</w:t>
            </w:r>
            <w:r w:rsidRPr="00BF2655">
              <w:rPr>
                <w:rFonts w:ascii="Calibri" w:eastAsia="Times New Roman" w:hAnsi="Calibri" w:cs="Calibri"/>
                <w:color w:val="000000"/>
                <w:sz w:val="16"/>
                <w:szCs w:val="16"/>
              </w:rPr>
              <w:t>s,</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parts,</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fuel etc</w:t>
            </w:r>
            <w:r w:rsidRPr="00F20179">
              <w:rPr>
                <w:rFonts w:ascii="Calibri" w:eastAsia="Times New Roman" w:hAnsi="Calibri" w:cs="Calibri"/>
                <w:color w:val="000000"/>
                <w:sz w:val="16"/>
                <w:szCs w:val="16"/>
              </w:rPr>
              <w:t>.</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Less than 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6</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36 W</w:t>
            </w:r>
            <w:r w:rsidRPr="00F20179">
              <w:rPr>
                <w:rFonts w:ascii="Calibri" w:eastAsia="Times New Roman" w:hAnsi="Calibri" w:cs="Calibri"/>
                <w:color w:val="000000"/>
                <w:sz w:val="16"/>
                <w:szCs w:val="16"/>
              </w:rPr>
              <w:t>hole</w:t>
            </w:r>
            <w:r w:rsidRPr="00BF2655">
              <w:rPr>
                <w:rFonts w:ascii="Calibri" w:eastAsia="Times New Roman" w:hAnsi="Calibri" w:cs="Calibri"/>
                <w:color w:val="000000"/>
                <w:sz w:val="16"/>
                <w:szCs w:val="16"/>
              </w:rPr>
              <w:t>sale,</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commiss</w:t>
            </w:r>
            <w:r w:rsidRPr="00F20179">
              <w:rPr>
                <w:rFonts w:ascii="Calibri" w:eastAsia="Times New Roman" w:hAnsi="Calibri" w:cs="Calibri"/>
                <w:color w:val="000000"/>
                <w:sz w:val="16"/>
                <w:szCs w:val="16"/>
              </w:rPr>
              <w:t>ion</w:t>
            </w:r>
            <w:r w:rsidRPr="00BF2655">
              <w:rPr>
                <w:rFonts w:ascii="Calibri" w:eastAsia="Times New Roman" w:hAnsi="Calibri" w:cs="Calibri"/>
                <w:color w:val="000000"/>
                <w:sz w:val="16"/>
                <w:szCs w:val="16"/>
              </w:rPr>
              <w:t xml:space="preserve"> trade (fee,</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contract)</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6</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37 Retail trade (not motor veh</w:t>
            </w:r>
            <w:r w:rsidRPr="00F20179">
              <w:rPr>
                <w:rFonts w:ascii="Calibri" w:eastAsia="Times New Roman" w:hAnsi="Calibri" w:cs="Calibri"/>
                <w:color w:val="000000"/>
                <w:sz w:val="16"/>
                <w:szCs w:val="16"/>
              </w:rPr>
              <w:t>icles</w:t>
            </w:r>
            <w:r w:rsidRPr="00BF2655">
              <w:rPr>
                <w:rFonts w:ascii="Calibri" w:eastAsia="Times New Roman" w:hAnsi="Calibri" w:cs="Calibri"/>
                <w:color w:val="000000"/>
                <w:sz w:val="16"/>
                <w:szCs w:val="16"/>
              </w:rPr>
              <w:t>) repairs</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Low</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6</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38 Hotels,</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restaurants</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Low</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Less than 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7</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39 Transport by land,</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pipeline</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Less than 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8</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40 Water transport</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9</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41 Air transport</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15% and &lt; 20%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9</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42 Aux</w:t>
            </w:r>
            <w:r w:rsidRPr="00F20179">
              <w:rPr>
                <w:rFonts w:ascii="Calibri" w:eastAsia="Times New Roman" w:hAnsi="Calibri" w:cs="Calibri"/>
                <w:color w:val="000000"/>
                <w:sz w:val="16"/>
                <w:szCs w:val="16"/>
              </w:rPr>
              <w:t>iliary</w:t>
            </w:r>
            <w:r w:rsidRPr="00BF2655">
              <w:rPr>
                <w:rFonts w:ascii="Calibri" w:eastAsia="Times New Roman" w:hAnsi="Calibri" w:cs="Calibri"/>
                <w:color w:val="000000"/>
                <w:sz w:val="16"/>
                <w:szCs w:val="16"/>
              </w:rPr>
              <w:t xml:space="preserve"> transport activ</w:t>
            </w:r>
            <w:r w:rsidRPr="00F20179">
              <w:rPr>
                <w:rFonts w:ascii="Calibri" w:eastAsia="Times New Roman" w:hAnsi="Calibri" w:cs="Calibri"/>
                <w:color w:val="000000"/>
                <w:sz w:val="16"/>
                <w:szCs w:val="16"/>
              </w:rPr>
              <w:t>ities</w:t>
            </w:r>
            <w:r w:rsidRPr="00BF2655">
              <w:rPr>
                <w:rFonts w:ascii="Calibri" w:eastAsia="Times New Roman" w:hAnsi="Calibri" w:cs="Calibri"/>
                <w:color w:val="000000"/>
                <w:sz w:val="16"/>
                <w:szCs w:val="16"/>
              </w:rPr>
              <w:t>,</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travel agents</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9</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43 Post,</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telecommunications</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9</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44 Financ</w:t>
            </w:r>
            <w:r w:rsidRPr="00F20179">
              <w:rPr>
                <w:rFonts w:ascii="Calibri" w:eastAsia="Times New Roman" w:hAnsi="Calibri" w:cs="Calibri"/>
                <w:color w:val="000000"/>
                <w:sz w:val="16"/>
                <w:szCs w:val="16"/>
              </w:rPr>
              <w:t>ia</w:t>
            </w:r>
            <w:r w:rsidRPr="00BF2655">
              <w:rPr>
                <w:rFonts w:ascii="Calibri" w:eastAsia="Times New Roman" w:hAnsi="Calibri" w:cs="Calibri"/>
                <w:color w:val="000000"/>
                <w:sz w:val="16"/>
                <w:szCs w:val="16"/>
              </w:rPr>
              <w:t>l intermed</w:t>
            </w:r>
            <w:r w:rsidRPr="00F20179">
              <w:rPr>
                <w:rFonts w:ascii="Calibri" w:eastAsia="Times New Roman" w:hAnsi="Calibri" w:cs="Calibri"/>
                <w:color w:val="000000"/>
                <w:sz w:val="16"/>
                <w:szCs w:val="16"/>
              </w:rPr>
              <w:t>iaries</w:t>
            </w:r>
            <w:r w:rsidRPr="00BF2655">
              <w:rPr>
                <w:rFonts w:ascii="Calibri" w:eastAsia="Times New Roman" w:hAnsi="Calibri" w:cs="Calibri"/>
                <w:color w:val="000000"/>
                <w:sz w:val="16"/>
                <w:szCs w:val="16"/>
              </w:rPr>
              <w:t>(not insur</w:t>
            </w:r>
            <w:r w:rsidRPr="00F20179">
              <w:rPr>
                <w:rFonts w:ascii="Calibri" w:eastAsia="Times New Roman" w:hAnsi="Calibri" w:cs="Calibri"/>
                <w:color w:val="000000"/>
                <w:sz w:val="16"/>
                <w:szCs w:val="16"/>
              </w:rPr>
              <w:t>ance</w:t>
            </w:r>
            <w:r w:rsidRPr="00BF2655">
              <w:rPr>
                <w:rFonts w:ascii="Calibri" w:eastAsia="Times New Roman" w:hAnsi="Calibri" w:cs="Calibri"/>
                <w:color w:val="000000"/>
                <w:sz w:val="16"/>
                <w:szCs w:val="16"/>
              </w:rPr>
              <w:t>,</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pens</w:t>
            </w:r>
            <w:r w:rsidRPr="00F20179">
              <w:rPr>
                <w:rFonts w:ascii="Calibri" w:eastAsia="Times New Roman" w:hAnsi="Calibri" w:cs="Calibri"/>
                <w:color w:val="000000"/>
                <w:sz w:val="16"/>
                <w:szCs w:val="16"/>
              </w:rPr>
              <w:t>io</w:t>
            </w:r>
            <w:r w:rsidRPr="00BF2655">
              <w:rPr>
                <w:rFonts w:ascii="Calibri" w:eastAsia="Times New Roman" w:hAnsi="Calibri" w:cs="Calibri"/>
                <w:color w:val="000000"/>
                <w:sz w:val="16"/>
                <w:szCs w:val="16"/>
              </w:rPr>
              <w:t>n</w:t>
            </w:r>
            <w:r w:rsidRPr="00F20179">
              <w:rPr>
                <w:rFonts w:ascii="Calibri" w:eastAsia="Times New Roman" w:hAnsi="Calibri" w:cs="Calibri"/>
                <w:color w:val="000000"/>
                <w:sz w:val="16"/>
                <w:szCs w:val="16"/>
              </w:rPr>
              <w:t>s</w:t>
            </w:r>
            <w:r w:rsidRPr="00BF2655">
              <w:rPr>
                <w:rFonts w:ascii="Calibri" w:eastAsia="Times New Roman" w:hAnsi="Calibri" w:cs="Calibri"/>
                <w:color w:val="000000"/>
                <w:sz w:val="16"/>
                <w:szCs w:val="16"/>
              </w:rPr>
              <w:t>)</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15% and &lt; 20%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10</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45 Insurance,</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pensions (not Social Sec</w:t>
            </w:r>
            <w:r w:rsidRPr="00F20179">
              <w:rPr>
                <w:rFonts w:ascii="Calibri" w:eastAsia="Times New Roman" w:hAnsi="Calibri" w:cs="Calibri"/>
                <w:color w:val="000000"/>
                <w:sz w:val="16"/>
                <w:szCs w:val="16"/>
              </w:rPr>
              <w:t>urity</w:t>
            </w:r>
            <w:r w:rsidRPr="00BF2655">
              <w:rPr>
                <w:rFonts w:ascii="Calibri" w:eastAsia="Times New Roman" w:hAnsi="Calibri" w:cs="Calibri"/>
                <w:color w:val="000000"/>
                <w:sz w:val="16"/>
                <w:szCs w:val="16"/>
              </w:rPr>
              <w:t>)</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15% and &lt; 20%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10</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46 Other financial (not insur</w:t>
            </w:r>
            <w:r w:rsidRPr="00F20179">
              <w:rPr>
                <w:rFonts w:ascii="Calibri" w:eastAsia="Times New Roman" w:hAnsi="Calibri" w:cs="Calibri"/>
                <w:color w:val="000000"/>
                <w:sz w:val="16"/>
                <w:szCs w:val="16"/>
              </w:rPr>
              <w:t>ance</w:t>
            </w:r>
            <w:r w:rsidRPr="00BF2655">
              <w:rPr>
                <w:rFonts w:ascii="Calibri" w:eastAsia="Times New Roman" w:hAnsi="Calibri" w:cs="Calibri"/>
                <w:color w:val="000000"/>
                <w:sz w:val="16"/>
                <w:szCs w:val="16"/>
              </w:rPr>
              <w:t>,</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pens</w:t>
            </w:r>
            <w:r w:rsidRPr="00F20179">
              <w:rPr>
                <w:rFonts w:ascii="Calibri" w:eastAsia="Times New Roman" w:hAnsi="Calibri" w:cs="Calibri"/>
                <w:color w:val="000000"/>
                <w:sz w:val="16"/>
                <w:szCs w:val="16"/>
              </w:rPr>
              <w:t>io</w:t>
            </w:r>
            <w:r w:rsidRPr="00BF2655">
              <w:rPr>
                <w:rFonts w:ascii="Calibri" w:eastAsia="Times New Roman" w:hAnsi="Calibri" w:cs="Calibri"/>
                <w:color w:val="000000"/>
                <w:sz w:val="16"/>
                <w:szCs w:val="16"/>
              </w:rPr>
              <w:t>n</w:t>
            </w:r>
            <w:r w:rsidRPr="00F20179">
              <w:rPr>
                <w:rFonts w:ascii="Calibri" w:eastAsia="Times New Roman" w:hAnsi="Calibri" w:cs="Calibri"/>
                <w:color w:val="000000"/>
                <w:sz w:val="16"/>
                <w:szCs w:val="16"/>
              </w:rPr>
              <w:t>s</w:t>
            </w:r>
            <w:r w:rsidRPr="00BF2655">
              <w:rPr>
                <w:rFonts w:ascii="Calibri" w:eastAsia="Times New Roman" w:hAnsi="Calibri" w:cs="Calibri"/>
                <w:color w:val="000000"/>
                <w:sz w:val="16"/>
                <w:szCs w:val="16"/>
              </w:rPr>
              <w:t>)</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15% and &lt; 20%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10</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47 Real estate activities</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20% and &lt; 25%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11</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bottom"/>
            <w:hideMark/>
          </w:tcPr>
          <w:p w:rsidR="00F23B08" w:rsidRPr="00BF2655" w:rsidRDefault="00F23B08" w:rsidP="00F20179">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lastRenderedPageBreak/>
              <w:t>48 Personal,</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h</w:t>
            </w:r>
            <w:r w:rsidRPr="00F20179">
              <w:rPr>
                <w:rFonts w:ascii="Calibri" w:eastAsia="Times New Roman" w:hAnsi="Calibri" w:cs="Calibri"/>
                <w:color w:val="000000"/>
                <w:sz w:val="16"/>
                <w:szCs w:val="16"/>
              </w:rPr>
              <w:t>ouse</w:t>
            </w:r>
            <w:r w:rsidRPr="00BF2655">
              <w:rPr>
                <w:rFonts w:ascii="Calibri" w:eastAsia="Times New Roman" w:hAnsi="Calibri" w:cs="Calibri"/>
                <w:color w:val="000000"/>
                <w:sz w:val="16"/>
                <w:szCs w:val="16"/>
              </w:rPr>
              <w:t>h</w:t>
            </w:r>
            <w:r w:rsidRPr="00F20179">
              <w:rPr>
                <w:rFonts w:ascii="Calibri" w:eastAsia="Times New Roman" w:hAnsi="Calibri" w:cs="Calibri"/>
                <w:color w:val="000000"/>
                <w:sz w:val="16"/>
                <w:szCs w:val="16"/>
              </w:rPr>
              <w:t>o</w:t>
            </w:r>
            <w:r w:rsidRPr="00BF2655">
              <w:rPr>
                <w:rFonts w:ascii="Calibri" w:eastAsia="Times New Roman" w:hAnsi="Calibri" w:cs="Calibri"/>
                <w:color w:val="000000"/>
                <w:sz w:val="16"/>
                <w:szCs w:val="16"/>
              </w:rPr>
              <w:t>ld,</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mach</w:t>
            </w:r>
            <w:r w:rsidRPr="00F20179">
              <w:rPr>
                <w:rFonts w:ascii="Calibri" w:eastAsia="Times New Roman" w:hAnsi="Calibri" w:cs="Calibri"/>
                <w:color w:val="000000"/>
                <w:sz w:val="16"/>
                <w:szCs w:val="16"/>
              </w:rPr>
              <w:t>inery and e</w:t>
            </w:r>
            <w:r w:rsidRPr="00BF2655">
              <w:rPr>
                <w:rFonts w:ascii="Calibri" w:eastAsia="Times New Roman" w:hAnsi="Calibri" w:cs="Calibri"/>
                <w:color w:val="000000"/>
                <w:sz w:val="16"/>
                <w:szCs w:val="16"/>
              </w:rPr>
              <w:t>q</w:t>
            </w:r>
            <w:r w:rsidRPr="00F20179">
              <w:rPr>
                <w:rFonts w:ascii="Calibri" w:eastAsia="Times New Roman" w:hAnsi="Calibri" w:cs="Calibri"/>
                <w:color w:val="000000"/>
                <w:sz w:val="16"/>
                <w:szCs w:val="16"/>
              </w:rPr>
              <w:t>uipmen</w:t>
            </w:r>
            <w:r w:rsidRPr="00BF2655">
              <w:rPr>
                <w:rFonts w:ascii="Calibri" w:eastAsia="Times New Roman" w:hAnsi="Calibri" w:cs="Calibri"/>
                <w:color w:val="000000"/>
                <w:sz w:val="16"/>
                <w:szCs w:val="16"/>
              </w:rPr>
              <w:t>t rental</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5% and &lt; 10%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12</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49 Computer,</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related acti</w:t>
            </w:r>
            <w:r w:rsidRPr="00F20179">
              <w:rPr>
                <w:rFonts w:ascii="Calibri" w:eastAsia="Times New Roman" w:hAnsi="Calibri" w:cs="Calibri"/>
                <w:color w:val="000000"/>
                <w:sz w:val="16"/>
                <w:szCs w:val="16"/>
              </w:rPr>
              <w:t>vi</w:t>
            </w:r>
            <w:r w:rsidRPr="00BF2655">
              <w:rPr>
                <w:rFonts w:ascii="Calibri" w:eastAsia="Times New Roman" w:hAnsi="Calibri" w:cs="Calibri"/>
                <w:color w:val="000000"/>
                <w:sz w:val="16"/>
                <w:szCs w:val="16"/>
              </w:rPr>
              <w:t>ties</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25%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50 Research,</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development</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25%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51 Other business activities</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High</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25%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13</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52 Public admin,</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defence,</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social security</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15% and &lt; 20%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14</w:t>
            </w:r>
          </w:p>
        </w:tc>
      </w:tr>
      <w:tr w:rsidR="00F23B08" w:rsidRPr="00F20179" w:rsidTr="00501B58">
        <w:trPr>
          <w:trHeight w:val="288"/>
        </w:trPr>
        <w:tc>
          <w:tcPr>
            <w:tcW w:w="3760" w:type="dxa"/>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 xml:space="preserve">53 </w:t>
            </w:r>
            <w:r w:rsidRPr="00F20179">
              <w:rPr>
                <w:rFonts w:ascii="Calibri" w:eastAsia="Times New Roman" w:hAnsi="Calibri" w:cs="Calibri"/>
                <w:color w:val="000000"/>
                <w:sz w:val="16"/>
                <w:szCs w:val="16"/>
              </w:rPr>
              <w:t>E</w:t>
            </w:r>
            <w:r w:rsidRPr="00BF2655">
              <w:rPr>
                <w:rFonts w:ascii="Calibri" w:eastAsia="Times New Roman" w:hAnsi="Calibri" w:cs="Calibri"/>
                <w:color w:val="000000"/>
                <w:sz w:val="16"/>
                <w:szCs w:val="16"/>
              </w:rPr>
              <w:t>duc</w:t>
            </w:r>
            <w:r w:rsidRPr="00F20179">
              <w:rPr>
                <w:rFonts w:ascii="Calibri" w:eastAsia="Times New Roman" w:hAnsi="Calibri" w:cs="Calibri"/>
                <w:color w:val="000000"/>
                <w:sz w:val="16"/>
                <w:szCs w:val="16"/>
              </w:rPr>
              <w:t>ation</w:t>
            </w:r>
          </w:p>
        </w:tc>
        <w:tc>
          <w:tcPr>
            <w:tcW w:w="222" w:type="dxa"/>
            <w:tcBorders>
              <w:top w:val="nil"/>
              <w:left w:val="nil"/>
              <w:bottom w:val="nil"/>
              <w:right w:val="nil"/>
            </w:tcBorders>
            <w:shd w:val="clear" w:color="auto" w:fill="auto"/>
            <w:noWrap/>
            <w:vAlign w:val="center"/>
            <w:hideMark/>
          </w:tcPr>
          <w:p w:rsidR="00F23B08" w:rsidRPr="00BF2655" w:rsidRDefault="00F23B08" w:rsidP="00F23B08">
            <w:pPr>
              <w:spacing w:after="0" w:line="240" w:lineRule="auto"/>
              <w:rPr>
                <w:rFonts w:ascii="Calibri" w:eastAsia="Times New Roman" w:hAnsi="Calibri" w:cs="Calibri"/>
                <w:color w:val="000000"/>
                <w:sz w:val="16"/>
                <w:szCs w:val="16"/>
              </w:rPr>
            </w:pP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25%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15</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54 Health,</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social work</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10% and &lt; 15%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16</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55 Sanitation,</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sewage,</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refuse disposal etc</w:t>
            </w:r>
            <w:r w:rsidRPr="00F20179">
              <w:rPr>
                <w:rFonts w:ascii="Calibri" w:eastAsia="Times New Roman" w:hAnsi="Calibri" w:cs="Calibri"/>
                <w:color w:val="000000"/>
                <w:sz w:val="16"/>
                <w:szCs w:val="16"/>
              </w:rPr>
              <w:t>.</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10% and &lt; 15%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17</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56 Activ</w:t>
            </w:r>
            <w:r w:rsidRPr="00F20179">
              <w:rPr>
                <w:rFonts w:ascii="Calibri" w:eastAsia="Times New Roman" w:hAnsi="Calibri" w:cs="Calibri"/>
                <w:color w:val="000000"/>
                <w:sz w:val="16"/>
                <w:szCs w:val="16"/>
              </w:rPr>
              <w:t>ities</w:t>
            </w:r>
            <w:r w:rsidRPr="00BF2655">
              <w:rPr>
                <w:rFonts w:ascii="Calibri" w:eastAsia="Times New Roman" w:hAnsi="Calibri" w:cs="Calibri"/>
                <w:color w:val="000000"/>
                <w:sz w:val="16"/>
                <w:szCs w:val="16"/>
              </w:rPr>
              <w:t xml:space="preserve"> of membership organisations</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25%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17</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57 Recreational,</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cultural,</w:t>
            </w:r>
            <w:r w:rsidRPr="00F20179">
              <w:rPr>
                <w:rFonts w:ascii="Calibri" w:eastAsia="Times New Roman" w:hAnsi="Calibri" w:cs="Calibri"/>
                <w:color w:val="000000"/>
                <w:sz w:val="16"/>
                <w:szCs w:val="16"/>
              </w:rPr>
              <w:t xml:space="preserve"> </w:t>
            </w:r>
            <w:r w:rsidRPr="00BF2655">
              <w:rPr>
                <w:rFonts w:ascii="Calibri" w:eastAsia="Times New Roman" w:hAnsi="Calibri" w:cs="Calibri"/>
                <w:color w:val="000000"/>
                <w:sz w:val="16"/>
                <w:szCs w:val="16"/>
              </w:rPr>
              <w:t>sporting activ</w:t>
            </w:r>
            <w:r w:rsidRPr="00F20179">
              <w:rPr>
                <w:rFonts w:ascii="Calibri" w:eastAsia="Times New Roman" w:hAnsi="Calibri" w:cs="Calibri"/>
                <w:color w:val="000000"/>
                <w:sz w:val="16"/>
                <w:szCs w:val="16"/>
              </w:rPr>
              <w:t>ities</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20% and &lt; 25%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17</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58 Other service activities</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Less than 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17</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59 Private h</w:t>
            </w:r>
            <w:r w:rsidRPr="00F20179">
              <w:rPr>
                <w:rFonts w:ascii="Calibri" w:eastAsia="Times New Roman" w:hAnsi="Calibri" w:cs="Calibri"/>
                <w:color w:val="000000"/>
                <w:sz w:val="16"/>
                <w:szCs w:val="16"/>
              </w:rPr>
              <w:t>ouse</w:t>
            </w:r>
            <w:r w:rsidRPr="00BF2655">
              <w:rPr>
                <w:rFonts w:ascii="Calibri" w:eastAsia="Times New Roman" w:hAnsi="Calibri" w:cs="Calibri"/>
                <w:color w:val="000000"/>
                <w:sz w:val="16"/>
                <w:szCs w:val="16"/>
              </w:rPr>
              <w:t>h</w:t>
            </w:r>
            <w:r w:rsidRPr="00F20179">
              <w:rPr>
                <w:rFonts w:ascii="Calibri" w:eastAsia="Times New Roman" w:hAnsi="Calibri" w:cs="Calibri"/>
                <w:color w:val="000000"/>
                <w:sz w:val="16"/>
                <w:szCs w:val="16"/>
              </w:rPr>
              <w:t>o</w:t>
            </w:r>
            <w:r w:rsidRPr="00BF2655">
              <w:rPr>
                <w:rFonts w:ascii="Calibri" w:eastAsia="Times New Roman" w:hAnsi="Calibri" w:cs="Calibri"/>
                <w:color w:val="000000"/>
                <w:sz w:val="16"/>
                <w:szCs w:val="16"/>
              </w:rPr>
              <w:t>lds with employed persons</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6A043A"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Less than 5%</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17</w:t>
            </w:r>
          </w:p>
        </w:tc>
      </w:tr>
      <w:tr w:rsidR="00F23B08" w:rsidRPr="00F20179" w:rsidTr="00501B58">
        <w:trPr>
          <w:trHeight w:val="288"/>
        </w:trPr>
        <w:tc>
          <w:tcPr>
            <w:tcW w:w="3982" w:type="dxa"/>
            <w:gridSpan w:val="2"/>
            <w:tcBorders>
              <w:top w:val="nil"/>
              <w:left w:val="nil"/>
              <w:bottom w:val="nil"/>
              <w:right w:val="nil"/>
            </w:tcBorders>
            <w:shd w:val="clear" w:color="auto" w:fill="auto"/>
            <w:noWrap/>
            <w:vAlign w:val="center"/>
            <w:hideMark/>
          </w:tcPr>
          <w:p w:rsidR="00F23B08" w:rsidRPr="00BF2655" w:rsidRDefault="00F23B08" w:rsidP="00F23B08">
            <w:pPr>
              <w:spacing w:after="0" w:line="240" w:lineRule="auto"/>
              <w:ind w:left="333" w:hanging="284"/>
              <w:rPr>
                <w:rFonts w:ascii="Calibri" w:eastAsia="Times New Roman" w:hAnsi="Calibri" w:cs="Calibri"/>
                <w:color w:val="000000"/>
                <w:sz w:val="16"/>
                <w:szCs w:val="16"/>
              </w:rPr>
            </w:pPr>
            <w:r w:rsidRPr="00BF2655">
              <w:rPr>
                <w:rFonts w:ascii="Calibri" w:eastAsia="Times New Roman" w:hAnsi="Calibri" w:cs="Calibri"/>
                <w:color w:val="000000"/>
                <w:sz w:val="16"/>
                <w:szCs w:val="16"/>
              </w:rPr>
              <w:t>60 Extra-territorial organisations etc.</w:t>
            </w:r>
          </w:p>
        </w:tc>
        <w:tc>
          <w:tcPr>
            <w:tcW w:w="1136" w:type="dxa"/>
            <w:tcBorders>
              <w:top w:val="nil"/>
              <w:left w:val="nil"/>
              <w:bottom w:val="nil"/>
              <w:right w:val="nil"/>
            </w:tcBorders>
            <w:shd w:val="clear" w:color="auto" w:fill="auto"/>
            <w:vAlign w:val="center"/>
          </w:tcPr>
          <w:p w:rsidR="00F23B08" w:rsidRPr="00F20179" w:rsidRDefault="00F23B08"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Medium</w:t>
            </w:r>
          </w:p>
        </w:tc>
        <w:tc>
          <w:tcPr>
            <w:tcW w:w="1418" w:type="dxa"/>
            <w:tcBorders>
              <w:top w:val="nil"/>
              <w:left w:val="nil"/>
              <w:bottom w:val="nil"/>
              <w:right w:val="nil"/>
            </w:tcBorders>
            <w:shd w:val="clear" w:color="auto" w:fill="auto"/>
          </w:tcPr>
          <w:p w:rsidR="00F23B08" w:rsidRDefault="00BE47BD" w:rsidP="00F23B08">
            <w:pPr>
              <w:spacing w:after="0" w:line="240" w:lineRule="auto"/>
              <w:rPr>
                <w:rFonts w:ascii="Calibri" w:eastAsia="Times New Roman" w:hAnsi="Calibri" w:cs="Calibri"/>
                <w:color w:val="000000"/>
                <w:sz w:val="16"/>
                <w:szCs w:val="16"/>
              </w:rPr>
            </w:pPr>
            <w:r>
              <w:rPr>
                <w:rFonts w:ascii="Calibri" w:eastAsia="Times New Roman" w:hAnsi="Calibri" w:cs="Calibri"/>
                <w:color w:val="000000"/>
                <w:sz w:val="16"/>
                <w:szCs w:val="16"/>
              </w:rPr>
              <w:t>&gt; 15% and &lt; 20%</w:t>
            </w:r>
          </w:p>
        </w:tc>
        <w:tc>
          <w:tcPr>
            <w:tcW w:w="854" w:type="dxa"/>
            <w:tcBorders>
              <w:top w:val="nil"/>
              <w:left w:val="nil"/>
              <w:bottom w:val="nil"/>
              <w:right w:val="nil"/>
            </w:tcBorders>
            <w:shd w:val="clear" w:color="auto" w:fill="auto"/>
            <w:vAlign w:val="center"/>
          </w:tcPr>
          <w:p w:rsidR="00F23B08" w:rsidRDefault="00BE47BD" w:rsidP="00C66B93">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17</w:t>
            </w:r>
          </w:p>
        </w:tc>
      </w:tr>
    </w:tbl>
    <w:p w:rsidR="00F20179" w:rsidRPr="00BE47BD" w:rsidRDefault="00F20179" w:rsidP="00F20179">
      <w:pPr>
        <w:spacing w:after="0" w:line="240" w:lineRule="auto"/>
        <w:rPr>
          <w:rFonts w:eastAsia="Times New Roman"/>
        </w:rPr>
      </w:pPr>
    </w:p>
    <w:p w:rsidR="00BE47BD" w:rsidRPr="004137C3" w:rsidRDefault="00BE47BD" w:rsidP="00F20179">
      <w:pPr>
        <w:spacing w:after="0" w:line="240" w:lineRule="auto"/>
        <w:rPr>
          <w:rFonts w:eastAsia="Times New Roman"/>
          <w:i/>
        </w:rPr>
      </w:pPr>
      <w:r w:rsidRPr="004137C3">
        <w:rPr>
          <w:rFonts w:eastAsia="Times New Roman"/>
          <w:i/>
        </w:rPr>
        <w:t xml:space="preserve">Index to </w:t>
      </w:r>
      <w:r w:rsidR="00C66B93" w:rsidRPr="004137C3">
        <w:rPr>
          <w:rFonts w:eastAsia="Times New Roman"/>
          <w:i/>
        </w:rPr>
        <w:t>broad</w:t>
      </w:r>
      <w:r w:rsidRPr="004137C3">
        <w:rPr>
          <w:rFonts w:eastAsia="Times New Roman"/>
          <w:i/>
        </w:rPr>
        <w:t xml:space="preserve"> sector classification</w:t>
      </w:r>
    </w:p>
    <w:p w:rsidR="00BE47BD" w:rsidRPr="00BE47BD" w:rsidRDefault="00BE47BD" w:rsidP="00F20179">
      <w:pPr>
        <w:spacing w:after="0" w:line="240" w:lineRule="auto"/>
        <w:rPr>
          <w:rFonts w:eastAsia="Times New Roman"/>
        </w:rPr>
      </w:pPr>
    </w:p>
    <w:tbl>
      <w:tblPr>
        <w:tblW w:w="5402" w:type="dxa"/>
        <w:tblInd w:w="1816" w:type="dxa"/>
        <w:tblLook w:val="04A0" w:firstRow="1" w:lastRow="0" w:firstColumn="1" w:lastColumn="0" w:noHBand="0" w:noVBand="1"/>
      </w:tblPr>
      <w:tblGrid>
        <w:gridCol w:w="5402"/>
      </w:tblGrid>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1   Agriculture/fishing</w:t>
            </w:r>
          </w:p>
        </w:tc>
      </w:tr>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2   Mining and quarrying</w:t>
            </w:r>
          </w:p>
        </w:tc>
      </w:tr>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3   Manufacturing</w:t>
            </w:r>
          </w:p>
        </w:tc>
      </w:tr>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4   Electricity, gas and water</w:t>
            </w:r>
          </w:p>
        </w:tc>
      </w:tr>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5   Construction</w:t>
            </w:r>
          </w:p>
        </w:tc>
      </w:tr>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6   Wholesale/retail trade</w:t>
            </w:r>
          </w:p>
        </w:tc>
      </w:tr>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7   Hotels and restaurants</w:t>
            </w:r>
          </w:p>
        </w:tc>
      </w:tr>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8   Land transport</w:t>
            </w:r>
          </w:p>
        </w:tc>
      </w:tr>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9   Water and air transport and related</w:t>
            </w:r>
          </w:p>
        </w:tc>
      </w:tr>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10   Financial intermediation</w:t>
            </w:r>
          </w:p>
        </w:tc>
      </w:tr>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11   Real estate</w:t>
            </w:r>
          </w:p>
        </w:tc>
      </w:tr>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12   Equipment rentals</w:t>
            </w:r>
          </w:p>
        </w:tc>
      </w:tr>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13   Other business activities including research</w:t>
            </w:r>
          </w:p>
        </w:tc>
      </w:tr>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14   Public admin and defence</w:t>
            </w:r>
          </w:p>
        </w:tc>
      </w:tr>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15   Education</w:t>
            </w:r>
          </w:p>
        </w:tc>
      </w:tr>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16   Health and social work</w:t>
            </w:r>
          </w:p>
        </w:tc>
      </w:tr>
      <w:tr w:rsidR="00C66B93" w:rsidRPr="00C66B93" w:rsidTr="00C66B93">
        <w:trPr>
          <w:trHeight w:val="288"/>
        </w:trPr>
        <w:tc>
          <w:tcPr>
            <w:tcW w:w="5402" w:type="dxa"/>
            <w:tcBorders>
              <w:top w:val="nil"/>
              <w:left w:val="nil"/>
              <w:bottom w:val="nil"/>
              <w:right w:val="nil"/>
            </w:tcBorders>
            <w:shd w:val="clear" w:color="auto" w:fill="auto"/>
            <w:noWrap/>
            <w:vAlign w:val="bottom"/>
            <w:hideMark/>
          </w:tcPr>
          <w:p w:rsidR="00C66B93" w:rsidRPr="00C66B93" w:rsidRDefault="00C66B93" w:rsidP="00C66B93">
            <w:pPr>
              <w:spacing w:after="0" w:line="240" w:lineRule="auto"/>
              <w:rPr>
                <w:rFonts w:ascii="Calibri" w:eastAsia="Times New Roman" w:hAnsi="Calibri" w:cs="Calibri"/>
                <w:color w:val="000000"/>
                <w:sz w:val="16"/>
                <w:szCs w:val="16"/>
              </w:rPr>
            </w:pPr>
            <w:r w:rsidRPr="00C66B93">
              <w:rPr>
                <w:rFonts w:ascii="Calibri" w:eastAsia="Times New Roman" w:hAnsi="Calibri" w:cs="Calibri"/>
                <w:color w:val="000000"/>
                <w:sz w:val="16"/>
                <w:szCs w:val="16"/>
              </w:rPr>
              <w:t>17   Other activities</w:t>
            </w:r>
          </w:p>
        </w:tc>
      </w:tr>
    </w:tbl>
    <w:p w:rsidR="00BE47BD" w:rsidRPr="00BE47BD" w:rsidRDefault="00BE47BD" w:rsidP="00F20179">
      <w:pPr>
        <w:spacing w:after="0" w:line="240" w:lineRule="auto"/>
        <w:rPr>
          <w:rFonts w:eastAsia="Times New Roman"/>
        </w:rPr>
      </w:pPr>
    </w:p>
    <w:p w:rsidR="00F20179" w:rsidRDefault="00F20179">
      <w:pPr>
        <w:rPr>
          <w:rFonts w:eastAsia="Times New Roman"/>
          <w:b/>
        </w:rPr>
      </w:pPr>
      <w:r>
        <w:rPr>
          <w:rFonts w:eastAsia="Times New Roman"/>
          <w:b/>
        </w:rPr>
        <w:br w:type="page"/>
      </w:r>
    </w:p>
    <w:p w:rsidR="00F76E82" w:rsidRDefault="00F20179" w:rsidP="00F20179">
      <w:pPr>
        <w:spacing w:after="0" w:line="240" w:lineRule="auto"/>
        <w:rPr>
          <w:rFonts w:eastAsia="Times New Roman"/>
          <w:i/>
        </w:rPr>
      </w:pPr>
      <w:r w:rsidRPr="00F20179">
        <w:rPr>
          <w:rFonts w:eastAsia="Times New Roman"/>
          <w:i/>
        </w:rPr>
        <w:lastRenderedPageBreak/>
        <w:t>Means of variables in the regression equations</w:t>
      </w:r>
      <w:r w:rsidR="00DD30D6">
        <w:rPr>
          <w:rFonts w:eastAsia="Times New Roman"/>
          <w:i/>
        </w:rPr>
        <w:t xml:space="preserve"> (Tables 4, 5 and 6) </w:t>
      </w:r>
    </w:p>
    <w:p w:rsidR="00F20179" w:rsidRPr="00F20179" w:rsidRDefault="00F20179" w:rsidP="00F20179">
      <w:pPr>
        <w:spacing w:after="0" w:line="240" w:lineRule="auto"/>
        <w:rPr>
          <w:rFonts w:eastAsia="Times New Roman"/>
        </w:rPr>
      </w:pPr>
    </w:p>
    <w:tbl>
      <w:tblPr>
        <w:tblW w:w="9371" w:type="dxa"/>
        <w:tblInd w:w="93" w:type="dxa"/>
        <w:tblLayout w:type="fixed"/>
        <w:tblLook w:val="04A0" w:firstRow="1" w:lastRow="0" w:firstColumn="1" w:lastColumn="0" w:noHBand="0" w:noVBand="1"/>
      </w:tblPr>
      <w:tblGrid>
        <w:gridCol w:w="1071"/>
        <w:gridCol w:w="658"/>
        <w:gridCol w:w="554"/>
        <w:gridCol w:w="709"/>
        <w:gridCol w:w="709"/>
        <w:gridCol w:w="709"/>
        <w:gridCol w:w="708"/>
        <w:gridCol w:w="709"/>
        <w:gridCol w:w="709"/>
        <w:gridCol w:w="709"/>
        <w:gridCol w:w="708"/>
        <w:gridCol w:w="709"/>
        <w:gridCol w:w="709"/>
      </w:tblGrid>
      <w:tr w:rsidR="00F20179" w:rsidRPr="009F356A" w:rsidTr="006A043A">
        <w:trPr>
          <w:trHeight w:val="806"/>
        </w:trPr>
        <w:tc>
          <w:tcPr>
            <w:tcW w:w="1071" w:type="dxa"/>
            <w:tcBorders>
              <w:top w:val="single" w:sz="4" w:space="0" w:color="auto"/>
              <w:left w:val="nil"/>
              <w:bottom w:val="single" w:sz="4" w:space="0" w:color="auto"/>
              <w:right w:val="nil"/>
            </w:tcBorders>
            <w:shd w:val="clear" w:color="auto" w:fill="auto"/>
            <w:noWrap/>
            <w:vAlign w:val="bottom"/>
            <w:hideMark/>
          </w:tcPr>
          <w:p w:rsidR="00F20179" w:rsidRPr="009F356A" w:rsidRDefault="00F20179" w:rsidP="006A043A">
            <w:pPr>
              <w:spacing w:after="0" w:line="240" w:lineRule="auto"/>
              <w:rPr>
                <w:rFonts w:ascii="Calibri" w:eastAsia="Times New Roman" w:hAnsi="Calibri" w:cs="Calibri"/>
                <w:color w:val="000000"/>
                <w:sz w:val="12"/>
                <w:szCs w:val="12"/>
              </w:rPr>
            </w:pPr>
          </w:p>
        </w:tc>
        <w:tc>
          <w:tcPr>
            <w:tcW w:w="658" w:type="dxa"/>
            <w:tcBorders>
              <w:top w:val="single" w:sz="4" w:space="0" w:color="auto"/>
              <w:left w:val="nil"/>
              <w:bottom w:val="single" w:sz="4" w:space="0" w:color="auto"/>
              <w:right w:val="nil"/>
            </w:tcBorders>
            <w:shd w:val="clear" w:color="auto" w:fill="auto"/>
            <w:noWrap/>
            <w:vAlign w:val="bottom"/>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1994/95 all ages</w:t>
            </w:r>
          </w:p>
        </w:tc>
        <w:tc>
          <w:tcPr>
            <w:tcW w:w="554" w:type="dxa"/>
            <w:tcBorders>
              <w:top w:val="single" w:sz="4" w:space="0" w:color="auto"/>
              <w:left w:val="nil"/>
              <w:bottom w:val="single" w:sz="4" w:space="0" w:color="auto"/>
              <w:right w:val="nil"/>
            </w:tcBorders>
            <w:vAlign w:val="bottom"/>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1994/95 all ages, males</w:t>
            </w:r>
          </w:p>
        </w:tc>
        <w:tc>
          <w:tcPr>
            <w:tcW w:w="709" w:type="dxa"/>
            <w:tcBorders>
              <w:top w:val="single" w:sz="4" w:space="0" w:color="auto"/>
              <w:left w:val="nil"/>
              <w:bottom w:val="single" w:sz="4" w:space="0" w:color="auto"/>
              <w:right w:val="nil"/>
            </w:tcBorders>
            <w:vAlign w:val="bottom"/>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1994/95 all ages, females</w:t>
            </w:r>
          </w:p>
        </w:tc>
        <w:tc>
          <w:tcPr>
            <w:tcW w:w="709" w:type="dxa"/>
            <w:tcBorders>
              <w:top w:val="single" w:sz="4" w:space="0" w:color="auto"/>
              <w:left w:val="nil"/>
              <w:bottom w:val="single" w:sz="4" w:space="0" w:color="auto"/>
              <w:right w:val="nil"/>
            </w:tcBorders>
            <w:vAlign w:val="bottom"/>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2009/10 all ages</w:t>
            </w:r>
          </w:p>
        </w:tc>
        <w:tc>
          <w:tcPr>
            <w:tcW w:w="709" w:type="dxa"/>
            <w:tcBorders>
              <w:top w:val="single" w:sz="4" w:space="0" w:color="auto"/>
              <w:left w:val="nil"/>
              <w:bottom w:val="single" w:sz="4" w:space="0" w:color="auto"/>
              <w:right w:val="nil"/>
            </w:tcBorders>
            <w:vAlign w:val="bottom"/>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2009/10 all ages, males</w:t>
            </w:r>
          </w:p>
        </w:tc>
        <w:tc>
          <w:tcPr>
            <w:tcW w:w="708" w:type="dxa"/>
            <w:tcBorders>
              <w:top w:val="single" w:sz="4" w:space="0" w:color="auto"/>
              <w:left w:val="nil"/>
              <w:bottom w:val="single" w:sz="4" w:space="0" w:color="auto"/>
              <w:right w:val="nil"/>
            </w:tcBorders>
            <w:vAlign w:val="bottom"/>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2009/10 all ages, females</w:t>
            </w:r>
          </w:p>
        </w:tc>
        <w:tc>
          <w:tcPr>
            <w:tcW w:w="709" w:type="dxa"/>
            <w:tcBorders>
              <w:top w:val="single" w:sz="4" w:space="0" w:color="auto"/>
              <w:left w:val="nil"/>
              <w:bottom w:val="single" w:sz="4" w:space="0" w:color="auto"/>
              <w:right w:val="nil"/>
            </w:tcBorders>
            <w:vAlign w:val="bottom"/>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1994/95, 22-34 years</w:t>
            </w:r>
          </w:p>
        </w:tc>
        <w:tc>
          <w:tcPr>
            <w:tcW w:w="709" w:type="dxa"/>
            <w:tcBorders>
              <w:top w:val="single" w:sz="4" w:space="0" w:color="auto"/>
              <w:left w:val="nil"/>
              <w:bottom w:val="single" w:sz="4" w:space="0" w:color="auto"/>
              <w:right w:val="nil"/>
            </w:tcBorders>
            <w:vAlign w:val="bottom"/>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1994/95, 22-34 years, males</w:t>
            </w:r>
          </w:p>
        </w:tc>
        <w:tc>
          <w:tcPr>
            <w:tcW w:w="709" w:type="dxa"/>
            <w:tcBorders>
              <w:top w:val="single" w:sz="4" w:space="0" w:color="auto"/>
              <w:left w:val="nil"/>
              <w:bottom w:val="single" w:sz="4" w:space="0" w:color="auto"/>
              <w:right w:val="nil"/>
            </w:tcBorders>
            <w:vAlign w:val="bottom"/>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1994/95, 22-34 years, females</w:t>
            </w:r>
          </w:p>
        </w:tc>
        <w:tc>
          <w:tcPr>
            <w:tcW w:w="708" w:type="dxa"/>
            <w:tcBorders>
              <w:top w:val="single" w:sz="4" w:space="0" w:color="auto"/>
              <w:left w:val="nil"/>
              <w:bottom w:val="single" w:sz="4" w:space="0" w:color="auto"/>
              <w:right w:val="nil"/>
            </w:tcBorders>
            <w:vAlign w:val="bottom"/>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2009/10, 22-34 years</w:t>
            </w:r>
          </w:p>
        </w:tc>
        <w:tc>
          <w:tcPr>
            <w:tcW w:w="709" w:type="dxa"/>
            <w:tcBorders>
              <w:top w:val="single" w:sz="4" w:space="0" w:color="auto"/>
              <w:left w:val="nil"/>
              <w:bottom w:val="single" w:sz="4" w:space="0" w:color="auto"/>
              <w:right w:val="nil"/>
            </w:tcBorders>
            <w:vAlign w:val="bottom"/>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2009/10, 22-34 years, males</w:t>
            </w:r>
          </w:p>
        </w:tc>
        <w:tc>
          <w:tcPr>
            <w:tcW w:w="709" w:type="dxa"/>
            <w:tcBorders>
              <w:top w:val="single" w:sz="4" w:space="0" w:color="auto"/>
              <w:left w:val="nil"/>
              <w:bottom w:val="single" w:sz="4" w:space="0" w:color="auto"/>
              <w:right w:val="nil"/>
            </w:tcBorders>
            <w:vAlign w:val="bottom"/>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2009/10, 22-34 years, females</w:t>
            </w:r>
          </w:p>
        </w:tc>
      </w:tr>
      <w:tr w:rsidR="00F20179" w:rsidRPr="009F356A" w:rsidTr="006A043A">
        <w:trPr>
          <w:trHeight w:val="288"/>
        </w:trPr>
        <w:tc>
          <w:tcPr>
            <w:tcW w:w="1071" w:type="dxa"/>
            <w:tcBorders>
              <w:top w:val="single" w:sz="4" w:space="0" w:color="auto"/>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Female</w:t>
            </w:r>
          </w:p>
        </w:tc>
        <w:tc>
          <w:tcPr>
            <w:tcW w:w="658" w:type="dxa"/>
            <w:tcBorders>
              <w:top w:val="single" w:sz="4" w:space="0" w:color="auto"/>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0.51</w:t>
            </w:r>
          </w:p>
        </w:tc>
        <w:tc>
          <w:tcPr>
            <w:tcW w:w="554" w:type="dxa"/>
            <w:tcBorders>
              <w:top w:val="single" w:sz="4" w:space="0" w:color="auto"/>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single" w:sz="4" w:space="0" w:color="auto"/>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single" w:sz="4" w:space="0" w:color="auto"/>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0.52</w:t>
            </w:r>
          </w:p>
        </w:tc>
        <w:tc>
          <w:tcPr>
            <w:tcW w:w="709" w:type="dxa"/>
            <w:tcBorders>
              <w:top w:val="single" w:sz="4" w:space="0" w:color="auto"/>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8" w:type="dxa"/>
            <w:tcBorders>
              <w:top w:val="single" w:sz="4" w:space="0" w:color="auto"/>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single" w:sz="4" w:space="0" w:color="auto"/>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0.50</w:t>
            </w:r>
          </w:p>
        </w:tc>
        <w:tc>
          <w:tcPr>
            <w:tcW w:w="709" w:type="dxa"/>
            <w:tcBorders>
              <w:top w:val="single" w:sz="4" w:space="0" w:color="auto"/>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single" w:sz="4" w:space="0" w:color="auto"/>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8" w:type="dxa"/>
            <w:tcBorders>
              <w:top w:val="single" w:sz="4" w:space="0" w:color="auto"/>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0.52</w:t>
            </w:r>
          </w:p>
        </w:tc>
        <w:tc>
          <w:tcPr>
            <w:tcW w:w="709" w:type="dxa"/>
            <w:tcBorders>
              <w:top w:val="single" w:sz="4" w:space="0" w:color="auto"/>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single" w:sz="4" w:space="0" w:color="auto"/>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Age</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39.8</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39.9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39.8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42.8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43.0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42.6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28.3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28.4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28.2</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28.3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28.3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28.3</w:t>
            </w:r>
          </w:p>
        </w:tc>
      </w:tr>
      <w:tr w:rsidR="00F20179" w:rsidRPr="00FD2ADF" w:rsidTr="006A043A">
        <w:trPr>
          <w:trHeight w:val="288"/>
        </w:trPr>
        <w:tc>
          <w:tcPr>
            <w:tcW w:w="1071" w:type="dxa"/>
            <w:tcBorders>
              <w:top w:val="nil"/>
              <w:left w:val="nil"/>
              <w:bottom w:val="nil"/>
              <w:right w:val="nil"/>
            </w:tcBorders>
            <w:shd w:val="clear" w:color="auto" w:fill="auto"/>
            <w:noWrap/>
            <w:vAlign w:val="center"/>
          </w:tcPr>
          <w:p w:rsidR="00F20179" w:rsidRPr="00FD2ADF" w:rsidRDefault="00F20179" w:rsidP="006A043A">
            <w:pPr>
              <w:spacing w:after="0" w:line="240" w:lineRule="auto"/>
              <w:rPr>
                <w:rFonts w:ascii="Calibri" w:eastAsia="Times New Roman" w:hAnsi="Calibri" w:cs="Calibri"/>
                <w:i/>
                <w:color w:val="000000"/>
                <w:sz w:val="12"/>
                <w:szCs w:val="12"/>
              </w:rPr>
            </w:pPr>
            <w:r w:rsidRPr="00FD2ADF">
              <w:rPr>
                <w:rFonts w:ascii="Calibri" w:eastAsia="Times New Roman" w:hAnsi="Calibri" w:cs="Calibri"/>
                <w:i/>
                <w:color w:val="000000"/>
                <w:sz w:val="12"/>
                <w:szCs w:val="12"/>
              </w:rPr>
              <w:t>Household structure:</w:t>
            </w:r>
          </w:p>
        </w:tc>
        <w:tc>
          <w:tcPr>
            <w:tcW w:w="658" w:type="dxa"/>
            <w:tcBorders>
              <w:top w:val="nil"/>
              <w:left w:val="nil"/>
              <w:bottom w:val="nil"/>
              <w:right w:val="nil"/>
            </w:tcBorders>
            <w:shd w:val="clear" w:color="auto" w:fill="auto"/>
            <w:noWrap/>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554"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8"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8"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Children age</w:t>
            </w:r>
            <w:r>
              <w:rPr>
                <w:rFonts w:ascii="Calibri" w:eastAsia="Times New Roman" w:hAnsi="Calibri" w:cs="Calibri"/>
                <w:color w:val="000000"/>
                <w:sz w:val="12"/>
                <w:szCs w:val="12"/>
              </w:rPr>
              <w:t>d</w:t>
            </w:r>
            <w:r w:rsidRPr="009F356A">
              <w:rPr>
                <w:rFonts w:ascii="Calibri" w:eastAsia="Times New Roman" w:hAnsi="Calibri" w:cs="Calibri"/>
                <w:color w:val="000000"/>
                <w:sz w:val="12"/>
                <w:szCs w:val="12"/>
              </w:rPr>
              <w:t xml:space="preserve"> 0-1 yrs</w:t>
            </w:r>
            <w:r>
              <w:rPr>
                <w:rFonts w:ascii="Calibri" w:eastAsia="Times New Roman" w:hAnsi="Calibri" w:cs="Calibri"/>
                <w:color w:val="000000"/>
                <w:sz w:val="12"/>
                <w:szCs w:val="12"/>
              </w:rPr>
              <w:t>.</w:t>
            </w:r>
            <w:r w:rsidRPr="009F356A">
              <w:rPr>
                <w:rFonts w:ascii="Calibri" w:eastAsia="Times New Roman" w:hAnsi="Calibri" w:cs="Calibri"/>
                <w:color w:val="000000"/>
                <w:sz w:val="12"/>
                <w:szCs w:val="12"/>
              </w:rPr>
              <w:t xml:space="preserve"> in home</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0.07</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0.09</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0.07</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0.13</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0.17</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0.18</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Children age</w:t>
            </w:r>
            <w:r>
              <w:rPr>
                <w:rFonts w:ascii="Calibri" w:eastAsia="Times New Roman" w:hAnsi="Calibri" w:cs="Calibri"/>
                <w:color w:val="000000"/>
                <w:sz w:val="12"/>
                <w:szCs w:val="12"/>
              </w:rPr>
              <w:t>d</w:t>
            </w:r>
            <w:r w:rsidRPr="009F356A">
              <w:rPr>
                <w:rFonts w:ascii="Calibri" w:eastAsia="Times New Roman" w:hAnsi="Calibri" w:cs="Calibri"/>
                <w:color w:val="000000"/>
                <w:sz w:val="12"/>
                <w:szCs w:val="12"/>
              </w:rPr>
              <w:t xml:space="preserve"> 2-4 yrs</w:t>
            </w:r>
            <w:r>
              <w:rPr>
                <w:rFonts w:ascii="Calibri" w:eastAsia="Times New Roman" w:hAnsi="Calibri" w:cs="Calibri"/>
                <w:color w:val="000000"/>
                <w:sz w:val="12"/>
                <w:szCs w:val="12"/>
              </w:rPr>
              <w:t>.</w:t>
            </w:r>
            <w:r w:rsidRPr="009F356A">
              <w:rPr>
                <w:rFonts w:ascii="Calibri" w:eastAsia="Times New Roman" w:hAnsi="Calibri" w:cs="Calibri"/>
                <w:color w:val="000000"/>
                <w:sz w:val="12"/>
                <w:szCs w:val="12"/>
              </w:rPr>
              <w:t xml:space="preserve"> in home</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0.11</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0.11</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0.17</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0.19</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Children age</w:t>
            </w:r>
            <w:r>
              <w:rPr>
                <w:rFonts w:ascii="Calibri" w:eastAsia="Times New Roman" w:hAnsi="Calibri" w:cs="Calibri"/>
                <w:color w:val="000000"/>
                <w:sz w:val="12"/>
                <w:szCs w:val="12"/>
              </w:rPr>
              <w:t>d</w:t>
            </w:r>
            <w:r w:rsidRPr="009F356A">
              <w:rPr>
                <w:rFonts w:ascii="Calibri" w:eastAsia="Times New Roman" w:hAnsi="Calibri" w:cs="Calibri"/>
                <w:color w:val="000000"/>
                <w:sz w:val="12"/>
                <w:szCs w:val="12"/>
              </w:rPr>
              <w:t xml:space="preserve"> 5-9 yrs</w:t>
            </w:r>
            <w:r>
              <w:rPr>
                <w:rFonts w:ascii="Calibri" w:eastAsia="Times New Roman" w:hAnsi="Calibri" w:cs="Calibri"/>
                <w:color w:val="000000"/>
                <w:sz w:val="12"/>
                <w:szCs w:val="12"/>
              </w:rPr>
              <w:t>.</w:t>
            </w:r>
            <w:r w:rsidRPr="009F356A">
              <w:rPr>
                <w:rFonts w:ascii="Calibri" w:eastAsia="Times New Roman" w:hAnsi="Calibri" w:cs="Calibri"/>
                <w:color w:val="000000"/>
                <w:sz w:val="12"/>
                <w:szCs w:val="12"/>
              </w:rPr>
              <w:t xml:space="preserve"> in home</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0.17</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0.17</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0.15</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0.21</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0.16</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Children age</w:t>
            </w:r>
            <w:r>
              <w:rPr>
                <w:rFonts w:ascii="Calibri" w:eastAsia="Times New Roman" w:hAnsi="Calibri" w:cs="Calibri"/>
                <w:color w:val="000000"/>
                <w:sz w:val="12"/>
                <w:szCs w:val="12"/>
              </w:rPr>
              <w:t>d</w:t>
            </w:r>
            <w:r w:rsidRPr="009F356A">
              <w:rPr>
                <w:rFonts w:ascii="Calibri" w:eastAsia="Times New Roman" w:hAnsi="Calibri" w:cs="Calibri"/>
                <w:color w:val="000000"/>
                <w:sz w:val="12"/>
                <w:szCs w:val="12"/>
              </w:rPr>
              <w:t xml:space="preserve"> 10-15 yrs</w:t>
            </w:r>
            <w:r>
              <w:rPr>
                <w:rFonts w:ascii="Calibri" w:eastAsia="Times New Roman" w:hAnsi="Calibri" w:cs="Calibri"/>
                <w:color w:val="000000"/>
                <w:sz w:val="12"/>
                <w:szCs w:val="12"/>
              </w:rPr>
              <w:t>.</w:t>
            </w:r>
            <w:r w:rsidRPr="009F356A">
              <w:rPr>
                <w:rFonts w:ascii="Calibri" w:eastAsia="Times New Roman" w:hAnsi="Calibri" w:cs="Calibri"/>
                <w:color w:val="000000"/>
                <w:sz w:val="12"/>
                <w:szCs w:val="12"/>
              </w:rPr>
              <w:t xml:space="preserve"> in home</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0.20</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0.17</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0.07</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0.08</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Pr>
                <w:rFonts w:ascii="Calibri" w:eastAsia="Times New Roman" w:hAnsi="Calibri" w:cs="Calibri"/>
                <w:color w:val="000000"/>
                <w:sz w:val="12"/>
                <w:szCs w:val="12"/>
              </w:rPr>
              <w:t>Self-declared p</w:t>
            </w:r>
            <w:r w:rsidRPr="009F356A">
              <w:rPr>
                <w:rFonts w:ascii="Calibri" w:eastAsia="Times New Roman" w:hAnsi="Calibri" w:cs="Calibri"/>
                <w:color w:val="000000"/>
                <w:sz w:val="12"/>
                <w:szCs w:val="12"/>
              </w:rPr>
              <w:t>art time</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0.25</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0.09</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0.33</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0.07</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0.31</w:t>
            </w:r>
          </w:p>
        </w:tc>
      </w:tr>
      <w:tr w:rsidR="00F20179" w:rsidRPr="00FD2ADF" w:rsidTr="006A043A">
        <w:trPr>
          <w:trHeight w:val="288"/>
        </w:trPr>
        <w:tc>
          <w:tcPr>
            <w:tcW w:w="1071" w:type="dxa"/>
            <w:tcBorders>
              <w:top w:val="nil"/>
              <w:left w:val="nil"/>
              <w:bottom w:val="nil"/>
              <w:right w:val="nil"/>
            </w:tcBorders>
            <w:shd w:val="clear" w:color="auto" w:fill="auto"/>
            <w:noWrap/>
            <w:vAlign w:val="center"/>
          </w:tcPr>
          <w:p w:rsidR="00F20179" w:rsidRPr="00FD2ADF" w:rsidRDefault="00F20179" w:rsidP="006A043A">
            <w:pPr>
              <w:spacing w:after="0" w:line="240" w:lineRule="auto"/>
              <w:rPr>
                <w:rFonts w:ascii="Calibri" w:eastAsia="Times New Roman" w:hAnsi="Calibri" w:cs="Calibri"/>
                <w:i/>
                <w:color w:val="000000"/>
                <w:sz w:val="12"/>
                <w:szCs w:val="12"/>
              </w:rPr>
            </w:pPr>
            <w:r w:rsidRPr="00FD2ADF">
              <w:rPr>
                <w:rFonts w:ascii="Calibri" w:eastAsia="Times New Roman" w:hAnsi="Calibri" w:cs="Calibri"/>
                <w:i/>
                <w:color w:val="000000"/>
                <w:sz w:val="12"/>
                <w:szCs w:val="12"/>
              </w:rPr>
              <w:t>Ethnicity:</w:t>
            </w:r>
          </w:p>
        </w:tc>
        <w:tc>
          <w:tcPr>
            <w:tcW w:w="658" w:type="dxa"/>
            <w:tcBorders>
              <w:top w:val="nil"/>
              <w:left w:val="nil"/>
              <w:bottom w:val="nil"/>
              <w:right w:val="nil"/>
            </w:tcBorders>
            <w:shd w:val="clear" w:color="auto" w:fill="auto"/>
            <w:noWrap/>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554"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8"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8"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White</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0.95</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0.95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0.95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0.92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0.92</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0.93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0.94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0.95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0.94</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0.89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0.89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0.90</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Pr>
                <w:rFonts w:ascii="Calibri" w:eastAsia="Times New Roman" w:hAnsi="Calibri" w:cs="Calibri"/>
                <w:color w:val="000000"/>
                <w:sz w:val="12"/>
                <w:szCs w:val="12"/>
              </w:rPr>
              <w:t>Mixed</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Pr>
                <w:rFonts w:ascii="Calibri" w:eastAsia="Times New Roman" w:hAnsi="Calibri" w:cs="Calibri"/>
                <w:color w:val="000000"/>
                <w:sz w:val="12"/>
                <w:szCs w:val="12"/>
              </w:rPr>
              <w:t>Asian/Asian British</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0.04</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0.05</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Pr>
                <w:rFonts w:ascii="Calibri" w:eastAsia="Times New Roman" w:hAnsi="Calibri" w:cs="Calibri"/>
                <w:color w:val="000000"/>
                <w:sz w:val="12"/>
                <w:szCs w:val="12"/>
              </w:rPr>
              <w:t>Black/Black British</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Pr>
                <w:rFonts w:ascii="Calibri" w:eastAsia="Times New Roman" w:hAnsi="Calibri" w:cs="Calibri"/>
                <w:color w:val="000000"/>
                <w:sz w:val="12"/>
                <w:szCs w:val="12"/>
              </w:rPr>
              <w:t>Chinese</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Pr>
                <w:rFonts w:ascii="Calibri" w:eastAsia="Times New Roman" w:hAnsi="Calibri" w:cs="Calibri"/>
                <w:color w:val="000000"/>
                <w:sz w:val="12"/>
                <w:szCs w:val="12"/>
              </w:rPr>
              <w:t xml:space="preserve">Other </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Pr>
                <w:rFonts w:ascii="Calibri" w:eastAsia="Times New Roman" w:hAnsi="Calibri" w:cs="Calibri"/>
                <w:color w:val="000000"/>
                <w:sz w:val="12"/>
                <w:szCs w:val="12"/>
              </w:rPr>
              <w:t>Not stated</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r>
      <w:tr w:rsidR="00F20179" w:rsidRPr="00FD2ADF" w:rsidTr="006A043A">
        <w:trPr>
          <w:trHeight w:val="288"/>
        </w:trPr>
        <w:tc>
          <w:tcPr>
            <w:tcW w:w="1071" w:type="dxa"/>
            <w:tcBorders>
              <w:top w:val="nil"/>
              <w:left w:val="nil"/>
              <w:bottom w:val="nil"/>
              <w:right w:val="nil"/>
            </w:tcBorders>
            <w:shd w:val="clear" w:color="auto" w:fill="auto"/>
            <w:noWrap/>
            <w:vAlign w:val="center"/>
          </w:tcPr>
          <w:p w:rsidR="00F20179" w:rsidRPr="00FD2ADF" w:rsidRDefault="00F20179" w:rsidP="006A043A">
            <w:pPr>
              <w:spacing w:after="0" w:line="240" w:lineRule="auto"/>
              <w:rPr>
                <w:rFonts w:ascii="Calibri" w:eastAsia="Times New Roman" w:hAnsi="Calibri" w:cs="Calibri"/>
                <w:i/>
                <w:color w:val="000000"/>
                <w:sz w:val="12"/>
                <w:szCs w:val="12"/>
              </w:rPr>
            </w:pPr>
            <w:r w:rsidRPr="00FD2ADF">
              <w:rPr>
                <w:rFonts w:ascii="Calibri" w:eastAsia="Times New Roman" w:hAnsi="Calibri" w:cs="Calibri"/>
                <w:i/>
                <w:color w:val="000000"/>
                <w:sz w:val="12"/>
                <w:szCs w:val="12"/>
              </w:rPr>
              <w:t>Highest qualification:</w:t>
            </w:r>
          </w:p>
        </w:tc>
        <w:tc>
          <w:tcPr>
            <w:tcW w:w="658" w:type="dxa"/>
            <w:tcBorders>
              <w:top w:val="nil"/>
              <w:left w:val="nil"/>
              <w:bottom w:val="nil"/>
              <w:right w:val="nil"/>
            </w:tcBorders>
            <w:shd w:val="clear" w:color="auto" w:fill="auto"/>
            <w:noWrap/>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554"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8"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8"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PhD</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Master’s degree</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0.05</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0.05</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Other postgraduate qualification</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0.05</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First degree</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0.12</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0.18</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0.14</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0.28</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'A' levels or equivalent</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0.08</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0.16</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'O' level and equivalent</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0.37</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0.32</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0.43</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0.23</w:t>
            </w:r>
          </w:p>
        </w:tc>
      </w:tr>
      <w:tr w:rsidR="00F20179" w:rsidRPr="00FD2ADF" w:rsidTr="006A043A">
        <w:trPr>
          <w:trHeight w:val="288"/>
        </w:trPr>
        <w:tc>
          <w:tcPr>
            <w:tcW w:w="1071" w:type="dxa"/>
            <w:tcBorders>
              <w:top w:val="nil"/>
              <w:left w:val="nil"/>
              <w:bottom w:val="nil"/>
              <w:right w:val="nil"/>
            </w:tcBorders>
            <w:shd w:val="clear" w:color="auto" w:fill="auto"/>
            <w:noWrap/>
            <w:vAlign w:val="center"/>
          </w:tcPr>
          <w:p w:rsidR="00F20179" w:rsidRPr="00FD2ADF" w:rsidRDefault="00F20179" w:rsidP="006A043A">
            <w:pPr>
              <w:spacing w:after="0" w:line="240" w:lineRule="auto"/>
              <w:rPr>
                <w:rFonts w:ascii="Calibri" w:eastAsia="Times New Roman" w:hAnsi="Calibri" w:cs="Calibri"/>
                <w:i/>
                <w:color w:val="000000"/>
                <w:sz w:val="12"/>
                <w:szCs w:val="12"/>
              </w:rPr>
            </w:pPr>
            <w:r w:rsidRPr="00FD2ADF">
              <w:rPr>
                <w:rFonts w:ascii="Calibri" w:eastAsia="Times New Roman" w:hAnsi="Calibri" w:cs="Calibri"/>
                <w:i/>
                <w:color w:val="000000"/>
                <w:sz w:val="12"/>
                <w:szCs w:val="12"/>
              </w:rPr>
              <w:t>Region of residence:</w:t>
            </w:r>
          </w:p>
        </w:tc>
        <w:tc>
          <w:tcPr>
            <w:tcW w:w="658" w:type="dxa"/>
            <w:tcBorders>
              <w:top w:val="nil"/>
              <w:left w:val="nil"/>
              <w:bottom w:val="nil"/>
              <w:right w:val="nil"/>
            </w:tcBorders>
            <w:shd w:val="clear" w:color="auto" w:fill="auto"/>
            <w:noWrap/>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554"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8"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8"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Inner London</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0.68</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0.68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0.68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0.70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0.69</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0.70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0.68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0.68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0.68</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0.68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0.69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0.68</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Outer London</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0.05</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0.05</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Rest of SE</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0.07</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0.07</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0.07</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0.08</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Rest of UK (exc</w:t>
            </w:r>
            <w:r>
              <w:rPr>
                <w:rFonts w:ascii="Calibri" w:eastAsia="Times New Roman" w:hAnsi="Calibri" w:cs="Calibri"/>
                <w:color w:val="000000"/>
                <w:sz w:val="12"/>
                <w:szCs w:val="12"/>
              </w:rPr>
              <w:t>.</w:t>
            </w:r>
            <w:r w:rsidRPr="009F356A">
              <w:rPr>
                <w:rFonts w:ascii="Calibri" w:eastAsia="Times New Roman" w:hAnsi="Calibri" w:cs="Calibri"/>
                <w:color w:val="000000"/>
                <w:sz w:val="12"/>
                <w:szCs w:val="12"/>
              </w:rPr>
              <w:t xml:space="preserve"> NI)</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0.20</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0.19</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0.19</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0.17</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N Ireland</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r>
      <w:tr w:rsidR="00F20179" w:rsidRPr="009F356A" w:rsidTr="006A043A">
        <w:trPr>
          <w:trHeight w:val="288"/>
        </w:trPr>
        <w:tc>
          <w:tcPr>
            <w:tcW w:w="1071" w:type="dxa"/>
            <w:tcBorders>
              <w:top w:val="nil"/>
              <w:left w:val="nil"/>
              <w:bottom w:val="nil"/>
              <w:right w:val="nil"/>
            </w:tcBorders>
            <w:shd w:val="clear" w:color="auto" w:fill="auto"/>
            <w:noWrap/>
            <w:vAlign w:val="center"/>
          </w:tcPr>
          <w:p w:rsidR="00F20179" w:rsidRPr="009F356A" w:rsidRDefault="00F20179" w:rsidP="006A043A">
            <w:pPr>
              <w:spacing w:after="0" w:line="240" w:lineRule="auto"/>
              <w:rPr>
                <w:rFonts w:ascii="Calibri" w:eastAsia="Times New Roman" w:hAnsi="Calibri" w:cs="Calibri"/>
                <w:color w:val="000000"/>
                <w:sz w:val="12"/>
                <w:szCs w:val="12"/>
              </w:rPr>
            </w:pPr>
            <w:r>
              <w:rPr>
                <w:rFonts w:ascii="Calibri" w:eastAsia="Times New Roman" w:hAnsi="Calibri" w:cs="Calibri"/>
                <w:color w:val="000000"/>
                <w:sz w:val="12"/>
                <w:szCs w:val="12"/>
              </w:rPr>
              <w:t>Tenure in current job</w:t>
            </w:r>
          </w:p>
        </w:tc>
        <w:tc>
          <w:tcPr>
            <w:tcW w:w="658" w:type="dxa"/>
            <w:tcBorders>
              <w:top w:val="nil"/>
              <w:left w:val="nil"/>
              <w:bottom w:val="nil"/>
              <w:right w:val="nil"/>
            </w:tcBorders>
            <w:shd w:val="clear" w:color="auto" w:fill="auto"/>
            <w:noWrap/>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&lt; 1 year</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0.15</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0.12</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0.23</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0.21</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1-2 years</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0.09</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0.14</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0.16</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2-3 years</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0.07</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0.09</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0.13</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3-6 years</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0.20</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0.24</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0.26</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&gt; 6 years</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0.49</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0.54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0.50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0.37</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0.29</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0.23</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not kn</w:t>
            </w:r>
            <w:r>
              <w:rPr>
                <w:rFonts w:ascii="Calibri" w:eastAsia="Times New Roman" w:hAnsi="Calibri" w:cs="Calibri"/>
                <w:color w:val="000000"/>
                <w:sz w:val="12"/>
                <w:szCs w:val="12"/>
              </w:rPr>
              <w:t>o</w:t>
            </w:r>
            <w:r w:rsidRPr="009F356A">
              <w:rPr>
                <w:rFonts w:ascii="Calibri" w:eastAsia="Times New Roman" w:hAnsi="Calibri" w:cs="Calibri"/>
                <w:color w:val="000000"/>
                <w:sz w:val="12"/>
                <w:szCs w:val="12"/>
              </w:rPr>
              <w:t>wn/not stated</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r>
      <w:tr w:rsidR="00F20179" w:rsidRPr="009F356A" w:rsidTr="006A043A">
        <w:trPr>
          <w:trHeight w:val="288"/>
        </w:trPr>
        <w:tc>
          <w:tcPr>
            <w:tcW w:w="1071" w:type="dxa"/>
            <w:tcBorders>
              <w:top w:val="nil"/>
              <w:left w:val="nil"/>
              <w:bottom w:val="nil"/>
              <w:right w:val="nil"/>
            </w:tcBorders>
            <w:shd w:val="clear" w:color="auto" w:fill="auto"/>
            <w:noWrap/>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658" w:type="dxa"/>
            <w:tcBorders>
              <w:top w:val="nil"/>
              <w:left w:val="nil"/>
              <w:bottom w:val="nil"/>
              <w:right w:val="nil"/>
            </w:tcBorders>
            <w:shd w:val="clear" w:color="auto" w:fill="auto"/>
            <w:noWrap/>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Proxy response</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0.24</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0.17</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0.27</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0.33</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0.18</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0.26</w:t>
            </w:r>
          </w:p>
        </w:tc>
      </w:tr>
      <w:tr w:rsidR="00F20179" w:rsidRPr="00FD2ADF" w:rsidTr="006A043A">
        <w:trPr>
          <w:trHeight w:val="288"/>
        </w:trPr>
        <w:tc>
          <w:tcPr>
            <w:tcW w:w="1071" w:type="dxa"/>
            <w:tcBorders>
              <w:top w:val="nil"/>
              <w:left w:val="nil"/>
              <w:bottom w:val="nil"/>
              <w:right w:val="nil"/>
            </w:tcBorders>
            <w:shd w:val="clear" w:color="auto" w:fill="auto"/>
            <w:noWrap/>
            <w:vAlign w:val="center"/>
          </w:tcPr>
          <w:p w:rsidR="00F20179" w:rsidRPr="00FD2ADF" w:rsidRDefault="00F20179" w:rsidP="006A043A">
            <w:pPr>
              <w:spacing w:after="0" w:line="240" w:lineRule="auto"/>
              <w:rPr>
                <w:rFonts w:ascii="Calibri" w:eastAsia="Times New Roman" w:hAnsi="Calibri" w:cs="Calibri"/>
                <w:i/>
                <w:color w:val="000000"/>
                <w:sz w:val="12"/>
                <w:szCs w:val="12"/>
              </w:rPr>
            </w:pPr>
            <w:r w:rsidRPr="00FD2ADF">
              <w:rPr>
                <w:rFonts w:ascii="Calibri" w:eastAsia="Times New Roman" w:hAnsi="Calibri" w:cs="Calibri"/>
                <w:i/>
                <w:color w:val="000000"/>
                <w:sz w:val="12"/>
                <w:szCs w:val="12"/>
              </w:rPr>
              <w:t>Usual hours worked:</w:t>
            </w:r>
          </w:p>
        </w:tc>
        <w:tc>
          <w:tcPr>
            <w:tcW w:w="658" w:type="dxa"/>
            <w:tcBorders>
              <w:top w:val="nil"/>
              <w:left w:val="nil"/>
              <w:bottom w:val="nil"/>
              <w:right w:val="nil"/>
            </w:tcBorders>
            <w:shd w:val="clear" w:color="auto" w:fill="auto"/>
            <w:noWrap/>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554"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8"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8"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c>
          <w:tcPr>
            <w:tcW w:w="709" w:type="dxa"/>
            <w:tcBorders>
              <w:top w:val="nil"/>
              <w:left w:val="nil"/>
              <w:bottom w:val="nil"/>
              <w:right w:val="nil"/>
            </w:tcBorders>
            <w:vAlign w:val="center"/>
          </w:tcPr>
          <w:p w:rsidR="00F20179" w:rsidRPr="00FD2ADF" w:rsidRDefault="00F20179" w:rsidP="006A043A">
            <w:pPr>
              <w:spacing w:after="0" w:line="240" w:lineRule="auto"/>
              <w:rPr>
                <w:rFonts w:ascii="Calibri" w:eastAsia="Times New Roman" w:hAnsi="Calibri" w:cs="Calibri"/>
                <w:i/>
                <w:color w:val="000000"/>
                <w:sz w:val="12"/>
                <w:szCs w:val="12"/>
              </w:rPr>
            </w:pP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0-10</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0.05</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0.07</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11-20</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0.11</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0.04</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0.17</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0.15</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0.14</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21-30</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0.09</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0.04</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0.20</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0.11</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0.15</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lastRenderedPageBreak/>
              <w:t>31-40</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0.36</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0.37</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0.43</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0.39</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0.44</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0.47</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0.44</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41-50</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0.29</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0.42</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0.34</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0.31</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0.43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0.25</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0.33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0.18</w:t>
            </w:r>
          </w:p>
        </w:tc>
      </w:tr>
      <w:tr w:rsidR="00F20179" w:rsidRPr="009F356A" w:rsidTr="006A043A">
        <w:trPr>
          <w:trHeight w:val="288"/>
        </w:trPr>
        <w:tc>
          <w:tcPr>
            <w:tcW w:w="1071"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51-60</w:t>
            </w:r>
          </w:p>
        </w:tc>
        <w:tc>
          <w:tcPr>
            <w:tcW w:w="658" w:type="dxa"/>
            <w:tcBorders>
              <w:top w:val="nil"/>
              <w:left w:val="nil"/>
              <w:bottom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0.08</w:t>
            </w:r>
          </w:p>
        </w:tc>
        <w:tc>
          <w:tcPr>
            <w:tcW w:w="554"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0.14</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0.10</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0.13</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8"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0.06</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0.08</w:t>
            </w:r>
          </w:p>
        </w:tc>
        <w:tc>
          <w:tcPr>
            <w:tcW w:w="709" w:type="dxa"/>
            <w:tcBorders>
              <w:top w:val="nil"/>
              <w:left w:val="nil"/>
              <w:bottom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0.04</w:t>
            </w:r>
          </w:p>
        </w:tc>
      </w:tr>
      <w:tr w:rsidR="00F20179" w:rsidRPr="009F356A" w:rsidTr="006A043A">
        <w:trPr>
          <w:trHeight w:val="288"/>
        </w:trPr>
        <w:tc>
          <w:tcPr>
            <w:tcW w:w="1071" w:type="dxa"/>
            <w:tcBorders>
              <w:top w:val="nil"/>
              <w:left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61+</w:t>
            </w:r>
          </w:p>
        </w:tc>
        <w:tc>
          <w:tcPr>
            <w:tcW w:w="658" w:type="dxa"/>
            <w:tcBorders>
              <w:top w:val="nil"/>
              <w:left w:val="nil"/>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554" w:type="dxa"/>
            <w:tcBorders>
              <w:top w:val="nil"/>
              <w:left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0.05</w:t>
            </w:r>
          </w:p>
        </w:tc>
        <w:tc>
          <w:tcPr>
            <w:tcW w:w="709" w:type="dxa"/>
            <w:tcBorders>
              <w:top w:val="nil"/>
              <w:left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8" w:type="dxa"/>
            <w:tcBorders>
              <w:top w:val="nil"/>
              <w:left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0.03</w:t>
            </w:r>
          </w:p>
        </w:tc>
        <w:tc>
          <w:tcPr>
            <w:tcW w:w="709" w:type="dxa"/>
            <w:tcBorders>
              <w:top w:val="nil"/>
              <w:left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0.05</w:t>
            </w:r>
          </w:p>
        </w:tc>
        <w:tc>
          <w:tcPr>
            <w:tcW w:w="709" w:type="dxa"/>
            <w:tcBorders>
              <w:top w:val="nil"/>
              <w:left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8" w:type="dxa"/>
            <w:tcBorders>
              <w:top w:val="nil"/>
              <w:left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0.02</w:t>
            </w:r>
          </w:p>
        </w:tc>
        <w:tc>
          <w:tcPr>
            <w:tcW w:w="709" w:type="dxa"/>
            <w:tcBorders>
              <w:top w:val="nil"/>
              <w:left w:val="nil"/>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r>
      <w:tr w:rsidR="00F20179" w:rsidRPr="009F356A" w:rsidTr="006A043A">
        <w:trPr>
          <w:trHeight w:val="288"/>
        </w:trPr>
        <w:tc>
          <w:tcPr>
            <w:tcW w:w="1071" w:type="dxa"/>
            <w:tcBorders>
              <w:top w:val="nil"/>
              <w:left w:val="nil"/>
              <w:bottom w:val="single" w:sz="4" w:space="0" w:color="auto"/>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not known/not stated</w:t>
            </w:r>
          </w:p>
        </w:tc>
        <w:tc>
          <w:tcPr>
            <w:tcW w:w="658" w:type="dxa"/>
            <w:tcBorders>
              <w:top w:val="nil"/>
              <w:left w:val="nil"/>
              <w:bottom w:val="single" w:sz="4" w:space="0" w:color="auto"/>
              <w:right w:val="nil"/>
            </w:tcBorders>
            <w:shd w:val="clear" w:color="auto" w:fill="auto"/>
            <w:noWrap/>
            <w:vAlign w:val="center"/>
            <w:hideMark/>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554" w:type="dxa"/>
            <w:tcBorders>
              <w:top w:val="nil"/>
              <w:left w:val="nil"/>
              <w:bottom w:val="single" w:sz="4" w:space="0" w:color="auto"/>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single" w:sz="4" w:space="0" w:color="auto"/>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single" w:sz="4" w:space="0" w:color="auto"/>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single" w:sz="4" w:space="0" w:color="auto"/>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8" w:type="dxa"/>
            <w:tcBorders>
              <w:top w:val="nil"/>
              <w:left w:val="nil"/>
              <w:bottom w:val="single" w:sz="4" w:space="0" w:color="auto"/>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single" w:sz="4" w:space="0" w:color="auto"/>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single" w:sz="4" w:space="0" w:color="auto"/>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9" w:type="dxa"/>
            <w:tcBorders>
              <w:top w:val="nil"/>
              <w:left w:val="nil"/>
              <w:bottom w:val="single" w:sz="4" w:space="0" w:color="auto"/>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0.00</w:t>
            </w:r>
          </w:p>
        </w:tc>
        <w:tc>
          <w:tcPr>
            <w:tcW w:w="708" w:type="dxa"/>
            <w:tcBorders>
              <w:top w:val="nil"/>
              <w:left w:val="nil"/>
              <w:bottom w:val="single" w:sz="4" w:space="0" w:color="auto"/>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single" w:sz="4" w:space="0" w:color="auto"/>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c>
          <w:tcPr>
            <w:tcW w:w="709" w:type="dxa"/>
            <w:tcBorders>
              <w:top w:val="nil"/>
              <w:left w:val="nil"/>
              <w:bottom w:val="single" w:sz="4" w:space="0" w:color="auto"/>
              <w:right w:val="nil"/>
            </w:tcBorders>
            <w:vAlign w:val="center"/>
          </w:tcPr>
          <w:p w:rsidR="00F20179" w:rsidRPr="009F356A" w:rsidRDefault="00F20179" w:rsidP="006A043A">
            <w:pPr>
              <w:spacing w:after="0" w:line="240" w:lineRule="auto"/>
              <w:rPr>
                <w:rFonts w:ascii="Calibri" w:eastAsia="Times New Roman" w:hAnsi="Calibri" w:cs="Calibri"/>
                <w:color w:val="000000"/>
                <w:sz w:val="12"/>
                <w:szCs w:val="12"/>
              </w:rPr>
            </w:pPr>
            <w:r w:rsidRPr="009F356A">
              <w:rPr>
                <w:rFonts w:ascii="Calibri" w:eastAsia="Times New Roman" w:hAnsi="Calibri" w:cs="Calibri"/>
                <w:color w:val="000000"/>
                <w:sz w:val="12"/>
                <w:szCs w:val="12"/>
              </w:rPr>
              <w:t>0.01</w:t>
            </w:r>
          </w:p>
        </w:tc>
      </w:tr>
    </w:tbl>
    <w:p w:rsidR="00F20179" w:rsidRDefault="00F20179" w:rsidP="00F20179">
      <w:pPr>
        <w:spacing w:after="0" w:line="240" w:lineRule="auto"/>
        <w:rPr>
          <w:rFonts w:eastAsia="Times New Roman"/>
        </w:rPr>
      </w:pPr>
    </w:p>
    <w:p w:rsidR="00501B58" w:rsidRDefault="00501B58" w:rsidP="00F20179">
      <w:pPr>
        <w:spacing w:after="0" w:line="240" w:lineRule="auto"/>
        <w:rPr>
          <w:rFonts w:eastAsia="Times New Roman"/>
          <w:i/>
        </w:rPr>
      </w:pPr>
    </w:p>
    <w:p w:rsidR="00501B58" w:rsidRDefault="00501B58" w:rsidP="00F20179">
      <w:pPr>
        <w:spacing w:after="0" w:line="240" w:lineRule="auto"/>
        <w:rPr>
          <w:rFonts w:eastAsia="Times New Roman"/>
          <w:i/>
        </w:rPr>
      </w:pPr>
    </w:p>
    <w:p w:rsidR="00501B58" w:rsidRDefault="00501B58" w:rsidP="00F20179">
      <w:pPr>
        <w:spacing w:after="0" w:line="240" w:lineRule="auto"/>
        <w:rPr>
          <w:rFonts w:eastAsia="Times New Roman"/>
          <w:i/>
        </w:rPr>
      </w:pPr>
    </w:p>
    <w:p w:rsidR="00343C3B" w:rsidRPr="004137C3" w:rsidRDefault="00343C3B" w:rsidP="00F20179">
      <w:pPr>
        <w:spacing w:after="0" w:line="240" w:lineRule="auto"/>
        <w:rPr>
          <w:rFonts w:eastAsia="Times New Roman"/>
          <w:i/>
        </w:rPr>
      </w:pPr>
      <w:r w:rsidRPr="004137C3">
        <w:rPr>
          <w:rFonts w:eastAsia="Times New Roman"/>
          <w:i/>
        </w:rPr>
        <w:t xml:space="preserve">Means of </w:t>
      </w:r>
      <w:r w:rsidR="00DD30D6" w:rsidRPr="004137C3">
        <w:rPr>
          <w:rFonts w:eastAsia="Times New Roman"/>
          <w:i/>
        </w:rPr>
        <w:t xml:space="preserve">additional </w:t>
      </w:r>
      <w:r w:rsidRPr="004137C3">
        <w:rPr>
          <w:rFonts w:eastAsia="Times New Roman"/>
          <w:i/>
        </w:rPr>
        <w:t>variables in regression</w:t>
      </w:r>
      <w:r w:rsidR="00DD30D6" w:rsidRPr="004137C3">
        <w:rPr>
          <w:rFonts w:eastAsia="Times New Roman"/>
          <w:i/>
        </w:rPr>
        <w:t>s</w:t>
      </w:r>
      <w:r w:rsidRPr="004137C3">
        <w:rPr>
          <w:rFonts w:eastAsia="Times New Roman"/>
          <w:i/>
        </w:rPr>
        <w:t xml:space="preserve"> shown in Table </w:t>
      </w:r>
      <w:r w:rsidR="00DD30D6" w:rsidRPr="004137C3">
        <w:rPr>
          <w:rFonts w:eastAsia="Times New Roman"/>
          <w:i/>
        </w:rPr>
        <w:t>5</w:t>
      </w:r>
    </w:p>
    <w:p w:rsidR="00343C3B" w:rsidRDefault="00343C3B" w:rsidP="00F20179">
      <w:pPr>
        <w:spacing w:after="0" w:line="240" w:lineRule="auto"/>
        <w:rPr>
          <w:rFonts w:eastAsia="Times New Roman"/>
        </w:rPr>
      </w:pPr>
    </w:p>
    <w:tbl>
      <w:tblPr>
        <w:tblW w:w="6394" w:type="dxa"/>
        <w:tblInd w:w="93" w:type="dxa"/>
        <w:tblLook w:val="04A0" w:firstRow="1" w:lastRow="0" w:firstColumn="1" w:lastColumn="0" w:noHBand="0" w:noVBand="1"/>
      </w:tblPr>
      <w:tblGrid>
        <w:gridCol w:w="2709"/>
        <w:gridCol w:w="1842"/>
        <w:gridCol w:w="1843"/>
      </w:tblGrid>
      <w:tr w:rsidR="00DD30D6" w:rsidRPr="00DD30D6" w:rsidTr="00DD30D6">
        <w:trPr>
          <w:trHeight w:val="288"/>
        </w:trPr>
        <w:tc>
          <w:tcPr>
            <w:tcW w:w="2709" w:type="dxa"/>
            <w:tcBorders>
              <w:top w:val="single" w:sz="4" w:space="0" w:color="auto"/>
              <w:left w:val="nil"/>
              <w:bottom w:val="single" w:sz="4" w:space="0" w:color="auto"/>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Highest qualification and subject</w:t>
            </w:r>
          </w:p>
        </w:tc>
        <w:tc>
          <w:tcPr>
            <w:tcW w:w="1842" w:type="dxa"/>
            <w:tcBorders>
              <w:top w:val="single" w:sz="4" w:space="0" w:color="auto"/>
              <w:left w:val="nil"/>
              <w:bottom w:val="single" w:sz="4" w:space="0" w:color="auto"/>
              <w:right w:val="nil"/>
            </w:tcBorders>
            <w:shd w:val="clear" w:color="auto" w:fill="auto"/>
            <w:noWrap/>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All employed persons, 1994/95</w:t>
            </w:r>
          </w:p>
        </w:tc>
        <w:tc>
          <w:tcPr>
            <w:tcW w:w="1843" w:type="dxa"/>
            <w:tcBorders>
              <w:top w:val="single" w:sz="4" w:space="0" w:color="auto"/>
              <w:left w:val="nil"/>
              <w:bottom w:val="single" w:sz="4" w:space="0" w:color="auto"/>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All employed persons, 2009/10</w:t>
            </w:r>
          </w:p>
        </w:tc>
      </w:tr>
      <w:tr w:rsidR="00895A81" w:rsidRPr="00DD30D6" w:rsidTr="00DD30D6">
        <w:trPr>
          <w:trHeight w:val="288"/>
        </w:trPr>
        <w:tc>
          <w:tcPr>
            <w:tcW w:w="2709" w:type="dxa"/>
            <w:tcBorders>
              <w:top w:val="single" w:sz="4" w:space="0" w:color="auto"/>
              <w:left w:val="nil"/>
              <w:bottom w:val="nil"/>
              <w:right w:val="nil"/>
            </w:tcBorders>
            <w:vAlign w:val="center"/>
          </w:tcPr>
          <w:p w:rsidR="00895A81" w:rsidRPr="00DD30D6" w:rsidRDefault="00895A81" w:rsidP="00DD30D6">
            <w:pPr>
              <w:spacing w:after="0" w:line="240" w:lineRule="auto"/>
              <w:rPr>
                <w:rFonts w:ascii="Calibri" w:eastAsia="Times New Roman" w:hAnsi="Calibri" w:cs="Calibri"/>
                <w:i/>
                <w:color w:val="000000"/>
                <w:sz w:val="12"/>
                <w:szCs w:val="12"/>
              </w:rPr>
            </w:pPr>
            <w:r w:rsidRPr="00DD30D6">
              <w:rPr>
                <w:rFonts w:ascii="Calibri" w:eastAsia="Times New Roman" w:hAnsi="Calibri" w:cs="Calibri"/>
                <w:i/>
                <w:color w:val="000000"/>
                <w:sz w:val="12"/>
                <w:szCs w:val="12"/>
              </w:rPr>
              <w:t>PhD</w:t>
            </w:r>
          </w:p>
        </w:tc>
        <w:tc>
          <w:tcPr>
            <w:tcW w:w="1842" w:type="dxa"/>
            <w:tcBorders>
              <w:top w:val="single" w:sz="4" w:space="0" w:color="auto"/>
              <w:left w:val="nil"/>
              <w:bottom w:val="nil"/>
              <w:right w:val="nil"/>
            </w:tcBorders>
            <w:shd w:val="clear" w:color="auto" w:fill="auto"/>
            <w:noWrap/>
            <w:vAlign w:val="center"/>
          </w:tcPr>
          <w:p w:rsidR="00895A81" w:rsidRPr="00DD30D6" w:rsidRDefault="00895A81" w:rsidP="00895A81">
            <w:pPr>
              <w:spacing w:after="0" w:line="240" w:lineRule="auto"/>
              <w:jc w:val="center"/>
              <w:rPr>
                <w:rFonts w:ascii="Calibri" w:eastAsia="Times New Roman" w:hAnsi="Calibri" w:cs="Calibri"/>
                <w:i/>
                <w:color w:val="000000"/>
                <w:sz w:val="12"/>
                <w:szCs w:val="12"/>
              </w:rPr>
            </w:pPr>
          </w:p>
        </w:tc>
        <w:tc>
          <w:tcPr>
            <w:tcW w:w="1843" w:type="dxa"/>
            <w:tcBorders>
              <w:top w:val="single" w:sz="4" w:space="0" w:color="auto"/>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i/>
                <w:color w:val="000000"/>
                <w:sz w:val="12"/>
                <w:szCs w:val="12"/>
              </w:rPr>
            </w:pP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Medicine and related</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0.001</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0.002</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Science and engineering</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0.005</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0.008</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Social sciences, arts and humanities</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0.002</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0.003</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Education</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0.000</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0.000</w:t>
            </w:r>
          </w:p>
        </w:tc>
      </w:tr>
      <w:tr w:rsidR="00895A81"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rPr>
                <w:rFonts w:ascii="Calibri" w:eastAsia="Times New Roman" w:hAnsi="Calibri" w:cs="Calibri"/>
                <w:i/>
                <w:color w:val="000000"/>
                <w:sz w:val="12"/>
                <w:szCs w:val="12"/>
              </w:rPr>
            </w:pPr>
            <w:r w:rsidRPr="00DD30D6">
              <w:rPr>
                <w:rFonts w:ascii="Calibri" w:eastAsia="Times New Roman" w:hAnsi="Calibri" w:cs="Calibri"/>
                <w:i/>
                <w:color w:val="000000"/>
                <w:sz w:val="12"/>
                <w:szCs w:val="12"/>
              </w:rPr>
              <w:t>Masters</w:t>
            </w:r>
          </w:p>
        </w:tc>
        <w:tc>
          <w:tcPr>
            <w:tcW w:w="1842" w:type="dxa"/>
            <w:tcBorders>
              <w:top w:val="nil"/>
              <w:left w:val="nil"/>
              <w:bottom w:val="nil"/>
              <w:right w:val="nil"/>
            </w:tcBorders>
            <w:shd w:val="clear" w:color="auto" w:fill="auto"/>
            <w:noWrap/>
            <w:vAlign w:val="center"/>
          </w:tcPr>
          <w:p w:rsidR="00895A81" w:rsidRPr="00DD30D6" w:rsidRDefault="00895A81" w:rsidP="00895A81">
            <w:pPr>
              <w:spacing w:after="0" w:line="240" w:lineRule="auto"/>
              <w:jc w:val="center"/>
              <w:rPr>
                <w:rFonts w:ascii="Calibri" w:eastAsia="Times New Roman" w:hAnsi="Calibri" w:cs="Calibri"/>
                <w:i/>
                <w:color w:val="000000"/>
                <w:sz w:val="12"/>
                <w:szCs w:val="12"/>
              </w:rPr>
            </w:pP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i/>
                <w:color w:val="000000"/>
                <w:sz w:val="12"/>
                <w:szCs w:val="12"/>
              </w:rPr>
            </w:pP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Medicine and related</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0.001</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0.003</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Science and engineering</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0.005</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0.016</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Social sciences, arts and humanities</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0.009</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0.024</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Education</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0.002</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0.003</w:t>
            </w:r>
          </w:p>
        </w:tc>
      </w:tr>
      <w:tr w:rsidR="00895A81"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191" w:hanging="191"/>
              <w:rPr>
                <w:rFonts w:ascii="Calibri" w:eastAsia="Times New Roman" w:hAnsi="Calibri" w:cs="Calibri"/>
                <w:i/>
                <w:color w:val="000000"/>
                <w:sz w:val="12"/>
                <w:szCs w:val="12"/>
              </w:rPr>
            </w:pPr>
            <w:r w:rsidRPr="00DD30D6">
              <w:rPr>
                <w:rFonts w:ascii="Calibri" w:eastAsia="Times New Roman" w:hAnsi="Calibri" w:cs="Calibri"/>
                <w:i/>
                <w:color w:val="000000"/>
                <w:sz w:val="12"/>
                <w:szCs w:val="12"/>
              </w:rPr>
              <w:t>Other postgraduate qualification</w:t>
            </w:r>
          </w:p>
        </w:tc>
        <w:tc>
          <w:tcPr>
            <w:tcW w:w="1842" w:type="dxa"/>
            <w:tcBorders>
              <w:top w:val="nil"/>
              <w:left w:val="nil"/>
              <w:bottom w:val="nil"/>
              <w:right w:val="nil"/>
            </w:tcBorders>
            <w:shd w:val="clear" w:color="auto" w:fill="auto"/>
            <w:noWrap/>
            <w:vAlign w:val="center"/>
          </w:tcPr>
          <w:p w:rsidR="00895A81" w:rsidRPr="00DD30D6" w:rsidRDefault="00895A81" w:rsidP="00895A81">
            <w:pPr>
              <w:spacing w:after="0" w:line="240" w:lineRule="auto"/>
              <w:jc w:val="center"/>
              <w:rPr>
                <w:rFonts w:ascii="Calibri" w:eastAsia="Times New Roman" w:hAnsi="Calibri" w:cs="Calibri"/>
                <w:i/>
                <w:color w:val="000000"/>
                <w:sz w:val="12"/>
                <w:szCs w:val="12"/>
              </w:rPr>
            </w:pP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i/>
                <w:color w:val="000000"/>
                <w:sz w:val="12"/>
                <w:szCs w:val="12"/>
              </w:rPr>
            </w:pP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Medicine and related</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0.001</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0.002</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Science and engineering</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0.002</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0.006</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Social sciences, arts and humanities</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0.003</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0.012</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Education</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0.001</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0.013</w:t>
            </w:r>
          </w:p>
        </w:tc>
      </w:tr>
      <w:tr w:rsidR="00895A81"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rPr>
                <w:rFonts w:ascii="Calibri" w:eastAsia="Times New Roman" w:hAnsi="Calibri" w:cs="Calibri"/>
                <w:i/>
                <w:color w:val="000000"/>
                <w:sz w:val="12"/>
                <w:szCs w:val="12"/>
              </w:rPr>
            </w:pPr>
            <w:r w:rsidRPr="00DD30D6">
              <w:rPr>
                <w:rFonts w:ascii="Calibri" w:eastAsia="Times New Roman" w:hAnsi="Calibri" w:cs="Calibri"/>
                <w:i/>
                <w:color w:val="000000"/>
                <w:sz w:val="12"/>
                <w:szCs w:val="12"/>
              </w:rPr>
              <w:t>First degree</w:t>
            </w:r>
          </w:p>
        </w:tc>
        <w:tc>
          <w:tcPr>
            <w:tcW w:w="1842" w:type="dxa"/>
            <w:tcBorders>
              <w:top w:val="nil"/>
              <w:left w:val="nil"/>
              <w:bottom w:val="nil"/>
              <w:right w:val="nil"/>
            </w:tcBorders>
            <w:shd w:val="clear" w:color="auto" w:fill="auto"/>
            <w:noWrap/>
            <w:vAlign w:val="center"/>
          </w:tcPr>
          <w:p w:rsidR="00895A81" w:rsidRPr="00DD30D6" w:rsidRDefault="00895A81" w:rsidP="00895A81">
            <w:pPr>
              <w:spacing w:after="0" w:line="240" w:lineRule="auto"/>
              <w:jc w:val="center"/>
              <w:rPr>
                <w:rFonts w:ascii="Calibri" w:eastAsia="Times New Roman" w:hAnsi="Calibri" w:cs="Calibri"/>
                <w:i/>
                <w:color w:val="000000"/>
                <w:sz w:val="12"/>
                <w:szCs w:val="12"/>
              </w:rPr>
            </w:pP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i/>
                <w:color w:val="000000"/>
                <w:sz w:val="12"/>
                <w:szCs w:val="12"/>
              </w:rPr>
            </w:pP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Medicine and related</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0.007</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0.012</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Nursing</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0.001</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0.006</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Bio sciences/agriculture</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0.006</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0.014</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Other sciences, maths, computing</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0.018</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0.024</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Engineering/technology</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0.018</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0.017</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616" w:hanging="283"/>
              <w:rPr>
                <w:rFonts w:ascii="Calibri" w:eastAsia="Times New Roman" w:hAnsi="Calibri" w:cs="Calibri"/>
                <w:color w:val="000000"/>
                <w:sz w:val="12"/>
                <w:szCs w:val="12"/>
              </w:rPr>
            </w:pPr>
            <w:r w:rsidRPr="00DD30D6">
              <w:rPr>
                <w:rFonts w:ascii="Calibri" w:eastAsia="Times New Roman" w:hAnsi="Calibri" w:cs="Calibri"/>
                <w:color w:val="000000"/>
                <w:sz w:val="12"/>
                <w:szCs w:val="12"/>
              </w:rPr>
              <w:t>Social sciences, bus. admin, library studies</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0.036</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0.062</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Languages</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0.010</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0.011</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Humanities</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0.008</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0.008</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Arts</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0.005</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0.011</w:t>
            </w:r>
          </w:p>
        </w:tc>
      </w:tr>
      <w:tr w:rsidR="00DD30D6"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rPr>
                <w:rFonts w:ascii="Calibri" w:eastAsia="Times New Roman" w:hAnsi="Calibri" w:cs="Calibri"/>
                <w:color w:val="000000"/>
                <w:sz w:val="12"/>
                <w:szCs w:val="12"/>
              </w:rPr>
            </w:pPr>
            <w:r w:rsidRPr="00DD30D6">
              <w:rPr>
                <w:rFonts w:ascii="Calibri" w:eastAsia="Times New Roman" w:hAnsi="Calibri" w:cs="Calibri"/>
                <w:color w:val="000000"/>
                <w:sz w:val="12"/>
                <w:szCs w:val="12"/>
              </w:rPr>
              <w:t>Education</w:t>
            </w:r>
          </w:p>
        </w:tc>
        <w:tc>
          <w:tcPr>
            <w:tcW w:w="1842" w:type="dxa"/>
            <w:tcBorders>
              <w:top w:val="nil"/>
              <w:left w:val="nil"/>
              <w:bottom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0.009</w:t>
            </w: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0.012</w:t>
            </w:r>
          </w:p>
        </w:tc>
      </w:tr>
      <w:tr w:rsidR="00895A81" w:rsidRPr="00DD30D6" w:rsidTr="00DD30D6">
        <w:trPr>
          <w:trHeight w:val="288"/>
        </w:trPr>
        <w:tc>
          <w:tcPr>
            <w:tcW w:w="2709" w:type="dxa"/>
            <w:tcBorders>
              <w:top w:val="nil"/>
              <w:left w:val="nil"/>
              <w:bottom w:val="nil"/>
              <w:right w:val="nil"/>
            </w:tcBorders>
            <w:vAlign w:val="center"/>
          </w:tcPr>
          <w:p w:rsidR="00895A81" w:rsidRPr="00DD30D6" w:rsidRDefault="00895A81" w:rsidP="00DD30D6">
            <w:pPr>
              <w:spacing w:after="0" w:line="240" w:lineRule="auto"/>
              <w:ind w:left="333" w:hanging="333"/>
              <w:jc w:val="both"/>
              <w:rPr>
                <w:rFonts w:ascii="Calibri" w:eastAsia="Times New Roman" w:hAnsi="Calibri" w:cs="Calibri"/>
                <w:i/>
                <w:color w:val="000000"/>
                <w:sz w:val="12"/>
                <w:szCs w:val="12"/>
              </w:rPr>
            </w:pPr>
            <w:r w:rsidRPr="00DD30D6">
              <w:rPr>
                <w:rFonts w:ascii="Calibri" w:eastAsia="Times New Roman" w:hAnsi="Calibri" w:cs="Calibri"/>
                <w:i/>
                <w:color w:val="000000"/>
                <w:sz w:val="12"/>
                <w:szCs w:val="12"/>
              </w:rPr>
              <w:t>School level qualifications</w:t>
            </w:r>
          </w:p>
        </w:tc>
        <w:tc>
          <w:tcPr>
            <w:tcW w:w="1842" w:type="dxa"/>
            <w:tcBorders>
              <w:top w:val="nil"/>
              <w:left w:val="nil"/>
              <w:bottom w:val="nil"/>
              <w:right w:val="nil"/>
            </w:tcBorders>
            <w:shd w:val="clear" w:color="auto" w:fill="auto"/>
            <w:noWrap/>
            <w:vAlign w:val="center"/>
          </w:tcPr>
          <w:p w:rsidR="00895A81" w:rsidRPr="00DD30D6" w:rsidRDefault="00895A81" w:rsidP="00895A81">
            <w:pPr>
              <w:spacing w:after="0" w:line="240" w:lineRule="auto"/>
              <w:jc w:val="center"/>
              <w:rPr>
                <w:rFonts w:ascii="Calibri" w:eastAsia="Times New Roman" w:hAnsi="Calibri" w:cs="Calibri"/>
                <w:i/>
                <w:color w:val="000000"/>
                <w:sz w:val="12"/>
                <w:szCs w:val="12"/>
              </w:rPr>
            </w:pPr>
          </w:p>
        </w:tc>
        <w:tc>
          <w:tcPr>
            <w:tcW w:w="1843" w:type="dxa"/>
            <w:tcBorders>
              <w:top w:val="nil"/>
              <w:left w:val="nil"/>
              <w:bottom w:val="nil"/>
              <w:right w:val="nil"/>
            </w:tcBorders>
            <w:vAlign w:val="center"/>
          </w:tcPr>
          <w:p w:rsidR="00895A81" w:rsidRPr="00DD30D6" w:rsidRDefault="00895A81" w:rsidP="00895A81">
            <w:pPr>
              <w:spacing w:after="0" w:line="240" w:lineRule="auto"/>
              <w:jc w:val="center"/>
              <w:rPr>
                <w:rFonts w:ascii="Calibri" w:eastAsia="Times New Roman" w:hAnsi="Calibri" w:cs="Calibri"/>
                <w:i/>
                <w:color w:val="000000"/>
                <w:sz w:val="12"/>
                <w:szCs w:val="12"/>
              </w:rPr>
            </w:pPr>
          </w:p>
        </w:tc>
      </w:tr>
      <w:tr w:rsidR="00DD30D6" w:rsidRPr="00DD30D6" w:rsidTr="00EE6DCB">
        <w:trPr>
          <w:trHeight w:val="288"/>
        </w:trPr>
        <w:tc>
          <w:tcPr>
            <w:tcW w:w="2709" w:type="dxa"/>
            <w:tcBorders>
              <w:top w:val="nil"/>
              <w:left w:val="nil"/>
              <w:right w:val="nil"/>
            </w:tcBorders>
            <w:vAlign w:val="center"/>
          </w:tcPr>
          <w:p w:rsidR="00895A81" w:rsidRPr="00DD30D6" w:rsidRDefault="00895A81" w:rsidP="00DD30D6">
            <w:pPr>
              <w:spacing w:after="0" w:line="240" w:lineRule="auto"/>
              <w:ind w:firstLineChars="166" w:firstLine="199"/>
              <w:rPr>
                <w:rFonts w:ascii="Calibri" w:eastAsia="Times New Roman" w:hAnsi="Calibri" w:cs="Calibri"/>
                <w:color w:val="000000"/>
                <w:sz w:val="12"/>
                <w:szCs w:val="12"/>
              </w:rPr>
            </w:pPr>
            <w:r w:rsidRPr="00DD30D6">
              <w:rPr>
                <w:rFonts w:ascii="Calibri" w:eastAsia="Times New Roman" w:hAnsi="Calibri" w:cs="Calibri"/>
                <w:color w:val="000000"/>
                <w:sz w:val="12"/>
                <w:szCs w:val="12"/>
              </w:rPr>
              <w:t>'A' levels or equivalent</w:t>
            </w:r>
          </w:p>
        </w:tc>
        <w:tc>
          <w:tcPr>
            <w:tcW w:w="1842" w:type="dxa"/>
            <w:tcBorders>
              <w:top w:val="nil"/>
              <w:left w:val="nil"/>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0.056</w:t>
            </w:r>
          </w:p>
        </w:tc>
        <w:tc>
          <w:tcPr>
            <w:tcW w:w="1843" w:type="dxa"/>
            <w:tcBorders>
              <w:top w:val="nil"/>
              <w:left w:val="nil"/>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0.112</w:t>
            </w:r>
          </w:p>
        </w:tc>
      </w:tr>
      <w:tr w:rsidR="00DD30D6" w:rsidRPr="00DD30D6" w:rsidTr="00EE6DCB">
        <w:trPr>
          <w:trHeight w:val="288"/>
        </w:trPr>
        <w:tc>
          <w:tcPr>
            <w:tcW w:w="2709" w:type="dxa"/>
            <w:tcBorders>
              <w:top w:val="nil"/>
              <w:left w:val="nil"/>
              <w:bottom w:val="single" w:sz="4" w:space="0" w:color="auto"/>
              <w:right w:val="nil"/>
            </w:tcBorders>
            <w:vAlign w:val="center"/>
          </w:tcPr>
          <w:p w:rsidR="00895A81" w:rsidRPr="00DD30D6" w:rsidRDefault="00895A81" w:rsidP="00DD30D6">
            <w:pPr>
              <w:spacing w:after="0" w:line="240" w:lineRule="auto"/>
              <w:ind w:firstLineChars="166" w:firstLine="199"/>
              <w:rPr>
                <w:rFonts w:ascii="Calibri" w:eastAsia="Times New Roman" w:hAnsi="Calibri" w:cs="Calibri"/>
                <w:color w:val="000000"/>
                <w:sz w:val="12"/>
                <w:szCs w:val="12"/>
              </w:rPr>
            </w:pPr>
            <w:r w:rsidRPr="00DD30D6">
              <w:rPr>
                <w:rFonts w:ascii="Calibri" w:eastAsia="Times New Roman" w:hAnsi="Calibri" w:cs="Calibri"/>
                <w:color w:val="000000"/>
                <w:sz w:val="12"/>
                <w:szCs w:val="12"/>
              </w:rPr>
              <w:t>'O' level and equivalent</w:t>
            </w:r>
          </w:p>
        </w:tc>
        <w:tc>
          <w:tcPr>
            <w:tcW w:w="1842" w:type="dxa"/>
            <w:tcBorders>
              <w:top w:val="nil"/>
              <w:left w:val="nil"/>
              <w:bottom w:val="single" w:sz="4" w:space="0" w:color="auto"/>
              <w:right w:val="nil"/>
            </w:tcBorders>
            <w:shd w:val="clear" w:color="auto" w:fill="auto"/>
            <w:noWrap/>
            <w:vAlign w:val="center"/>
            <w:hideMark/>
          </w:tcPr>
          <w:p w:rsidR="00895A81" w:rsidRPr="00343C3B" w:rsidRDefault="00895A81" w:rsidP="00895A81">
            <w:pPr>
              <w:spacing w:after="0" w:line="240" w:lineRule="auto"/>
              <w:jc w:val="center"/>
              <w:rPr>
                <w:rFonts w:ascii="Calibri" w:eastAsia="Times New Roman" w:hAnsi="Calibri" w:cs="Calibri"/>
                <w:color w:val="000000"/>
                <w:sz w:val="12"/>
                <w:szCs w:val="12"/>
              </w:rPr>
            </w:pPr>
            <w:r w:rsidRPr="00343C3B">
              <w:rPr>
                <w:rFonts w:ascii="Calibri" w:eastAsia="Times New Roman" w:hAnsi="Calibri" w:cs="Calibri"/>
                <w:color w:val="000000"/>
                <w:sz w:val="12"/>
                <w:szCs w:val="12"/>
              </w:rPr>
              <w:t>0.368</w:t>
            </w:r>
          </w:p>
        </w:tc>
        <w:tc>
          <w:tcPr>
            <w:tcW w:w="1843" w:type="dxa"/>
            <w:tcBorders>
              <w:top w:val="nil"/>
              <w:left w:val="nil"/>
              <w:bottom w:val="single" w:sz="4" w:space="0" w:color="auto"/>
              <w:right w:val="nil"/>
            </w:tcBorders>
            <w:vAlign w:val="center"/>
          </w:tcPr>
          <w:p w:rsidR="00895A81" w:rsidRPr="00DD30D6" w:rsidRDefault="00895A81" w:rsidP="00895A81">
            <w:pPr>
              <w:spacing w:after="0" w:line="240" w:lineRule="auto"/>
              <w:jc w:val="center"/>
              <w:rPr>
                <w:rFonts w:ascii="Calibri" w:eastAsia="Times New Roman" w:hAnsi="Calibri" w:cs="Calibri"/>
                <w:color w:val="000000"/>
                <w:sz w:val="12"/>
                <w:szCs w:val="12"/>
              </w:rPr>
            </w:pPr>
            <w:r w:rsidRPr="00DD30D6">
              <w:rPr>
                <w:rFonts w:ascii="Calibri" w:eastAsia="Times New Roman" w:hAnsi="Calibri" w:cs="Calibri"/>
                <w:color w:val="000000"/>
                <w:sz w:val="12"/>
                <w:szCs w:val="12"/>
              </w:rPr>
              <w:t>0.308</w:t>
            </w:r>
          </w:p>
        </w:tc>
      </w:tr>
    </w:tbl>
    <w:p w:rsidR="00343C3B" w:rsidRPr="00F20179" w:rsidRDefault="00343C3B" w:rsidP="00F20179">
      <w:pPr>
        <w:spacing w:after="0" w:line="240" w:lineRule="auto"/>
        <w:rPr>
          <w:rFonts w:eastAsia="Times New Roman"/>
        </w:rPr>
      </w:pPr>
    </w:p>
    <w:sectPr w:rsidR="00343C3B" w:rsidRPr="00F20179" w:rsidSect="00822DB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42DB" w:rsidRDefault="00C242DB" w:rsidP="00B75859">
      <w:pPr>
        <w:spacing w:after="0" w:line="240" w:lineRule="auto"/>
      </w:pPr>
      <w:r>
        <w:separator/>
      </w:r>
    </w:p>
  </w:endnote>
  <w:endnote w:type="continuationSeparator" w:id="0">
    <w:p w:rsidR="00C242DB" w:rsidRDefault="00C242DB" w:rsidP="00B758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3510698"/>
      <w:docPartObj>
        <w:docPartGallery w:val="Page Numbers (Bottom of Page)"/>
        <w:docPartUnique/>
      </w:docPartObj>
    </w:sdtPr>
    <w:sdtEndPr>
      <w:rPr>
        <w:noProof/>
      </w:rPr>
    </w:sdtEndPr>
    <w:sdtContent>
      <w:p w:rsidR="0023099C" w:rsidRDefault="0023099C">
        <w:pPr>
          <w:pStyle w:val="Footer"/>
          <w:jc w:val="center"/>
        </w:pPr>
        <w:r>
          <w:fldChar w:fldCharType="begin"/>
        </w:r>
        <w:r>
          <w:instrText xml:space="preserve"> PAGE   \* MERGEFORMAT </w:instrText>
        </w:r>
        <w:r>
          <w:fldChar w:fldCharType="separate"/>
        </w:r>
        <w:r w:rsidR="00637FEC">
          <w:rPr>
            <w:noProof/>
          </w:rPr>
          <w:t>1</w:t>
        </w:r>
        <w:r>
          <w:rPr>
            <w:noProof/>
          </w:rPr>
          <w:fldChar w:fldCharType="end"/>
        </w:r>
      </w:p>
    </w:sdtContent>
  </w:sdt>
  <w:p w:rsidR="006A043A" w:rsidRDefault="006A043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42DB" w:rsidRDefault="00C242DB" w:rsidP="00B75859">
      <w:pPr>
        <w:spacing w:after="0" w:line="240" w:lineRule="auto"/>
      </w:pPr>
      <w:r>
        <w:separator/>
      </w:r>
    </w:p>
  </w:footnote>
  <w:footnote w:type="continuationSeparator" w:id="0">
    <w:p w:rsidR="00C242DB" w:rsidRDefault="00C242DB" w:rsidP="00B75859">
      <w:pPr>
        <w:spacing w:after="0" w:line="240" w:lineRule="auto"/>
      </w:pPr>
      <w:r>
        <w:continuationSeparator/>
      </w:r>
    </w:p>
  </w:footnote>
  <w:footnote w:id="1">
    <w:p w:rsidR="006A043A" w:rsidRPr="00B75859" w:rsidRDefault="006A043A" w:rsidP="00B75859">
      <w:pPr>
        <w:pStyle w:val="FootnoteText"/>
        <w:tabs>
          <w:tab w:val="left" w:pos="284"/>
        </w:tabs>
        <w:ind w:left="284" w:hanging="284"/>
        <w:rPr>
          <w:sz w:val="18"/>
          <w:szCs w:val="18"/>
        </w:rPr>
      </w:pPr>
      <w:r w:rsidRPr="00B75859">
        <w:rPr>
          <w:rStyle w:val="FootnoteReference"/>
          <w:sz w:val="18"/>
          <w:szCs w:val="18"/>
        </w:rPr>
        <w:footnoteRef/>
      </w:r>
      <w:r w:rsidRPr="00B75859">
        <w:rPr>
          <w:sz w:val="18"/>
          <w:szCs w:val="18"/>
        </w:rPr>
        <w:t xml:space="preserve"> </w:t>
      </w:r>
      <w:r w:rsidRPr="00B75859">
        <w:rPr>
          <w:sz w:val="18"/>
          <w:szCs w:val="18"/>
        </w:rPr>
        <w:tab/>
      </w:r>
      <w:r>
        <w:rPr>
          <w:sz w:val="18"/>
          <w:szCs w:val="18"/>
        </w:rPr>
        <w:t xml:space="preserve">See, for example, </w:t>
      </w:r>
      <w:proofErr w:type="spellStart"/>
      <w:r>
        <w:rPr>
          <w:sz w:val="18"/>
          <w:szCs w:val="18"/>
        </w:rPr>
        <w:t>Sicherman</w:t>
      </w:r>
      <w:proofErr w:type="spellEnd"/>
      <w:r>
        <w:rPr>
          <w:sz w:val="18"/>
          <w:szCs w:val="18"/>
        </w:rPr>
        <w:t xml:space="preserve"> (1991), Sloane (1996, 1999), </w:t>
      </w:r>
      <w:proofErr w:type="spellStart"/>
      <w:r>
        <w:rPr>
          <w:sz w:val="18"/>
          <w:szCs w:val="18"/>
        </w:rPr>
        <w:t>Battu</w:t>
      </w:r>
      <w:proofErr w:type="spellEnd"/>
      <w:r>
        <w:rPr>
          <w:sz w:val="18"/>
          <w:szCs w:val="18"/>
        </w:rPr>
        <w:t xml:space="preserve"> </w:t>
      </w:r>
      <w:r w:rsidRPr="00A72AAA">
        <w:rPr>
          <w:i/>
          <w:sz w:val="18"/>
          <w:szCs w:val="18"/>
        </w:rPr>
        <w:t>et al.</w:t>
      </w:r>
      <w:r>
        <w:rPr>
          <w:sz w:val="18"/>
          <w:szCs w:val="18"/>
        </w:rPr>
        <w:t xml:space="preserve"> (1999), Dolton and </w:t>
      </w:r>
      <w:proofErr w:type="spellStart"/>
      <w:r>
        <w:rPr>
          <w:sz w:val="18"/>
          <w:szCs w:val="18"/>
        </w:rPr>
        <w:t>Vignoles</w:t>
      </w:r>
      <w:proofErr w:type="spellEnd"/>
      <w:r>
        <w:rPr>
          <w:sz w:val="18"/>
          <w:szCs w:val="18"/>
        </w:rPr>
        <w:t xml:space="preserve"> (2000), </w:t>
      </w:r>
      <w:proofErr w:type="spellStart"/>
      <w:r>
        <w:rPr>
          <w:sz w:val="18"/>
          <w:szCs w:val="18"/>
        </w:rPr>
        <w:t>Hartog</w:t>
      </w:r>
      <w:proofErr w:type="spellEnd"/>
      <w:r>
        <w:rPr>
          <w:sz w:val="18"/>
          <w:szCs w:val="18"/>
        </w:rPr>
        <w:t xml:space="preserve"> (2000), Bauer (2002), Chevalier (2003), </w:t>
      </w:r>
      <w:proofErr w:type="spellStart"/>
      <w:r>
        <w:rPr>
          <w:sz w:val="18"/>
          <w:szCs w:val="18"/>
        </w:rPr>
        <w:t>Rubb</w:t>
      </w:r>
      <w:proofErr w:type="spellEnd"/>
      <w:r>
        <w:rPr>
          <w:sz w:val="18"/>
          <w:szCs w:val="18"/>
        </w:rPr>
        <w:t xml:space="preserve"> (2003), Sloane (2003), Brown and </w:t>
      </w:r>
      <w:proofErr w:type="spellStart"/>
      <w:r>
        <w:rPr>
          <w:sz w:val="18"/>
          <w:szCs w:val="18"/>
        </w:rPr>
        <w:t>Hesketh</w:t>
      </w:r>
      <w:proofErr w:type="spellEnd"/>
      <w:r>
        <w:rPr>
          <w:sz w:val="18"/>
          <w:szCs w:val="18"/>
        </w:rPr>
        <w:t xml:space="preserve"> (2004), McGuiness (2006), Chevalier and Lindley (2007, 2009), Green and </w:t>
      </w:r>
      <w:proofErr w:type="spellStart"/>
      <w:r>
        <w:rPr>
          <w:sz w:val="18"/>
          <w:szCs w:val="18"/>
        </w:rPr>
        <w:t>Mcintosh</w:t>
      </w:r>
      <w:proofErr w:type="spellEnd"/>
      <w:r>
        <w:rPr>
          <w:sz w:val="18"/>
          <w:szCs w:val="18"/>
        </w:rPr>
        <w:t xml:space="preserve"> (2007), Green and Zhu (2008), Lindley and McIntosh (2008), Walker and Zhu (2008).</w:t>
      </w:r>
    </w:p>
  </w:footnote>
  <w:footnote w:id="2">
    <w:p w:rsidR="006A043A" w:rsidRPr="0019484E" w:rsidRDefault="006A043A" w:rsidP="0019484E">
      <w:pPr>
        <w:pStyle w:val="FootnoteText"/>
        <w:tabs>
          <w:tab w:val="left" w:pos="284"/>
        </w:tabs>
        <w:rPr>
          <w:sz w:val="18"/>
          <w:szCs w:val="18"/>
        </w:rPr>
      </w:pPr>
      <w:r>
        <w:rPr>
          <w:rStyle w:val="FootnoteReference"/>
        </w:rPr>
        <w:footnoteRef/>
      </w:r>
      <w:r>
        <w:t xml:space="preserve"> </w:t>
      </w:r>
      <w:r>
        <w:tab/>
      </w:r>
      <w:r>
        <w:rPr>
          <w:sz w:val="18"/>
          <w:szCs w:val="18"/>
        </w:rPr>
        <w:t>Consistent estimates of employment from the UK Labour Force Survey are restricted to the post 1992 period.</w:t>
      </w:r>
    </w:p>
  </w:footnote>
  <w:footnote w:id="3">
    <w:p w:rsidR="006A043A" w:rsidRPr="0019484E" w:rsidRDefault="006A043A" w:rsidP="0019484E">
      <w:pPr>
        <w:pStyle w:val="FootnoteText"/>
        <w:tabs>
          <w:tab w:val="left" w:pos="284"/>
        </w:tabs>
        <w:rPr>
          <w:sz w:val="18"/>
          <w:szCs w:val="18"/>
        </w:rPr>
      </w:pPr>
      <w:r>
        <w:rPr>
          <w:rStyle w:val="FootnoteReference"/>
        </w:rPr>
        <w:footnoteRef/>
      </w:r>
      <w:r>
        <w:t xml:space="preserve"> </w:t>
      </w:r>
      <w:r>
        <w:tab/>
      </w:r>
      <w:r>
        <w:rPr>
          <w:sz w:val="18"/>
          <w:szCs w:val="18"/>
        </w:rPr>
        <w:t>Defined here as the ratio of the employed population to the total population of the UK.</w:t>
      </w:r>
    </w:p>
  </w:footnote>
  <w:footnote w:id="4">
    <w:p w:rsidR="006A043A" w:rsidRPr="00A72AAA" w:rsidRDefault="006A043A" w:rsidP="00A72AAA">
      <w:pPr>
        <w:pStyle w:val="FootnoteText"/>
        <w:tabs>
          <w:tab w:val="left" w:pos="284"/>
        </w:tabs>
        <w:ind w:left="284" w:hanging="284"/>
        <w:rPr>
          <w:sz w:val="18"/>
          <w:szCs w:val="18"/>
        </w:rPr>
      </w:pPr>
      <w:r w:rsidRPr="00A72AAA">
        <w:rPr>
          <w:rStyle w:val="FootnoteReference"/>
          <w:sz w:val="18"/>
          <w:szCs w:val="18"/>
        </w:rPr>
        <w:footnoteRef/>
      </w:r>
      <w:r w:rsidRPr="00A72AAA">
        <w:rPr>
          <w:sz w:val="18"/>
          <w:szCs w:val="18"/>
        </w:rPr>
        <w:t xml:space="preserve"> </w:t>
      </w:r>
      <w:r w:rsidRPr="00A72AAA">
        <w:rPr>
          <w:sz w:val="18"/>
          <w:szCs w:val="18"/>
        </w:rPr>
        <w:tab/>
        <w:t>Entry from Scottish schools to Scottish higher education institutions can take place at age 17, typically on to a four year undergraduate course.</w:t>
      </w:r>
    </w:p>
  </w:footnote>
  <w:footnote w:id="5">
    <w:p w:rsidR="006A043A" w:rsidRPr="00A72AAA" w:rsidRDefault="006A043A" w:rsidP="00A72AAA">
      <w:pPr>
        <w:pStyle w:val="FootnoteText"/>
        <w:tabs>
          <w:tab w:val="left" w:pos="284"/>
        </w:tabs>
        <w:ind w:left="284" w:hanging="284"/>
        <w:rPr>
          <w:sz w:val="18"/>
          <w:szCs w:val="18"/>
        </w:rPr>
      </w:pPr>
      <w:r w:rsidRPr="00A72AAA">
        <w:rPr>
          <w:rStyle w:val="FootnoteReference"/>
          <w:sz w:val="18"/>
          <w:szCs w:val="18"/>
        </w:rPr>
        <w:footnoteRef/>
      </w:r>
      <w:r w:rsidRPr="00A72AAA">
        <w:rPr>
          <w:sz w:val="18"/>
          <w:szCs w:val="18"/>
        </w:rPr>
        <w:t xml:space="preserve"> </w:t>
      </w:r>
      <w:r w:rsidRPr="00A72AAA">
        <w:rPr>
          <w:sz w:val="18"/>
          <w:szCs w:val="18"/>
        </w:rPr>
        <w:tab/>
        <w:t>To provide samples large enough for detailed analysis, we combine information from eight consecutive quarterly Labour Force Surveys in each time period.  Details about the method used to combine these surveys are shown in the appendix.</w:t>
      </w:r>
    </w:p>
  </w:footnote>
  <w:footnote w:id="6">
    <w:p w:rsidR="006A043A" w:rsidRPr="00E553E2" w:rsidRDefault="006A043A" w:rsidP="00E553E2">
      <w:pPr>
        <w:pStyle w:val="FootnoteText"/>
        <w:tabs>
          <w:tab w:val="left" w:pos="284"/>
        </w:tabs>
        <w:rPr>
          <w:sz w:val="16"/>
          <w:szCs w:val="16"/>
        </w:rPr>
      </w:pPr>
      <w:r w:rsidRPr="00E553E2">
        <w:rPr>
          <w:rStyle w:val="FootnoteReference"/>
          <w:sz w:val="16"/>
          <w:szCs w:val="16"/>
        </w:rPr>
        <w:footnoteRef/>
      </w:r>
      <w:r w:rsidRPr="00E553E2">
        <w:rPr>
          <w:sz w:val="16"/>
          <w:szCs w:val="16"/>
        </w:rPr>
        <w:t xml:space="preserve"> </w:t>
      </w:r>
      <w:r w:rsidRPr="00E553E2">
        <w:rPr>
          <w:sz w:val="16"/>
          <w:szCs w:val="16"/>
        </w:rPr>
        <w:tab/>
      </w:r>
      <w:proofErr w:type="gramStart"/>
      <w:r w:rsidRPr="00E553E2">
        <w:rPr>
          <w:sz w:val="16"/>
          <w:szCs w:val="16"/>
        </w:rPr>
        <w:t>For further details about the definition of ‘non-graduate jobs’ see Appendix 1 and Elias and Purcell (2004).</w:t>
      </w:r>
      <w:proofErr w:type="gramEnd"/>
    </w:p>
  </w:footnote>
  <w:footnote w:id="7">
    <w:p w:rsidR="004137C3" w:rsidRDefault="004137C3" w:rsidP="004137C3">
      <w:pPr>
        <w:pStyle w:val="FootnoteText"/>
        <w:tabs>
          <w:tab w:val="left" w:pos="284"/>
        </w:tabs>
      </w:pPr>
      <w:r>
        <w:rPr>
          <w:rStyle w:val="FootnoteReference"/>
        </w:rPr>
        <w:footnoteRef/>
      </w:r>
      <w:r>
        <w:t xml:space="preserve"> </w:t>
      </w:r>
      <w:r>
        <w:tab/>
        <w:t xml:space="preserve">Detailed regression results for all the regression equations shown in this paper are available from the authors on request (email: </w:t>
      </w:r>
      <w:hyperlink r:id="rId1" w:history="1">
        <w:r w:rsidRPr="003805BB">
          <w:rPr>
            <w:rStyle w:val="Hyperlink"/>
          </w:rPr>
          <w:t>p.elias@warwick.ac.uk</w:t>
        </w:r>
      </w:hyperlink>
      <w:r>
        <w:t>).</w:t>
      </w:r>
    </w:p>
  </w:footnote>
  <w:footnote w:id="8">
    <w:p w:rsidR="006A043A" w:rsidRPr="00DC16FD" w:rsidRDefault="006A043A" w:rsidP="00DC16FD">
      <w:pPr>
        <w:pStyle w:val="FootnoteText"/>
        <w:tabs>
          <w:tab w:val="left" w:pos="284"/>
        </w:tabs>
        <w:rPr>
          <w:sz w:val="18"/>
          <w:szCs w:val="18"/>
        </w:rPr>
      </w:pPr>
      <w:r>
        <w:rPr>
          <w:rStyle w:val="FootnoteReference"/>
        </w:rPr>
        <w:footnoteRef/>
      </w:r>
      <w:r>
        <w:t xml:space="preserve"> </w:t>
      </w:r>
      <w:r>
        <w:tab/>
      </w:r>
      <w:r w:rsidRPr="00DC16FD">
        <w:rPr>
          <w:sz w:val="18"/>
          <w:szCs w:val="18"/>
        </w:rPr>
        <w:t>For a more detailed analysis of changes in the social backgrounds of undergraduates, see Bolton (2010).</w:t>
      </w:r>
    </w:p>
  </w:footnote>
  <w:footnote w:id="9">
    <w:p w:rsidR="006A043A" w:rsidRPr="00DC16FD" w:rsidRDefault="006A043A" w:rsidP="00115219">
      <w:pPr>
        <w:pStyle w:val="FootnoteText"/>
        <w:tabs>
          <w:tab w:val="left" w:pos="284"/>
        </w:tabs>
        <w:ind w:left="284" w:hanging="284"/>
        <w:rPr>
          <w:sz w:val="18"/>
          <w:szCs w:val="18"/>
        </w:rPr>
      </w:pPr>
      <w:r w:rsidRPr="001025D1">
        <w:rPr>
          <w:rStyle w:val="FootnoteReference"/>
        </w:rPr>
        <w:footnoteRef/>
      </w:r>
      <w:r w:rsidRPr="001025D1">
        <w:rPr>
          <w:sz w:val="16"/>
          <w:szCs w:val="16"/>
        </w:rPr>
        <w:t xml:space="preserve"> </w:t>
      </w:r>
      <w:r w:rsidRPr="001025D1">
        <w:rPr>
          <w:sz w:val="16"/>
          <w:szCs w:val="16"/>
        </w:rPr>
        <w:tab/>
      </w:r>
      <w:r w:rsidRPr="00DC16FD">
        <w:rPr>
          <w:sz w:val="18"/>
          <w:szCs w:val="18"/>
        </w:rPr>
        <w:t xml:space="preserve">See, for example </w:t>
      </w:r>
      <w:r w:rsidRPr="00DC16FD">
        <w:rPr>
          <w:i/>
          <w:sz w:val="18"/>
          <w:szCs w:val="18"/>
        </w:rPr>
        <w:t xml:space="preserve">Higher Ambitions.  </w:t>
      </w:r>
      <w:proofErr w:type="gramStart"/>
      <w:r w:rsidRPr="00DC16FD">
        <w:rPr>
          <w:i/>
          <w:sz w:val="18"/>
          <w:szCs w:val="18"/>
        </w:rPr>
        <w:t>The future of universities in a knowledge economy</w:t>
      </w:r>
      <w:r w:rsidRPr="00DC16FD">
        <w:rPr>
          <w:sz w:val="18"/>
          <w:szCs w:val="18"/>
        </w:rPr>
        <w:t xml:space="preserve"> (DBIS 2009), also known as the ‘Milburn Report’.</w:t>
      </w:r>
      <w:proofErr w:type="gramEnd"/>
    </w:p>
  </w:footnote>
  <w:footnote w:id="10">
    <w:p w:rsidR="006A043A" w:rsidRPr="00DC16FD" w:rsidRDefault="006A043A" w:rsidP="00305AD1">
      <w:pPr>
        <w:pStyle w:val="FootnoteText"/>
        <w:tabs>
          <w:tab w:val="left" w:pos="284"/>
        </w:tabs>
        <w:ind w:left="284" w:hanging="284"/>
        <w:rPr>
          <w:sz w:val="18"/>
          <w:szCs w:val="18"/>
        </w:rPr>
      </w:pPr>
      <w:r w:rsidRPr="00F4493E">
        <w:rPr>
          <w:rStyle w:val="FootnoteReference"/>
        </w:rPr>
        <w:footnoteRef/>
      </w:r>
      <w:r w:rsidRPr="00F4493E">
        <w:rPr>
          <w:sz w:val="16"/>
          <w:szCs w:val="16"/>
        </w:rPr>
        <w:t xml:space="preserve"> </w:t>
      </w:r>
      <w:r>
        <w:rPr>
          <w:sz w:val="16"/>
          <w:szCs w:val="16"/>
        </w:rPr>
        <w:tab/>
      </w:r>
      <w:r w:rsidRPr="00DC16FD">
        <w:rPr>
          <w:sz w:val="18"/>
          <w:szCs w:val="18"/>
        </w:rPr>
        <w:t xml:space="preserve">Further work on this apparent anomaly by </w:t>
      </w:r>
      <w:proofErr w:type="spellStart"/>
      <w:r w:rsidRPr="00DC16FD">
        <w:rPr>
          <w:sz w:val="18"/>
          <w:szCs w:val="18"/>
        </w:rPr>
        <w:t>Blanden</w:t>
      </w:r>
      <w:proofErr w:type="spellEnd"/>
      <w:r w:rsidRPr="00DC16FD">
        <w:rPr>
          <w:sz w:val="18"/>
          <w:szCs w:val="18"/>
        </w:rPr>
        <w:t xml:space="preserve"> </w:t>
      </w:r>
      <w:r w:rsidRPr="00DC16FD">
        <w:rPr>
          <w:i/>
          <w:sz w:val="18"/>
          <w:szCs w:val="18"/>
        </w:rPr>
        <w:t>et al.</w:t>
      </w:r>
      <w:r w:rsidRPr="00DC16FD">
        <w:rPr>
          <w:sz w:val="18"/>
          <w:szCs w:val="18"/>
        </w:rPr>
        <w:t xml:space="preserve"> (2008) using the same data sources suggests that there are significant downward trends in intergenerational earnings mobility within social classes.</w:t>
      </w:r>
    </w:p>
  </w:footnote>
  <w:footnote w:id="11">
    <w:p w:rsidR="006A043A" w:rsidRPr="00015167" w:rsidRDefault="006A043A" w:rsidP="00015167">
      <w:pPr>
        <w:pStyle w:val="FootnoteText"/>
        <w:tabs>
          <w:tab w:val="left" w:pos="284"/>
        </w:tabs>
        <w:ind w:left="284" w:hanging="284"/>
        <w:rPr>
          <w:sz w:val="16"/>
          <w:szCs w:val="16"/>
        </w:rPr>
      </w:pPr>
      <w:r w:rsidRPr="00015167">
        <w:rPr>
          <w:rStyle w:val="FootnoteReference"/>
          <w:sz w:val="16"/>
          <w:szCs w:val="16"/>
        </w:rPr>
        <w:footnoteRef/>
      </w:r>
      <w:r w:rsidRPr="00015167">
        <w:rPr>
          <w:sz w:val="16"/>
          <w:szCs w:val="16"/>
        </w:rPr>
        <w:t xml:space="preserve"> </w:t>
      </w:r>
      <w:r w:rsidRPr="00015167">
        <w:rPr>
          <w:sz w:val="16"/>
          <w:szCs w:val="16"/>
        </w:rPr>
        <w:tab/>
        <w:t xml:space="preserve">For further details about these classifications and the look-up tables translating occupational information into socio-economic classes, see </w:t>
      </w:r>
      <w:hyperlink r:id="rId2" w:history="1">
        <w:r w:rsidRPr="00015167">
          <w:rPr>
            <w:rStyle w:val="Hyperlink"/>
            <w:sz w:val="16"/>
            <w:szCs w:val="16"/>
          </w:rPr>
          <w:t>http://www.ons.gov.uk/about-statistics/classifications/current/soc2010/soc2010-volume-3-ns-sec--rebased-on-soc2010--user-manual/index.html</w:t>
        </w:r>
      </w:hyperlink>
    </w:p>
    <w:p w:rsidR="006A043A" w:rsidRDefault="006A043A" w:rsidP="008B4D57">
      <w:pPr>
        <w:pStyle w:val="FootnoteText"/>
        <w:tabs>
          <w:tab w:val="left" w:pos="284"/>
        </w:tabs>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1788"/>
    <w:rsid w:val="000017E4"/>
    <w:rsid w:val="000033DA"/>
    <w:rsid w:val="00003708"/>
    <w:rsid w:val="00010B00"/>
    <w:rsid w:val="00012373"/>
    <w:rsid w:val="00015167"/>
    <w:rsid w:val="00022251"/>
    <w:rsid w:val="00022939"/>
    <w:rsid w:val="00025021"/>
    <w:rsid w:val="00025B4D"/>
    <w:rsid w:val="00037B9B"/>
    <w:rsid w:val="00051EAA"/>
    <w:rsid w:val="00063D8D"/>
    <w:rsid w:val="000664A2"/>
    <w:rsid w:val="000679CB"/>
    <w:rsid w:val="00074DF5"/>
    <w:rsid w:val="000858BF"/>
    <w:rsid w:val="000939E4"/>
    <w:rsid w:val="00097D17"/>
    <w:rsid w:val="000A0228"/>
    <w:rsid w:val="000B12E2"/>
    <w:rsid w:val="000B3746"/>
    <w:rsid w:val="000B49BE"/>
    <w:rsid w:val="000B5630"/>
    <w:rsid w:val="000B7CA0"/>
    <w:rsid w:val="000C3129"/>
    <w:rsid w:val="000C3451"/>
    <w:rsid w:val="000C36C9"/>
    <w:rsid w:val="000C3F73"/>
    <w:rsid w:val="000C61F7"/>
    <w:rsid w:val="000D01C9"/>
    <w:rsid w:val="000D6C5B"/>
    <w:rsid w:val="000E771A"/>
    <w:rsid w:val="000F0EEE"/>
    <w:rsid w:val="000F592E"/>
    <w:rsid w:val="000F5EF5"/>
    <w:rsid w:val="00115219"/>
    <w:rsid w:val="0011565C"/>
    <w:rsid w:val="001218AF"/>
    <w:rsid w:val="001240F7"/>
    <w:rsid w:val="001250EF"/>
    <w:rsid w:val="00127495"/>
    <w:rsid w:val="00130508"/>
    <w:rsid w:val="001434AA"/>
    <w:rsid w:val="00146424"/>
    <w:rsid w:val="00155A95"/>
    <w:rsid w:val="00174BF9"/>
    <w:rsid w:val="0018316F"/>
    <w:rsid w:val="00191788"/>
    <w:rsid w:val="0019323D"/>
    <w:rsid w:val="0019484E"/>
    <w:rsid w:val="001949E3"/>
    <w:rsid w:val="001A2D29"/>
    <w:rsid w:val="001B00CE"/>
    <w:rsid w:val="001B0A00"/>
    <w:rsid w:val="001B5CD9"/>
    <w:rsid w:val="001C755D"/>
    <w:rsid w:val="001D15FE"/>
    <w:rsid w:val="001D5048"/>
    <w:rsid w:val="001D6CA6"/>
    <w:rsid w:val="001E722E"/>
    <w:rsid w:val="001F5EAB"/>
    <w:rsid w:val="00204FEB"/>
    <w:rsid w:val="00205F3C"/>
    <w:rsid w:val="00211D6F"/>
    <w:rsid w:val="00214940"/>
    <w:rsid w:val="002202AC"/>
    <w:rsid w:val="00221271"/>
    <w:rsid w:val="00223B9C"/>
    <w:rsid w:val="0023031A"/>
    <w:rsid w:val="0023099C"/>
    <w:rsid w:val="00231863"/>
    <w:rsid w:val="002322F2"/>
    <w:rsid w:val="002335CE"/>
    <w:rsid w:val="00254596"/>
    <w:rsid w:val="00254D5C"/>
    <w:rsid w:val="002551CC"/>
    <w:rsid w:val="002577CC"/>
    <w:rsid w:val="00267D84"/>
    <w:rsid w:val="0027106A"/>
    <w:rsid w:val="00272E6C"/>
    <w:rsid w:val="002772B0"/>
    <w:rsid w:val="00286395"/>
    <w:rsid w:val="00294F2B"/>
    <w:rsid w:val="002A014D"/>
    <w:rsid w:val="002A2358"/>
    <w:rsid w:val="002B3C7A"/>
    <w:rsid w:val="002C3BF3"/>
    <w:rsid w:val="002C58D4"/>
    <w:rsid w:val="002E12EB"/>
    <w:rsid w:val="002E7856"/>
    <w:rsid w:val="002F5A1F"/>
    <w:rsid w:val="0030526C"/>
    <w:rsid w:val="00305AD1"/>
    <w:rsid w:val="0031539B"/>
    <w:rsid w:val="00317966"/>
    <w:rsid w:val="003206DD"/>
    <w:rsid w:val="0032576D"/>
    <w:rsid w:val="0033311B"/>
    <w:rsid w:val="0033578F"/>
    <w:rsid w:val="003422CA"/>
    <w:rsid w:val="00343C3B"/>
    <w:rsid w:val="003645D4"/>
    <w:rsid w:val="00365105"/>
    <w:rsid w:val="003825D9"/>
    <w:rsid w:val="00382D92"/>
    <w:rsid w:val="00385DDD"/>
    <w:rsid w:val="0038681F"/>
    <w:rsid w:val="00393F15"/>
    <w:rsid w:val="003966A4"/>
    <w:rsid w:val="0039731A"/>
    <w:rsid w:val="003B069B"/>
    <w:rsid w:val="003B213E"/>
    <w:rsid w:val="003B76FC"/>
    <w:rsid w:val="003C2E64"/>
    <w:rsid w:val="003C4F6B"/>
    <w:rsid w:val="003D1C87"/>
    <w:rsid w:val="003D66F3"/>
    <w:rsid w:val="003D7CB9"/>
    <w:rsid w:val="003E4F35"/>
    <w:rsid w:val="003F282E"/>
    <w:rsid w:val="00400289"/>
    <w:rsid w:val="004034ED"/>
    <w:rsid w:val="00406FF2"/>
    <w:rsid w:val="004137C3"/>
    <w:rsid w:val="00414537"/>
    <w:rsid w:val="00414B3C"/>
    <w:rsid w:val="0041645F"/>
    <w:rsid w:val="004252EB"/>
    <w:rsid w:val="0043344D"/>
    <w:rsid w:val="004367CA"/>
    <w:rsid w:val="004369BD"/>
    <w:rsid w:val="004444A0"/>
    <w:rsid w:val="004456DB"/>
    <w:rsid w:val="0045370D"/>
    <w:rsid w:val="004649CB"/>
    <w:rsid w:val="00472BDE"/>
    <w:rsid w:val="004742E9"/>
    <w:rsid w:val="00476BF0"/>
    <w:rsid w:val="00484511"/>
    <w:rsid w:val="0048591E"/>
    <w:rsid w:val="004876B6"/>
    <w:rsid w:val="00492706"/>
    <w:rsid w:val="0049659F"/>
    <w:rsid w:val="004A6549"/>
    <w:rsid w:val="004B0B74"/>
    <w:rsid w:val="004B2FD6"/>
    <w:rsid w:val="004B369A"/>
    <w:rsid w:val="004E4C6C"/>
    <w:rsid w:val="004F3BF9"/>
    <w:rsid w:val="004F3EBE"/>
    <w:rsid w:val="005012EC"/>
    <w:rsid w:val="00501B58"/>
    <w:rsid w:val="00530DF8"/>
    <w:rsid w:val="005313A0"/>
    <w:rsid w:val="00550292"/>
    <w:rsid w:val="00555588"/>
    <w:rsid w:val="00555E63"/>
    <w:rsid w:val="00557A80"/>
    <w:rsid w:val="0056123F"/>
    <w:rsid w:val="005626FF"/>
    <w:rsid w:val="00565901"/>
    <w:rsid w:val="00570001"/>
    <w:rsid w:val="00571A34"/>
    <w:rsid w:val="00573DB5"/>
    <w:rsid w:val="00576063"/>
    <w:rsid w:val="00581ACE"/>
    <w:rsid w:val="005A3FC8"/>
    <w:rsid w:val="005B2A65"/>
    <w:rsid w:val="005B44B1"/>
    <w:rsid w:val="005C50B9"/>
    <w:rsid w:val="005C75E9"/>
    <w:rsid w:val="005D0059"/>
    <w:rsid w:val="005E26FF"/>
    <w:rsid w:val="005E27AE"/>
    <w:rsid w:val="005E5621"/>
    <w:rsid w:val="00602B5E"/>
    <w:rsid w:val="00606201"/>
    <w:rsid w:val="0061624C"/>
    <w:rsid w:val="006366AB"/>
    <w:rsid w:val="00637FEC"/>
    <w:rsid w:val="00644CAF"/>
    <w:rsid w:val="006547B1"/>
    <w:rsid w:val="00664903"/>
    <w:rsid w:val="00664C5A"/>
    <w:rsid w:val="00667EA3"/>
    <w:rsid w:val="00673432"/>
    <w:rsid w:val="00680D94"/>
    <w:rsid w:val="006836B3"/>
    <w:rsid w:val="006937E1"/>
    <w:rsid w:val="006A043A"/>
    <w:rsid w:val="006A1377"/>
    <w:rsid w:val="006A16FB"/>
    <w:rsid w:val="006A5279"/>
    <w:rsid w:val="006C165D"/>
    <w:rsid w:val="006C4D03"/>
    <w:rsid w:val="006D358D"/>
    <w:rsid w:val="006E1CC7"/>
    <w:rsid w:val="006E2DD2"/>
    <w:rsid w:val="006E480F"/>
    <w:rsid w:val="006F031B"/>
    <w:rsid w:val="006F6572"/>
    <w:rsid w:val="00706D61"/>
    <w:rsid w:val="00714B56"/>
    <w:rsid w:val="00722E56"/>
    <w:rsid w:val="0072384C"/>
    <w:rsid w:val="00725ED8"/>
    <w:rsid w:val="007269F7"/>
    <w:rsid w:val="007435AC"/>
    <w:rsid w:val="007604EE"/>
    <w:rsid w:val="00764C82"/>
    <w:rsid w:val="007659FE"/>
    <w:rsid w:val="007675BF"/>
    <w:rsid w:val="00767DF0"/>
    <w:rsid w:val="00781962"/>
    <w:rsid w:val="0078489F"/>
    <w:rsid w:val="00784A45"/>
    <w:rsid w:val="00797E62"/>
    <w:rsid w:val="007A267D"/>
    <w:rsid w:val="007A71DF"/>
    <w:rsid w:val="007B4E05"/>
    <w:rsid w:val="007C2EEF"/>
    <w:rsid w:val="007C3BB7"/>
    <w:rsid w:val="007C6A81"/>
    <w:rsid w:val="007D4E45"/>
    <w:rsid w:val="007E2093"/>
    <w:rsid w:val="007E298F"/>
    <w:rsid w:val="007E5779"/>
    <w:rsid w:val="007E5C68"/>
    <w:rsid w:val="008005B6"/>
    <w:rsid w:val="00802A1D"/>
    <w:rsid w:val="00822DB7"/>
    <w:rsid w:val="00825D19"/>
    <w:rsid w:val="00826240"/>
    <w:rsid w:val="00832EDC"/>
    <w:rsid w:val="00842A52"/>
    <w:rsid w:val="0084583D"/>
    <w:rsid w:val="0085461E"/>
    <w:rsid w:val="0086026F"/>
    <w:rsid w:val="008670C5"/>
    <w:rsid w:val="00870574"/>
    <w:rsid w:val="0087315E"/>
    <w:rsid w:val="008853D5"/>
    <w:rsid w:val="008871EF"/>
    <w:rsid w:val="00895A81"/>
    <w:rsid w:val="008A0F7D"/>
    <w:rsid w:val="008B3AC1"/>
    <w:rsid w:val="008B4D57"/>
    <w:rsid w:val="008B7830"/>
    <w:rsid w:val="008C3560"/>
    <w:rsid w:val="008D284F"/>
    <w:rsid w:val="008E0D70"/>
    <w:rsid w:val="008E790C"/>
    <w:rsid w:val="008F3D2B"/>
    <w:rsid w:val="008F585E"/>
    <w:rsid w:val="009011C9"/>
    <w:rsid w:val="00901D5C"/>
    <w:rsid w:val="009029DC"/>
    <w:rsid w:val="0090362C"/>
    <w:rsid w:val="009226BA"/>
    <w:rsid w:val="0092288D"/>
    <w:rsid w:val="0092429D"/>
    <w:rsid w:val="00933D2E"/>
    <w:rsid w:val="00934BC1"/>
    <w:rsid w:val="00935E92"/>
    <w:rsid w:val="00943959"/>
    <w:rsid w:val="00954CF5"/>
    <w:rsid w:val="00955143"/>
    <w:rsid w:val="009552AB"/>
    <w:rsid w:val="0096372C"/>
    <w:rsid w:val="00966887"/>
    <w:rsid w:val="009829CE"/>
    <w:rsid w:val="00983F04"/>
    <w:rsid w:val="0099159F"/>
    <w:rsid w:val="009969AF"/>
    <w:rsid w:val="009A09F1"/>
    <w:rsid w:val="009A2E4F"/>
    <w:rsid w:val="009A5BB0"/>
    <w:rsid w:val="009B1F96"/>
    <w:rsid w:val="009C0E2A"/>
    <w:rsid w:val="009C1522"/>
    <w:rsid w:val="009C7F20"/>
    <w:rsid w:val="009D61D9"/>
    <w:rsid w:val="009E2EF2"/>
    <w:rsid w:val="009E7750"/>
    <w:rsid w:val="00A03C16"/>
    <w:rsid w:val="00A2154F"/>
    <w:rsid w:val="00A56A82"/>
    <w:rsid w:val="00A72AAA"/>
    <w:rsid w:val="00A74407"/>
    <w:rsid w:val="00A85F5A"/>
    <w:rsid w:val="00AD029F"/>
    <w:rsid w:val="00AD1D20"/>
    <w:rsid w:val="00AD4D5F"/>
    <w:rsid w:val="00AD5951"/>
    <w:rsid w:val="00AD7436"/>
    <w:rsid w:val="00AE70BF"/>
    <w:rsid w:val="00B039DB"/>
    <w:rsid w:val="00B15F9E"/>
    <w:rsid w:val="00B22B60"/>
    <w:rsid w:val="00B25EF0"/>
    <w:rsid w:val="00B32CAB"/>
    <w:rsid w:val="00B32EAD"/>
    <w:rsid w:val="00B350E4"/>
    <w:rsid w:val="00B3587B"/>
    <w:rsid w:val="00B36820"/>
    <w:rsid w:val="00B40896"/>
    <w:rsid w:val="00B53F54"/>
    <w:rsid w:val="00B55076"/>
    <w:rsid w:val="00B57223"/>
    <w:rsid w:val="00B65775"/>
    <w:rsid w:val="00B6793E"/>
    <w:rsid w:val="00B7092D"/>
    <w:rsid w:val="00B72A14"/>
    <w:rsid w:val="00B75859"/>
    <w:rsid w:val="00B809F9"/>
    <w:rsid w:val="00B8561B"/>
    <w:rsid w:val="00B86CFB"/>
    <w:rsid w:val="00B872B7"/>
    <w:rsid w:val="00B8743E"/>
    <w:rsid w:val="00B92A19"/>
    <w:rsid w:val="00B9330E"/>
    <w:rsid w:val="00B96235"/>
    <w:rsid w:val="00BA1265"/>
    <w:rsid w:val="00BA647E"/>
    <w:rsid w:val="00BA6B63"/>
    <w:rsid w:val="00BB1D35"/>
    <w:rsid w:val="00BB382E"/>
    <w:rsid w:val="00BB6B12"/>
    <w:rsid w:val="00BC05A9"/>
    <w:rsid w:val="00BC582C"/>
    <w:rsid w:val="00BD32E7"/>
    <w:rsid w:val="00BD3884"/>
    <w:rsid w:val="00BE02AB"/>
    <w:rsid w:val="00BE06B2"/>
    <w:rsid w:val="00BE4738"/>
    <w:rsid w:val="00BE47BD"/>
    <w:rsid w:val="00BF2499"/>
    <w:rsid w:val="00BF2655"/>
    <w:rsid w:val="00BF31EF"/>
    <w:rsid w:val="00BF4B2D"/>
    <w:rsid w:val="00C04611"/>
    <w:rsid w:val="00C127E2"/>
    <w:rsid w:val="00C242DB"/>
    <w:rsid w:val="00C24920"/>
    <w:rsid w:val="00C24DDA"/>
    <w:rsid w:val="00C30474"/>
    <w:rsid w:val="00C320F6"/>
    <w:rsid w:val="00C42523"/>
    <w:rsid w:val="00C4365C"/>
    <w:rsid w:val="00C5582F"/>
    <w:rsid w:val="00C56210"/>
    <w:rsid w:val="00C566DE"/>
    <w:rsid w:val="00C641FE"/>
    <w:rsid w:val="00C64243"/>
    <w:rsid w:val="00C65E07"/>
    <w:rsid w:val="00C66B93"/>
    <w:rsid w:val="00C80B6A"/>
    <w:rsid w:val="00C81DDF"/>
    <w:rsid w:val="00C84389"/>
    <w:rsid w:val="00C91384"/>
    <w:rsid w:val="00C91CC9"/>
    <w:rsid w:val="00C92497"/>
    <w:rsid w:val="00C977D0"/>
    <w:rsid w:val="00CA07B8"/>
    <w:rsid w:val="00CA3415"/>
    <w:rsid w:val="00CB1E25"/>
    <w:rsid w:val="00CC61E4"/>
    <w:rsid w:val="00CE34BE"/>
    <w:rsid w:val="00CE3575"/>
    <w:rsid w:val="00CF5ACD"/>
    <w:rsid w:val="00D04AA0"/>
    <w:rsid w:val="00D06AC1"/>
    <w:rsid w:val="00D12393"/>
    <w:rsid w:val="00D233D5"/>
    <w:rsid w:val="00D24A88"/>
    <w:rsid w:val="00D46153"/>
    <w:rsid w:val="00D53462"/>
    <w:rsid w:val="00D5614D"/>
    <w:rsid w:val="00D72D4B"/>
    <w:rsid w:val="00D741C8"/>
    <w:rsid w:val="00DA3AEE"/>
    <w:rsid w:val="00DA6365"/>
    <w:rsid w:val="00DA78F9"/>
    <w:rsid w:val="00DA79AD"/>
    <w:rsid w:val="00DC16FD"/>
    <w:rsid w:val="00DC3E11"/>
    <w:rsid w:val="00DD193B"/>
    <w:rsid w:val="00DD30D6"/>
    <w:rsid w:val="00DE213F"/>
    <w:rsid w:val="00DE248F"/>
    <w:rsid w:val="00DE72D7"/>
    <w:rsid w:val="00E07990"/>
    <w:rsid w:val="00E07F6B"/>
    <w:rsid w:val="00E1041A"/>
    <w:rsid w:val="00E14CE3"/>
    <w:rsid w:val="00E170E4"/>
    <w:rsid w:val="00E30004"/>
    <w:rsid w:val="00E306E2"/>
    <w:rsid w:val="00E3088D"/>
    <w:rsid w:val="00E370BE"/>
    <w:rsid w:val="00E553E2"/>
    <w:rsid w:val="00E55446"/>
    <w:rsid w:val="00E60B84"/>
    <w:rsid w:val="00E71348"/>
    <w:rsid w:val="00E7189C"/>
    <w:rsid w:val="00E76542"/>
    <w:rsid w:val="00E875CB"/>
    <w:rsid w:val="00E94F5A"/>
    <w:rsid w:val="00EA2BB1"/>
    <w:rsid w:val="00EA4F1F"/>
    <w:rsid w:val="00EA6B37"/>
    <w:rsid w:val="00EB2E76"/>
    <w:rsid w:val="00EB3256"/>
    <w:rsid w:val="00EC108C"/>
    <w:rsid w:val="00EC17EB"/>
    <w:rsid w:val="00EC2C41"/>
    <w:rsid w:val="00EE3ADA"/>
    <w:rsid w:val="00EE4189"/>
    <w:rsid w:val="00EE6DCB"/>
    <w:rsid w:val="00EF7C66"/>
    <w:rsid w:val="00F015F8"/>
    <w:rsid w:val="00F1737B"/>
    <w:rsid w:val="00F20179"/>
    <w:rsid w:val="00F22B67"/>
    <w:rsid w:val="00F23B08"/>
    <w:rsid w:val="00F23E7E"/>
    <w:rsid w:val="00F25D79"/>
    <w:rsid w:val="00F3021B"/>
    <w:rsid w:val="00F36DAC"/>
    <w:rsid w:val="00F44DFF"/>
    <w:rsid w:val="00F45BA3"/>
    <w:rsid w:val="00F472D8"/>
    <w:rsid w:val="00F62503"/>
    <w:rsid w:val="00F62A9E"/>
    <w:rsid w:val="00F6596E"/>
    <w:rsid w:val="00F664B3"/>
    <w:rsid w:val="00F677B7"/>
    <w:rsid w:val="00F74C6E"/>
    <w:rsid w:val="00F76E82"/>
    <w:rsid w:val="00F8115B"/>
    <w:rsid w:val="00F83A42"/>
    <w:rsid w:val="00FA1481"/>
    <w:rsid w:val="00FA2DD2"/>
    <w:rsid w:val="00FA3FA4"/>
    <w:rsid w:val="00FB1984"/>
    <w:rsid w:val="00FC2F71"/>
    <w:rsid w:val="00FC6D0B"/>
    <w:rsid w:val="00FD793F"/>
    <w:rsid w:val="00FE0D56"/>
    <w:rsid w:val="00FE271D"/>
    <w:rsid w:val="00FE544F"/>
    <w:rsid w:val="00FF7A80"/>
    <w:rsid w:val="00FF7E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 Text Char Char Char"/>
    <w:basedOn w:val="Normal"/>
    <w:link w:val="FootnoteTextChar"/>
    <w:uiPriority w:val="99"/>
    <w:unhideWhenUsed/>
    <w:rsid w:val="00B75859"/>
    <w:pPr>
      <w:spacing w:after="0" w:line="240" w:lineRule="auto"/>
    </w:pPr>
    <w:rPr>
      <w:sz w:val="20"/>
      <w:szCs w:val="20"/>
    </w:rPr>
  </w:style>
  <w:style w:type="character" w:customStyle="1" w:styleId="FootnoteTextChar">
    <w:name w:val="Footnote Text Char"/>
    <w:aliases w:val="Footnote Text Char Char Char Char"/>
    <w:basedOn w:val="DefaultParagraphFont"/>
    <w:link w:val="FootnoteText"/>
    <w:uiPriority w:val="99"/>
    <w:rsid w:val="00B75859"/>
    <w:rPr>
      <w:sz w:val="20"/>
      <w:szCs w:val="20"/>
    </w:rPr>
  </w:style>
  <w:style w:type="character" w:styleId="FootnoteReference">
    <w:name w:val="footnote reference"/>
    <w:basedOn w:val="DefaultParagraphFont"/>
    <w:uiPriority w:val="99"/>
    <w:semiHidden/>
    <w:unhideWhenUsed/>
    <w:rsid w:val="00B75859"/>
    <w:rPr>
      <w:vertAlign w:val="superscript"/>
    </w:rPr>
  </w:style>
  <w:style w:type="paragraph" w:styleId="BalloonText">
    <w:name w:val="Balloon Text"/>
    <w:basedOn w:val="Normal"/>
    <w:link w:val="BalloonTextChar"/>
    <w:uiPriority w:val="99"/>
    <w:semiHidden/>
    <w:unhideWhenUsed/>
    <w:rsid w:val="002303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031A"/>
    <w:rPr>
      <w:rFonts w:ascii="Tahoma" w:hAnsi="Tahoma" w:cs="Tahoma"/>
      <w:sz w:val="16"/>
      <w:szCs w:val="16"/>
    </w:rPr>
  </w:style>
  <w:style w:type="paragraph" w:styleId="Header">
    <w:name w:val="header"/>
    <w:basedOn w:val="Normal"/>
    <w:link w:val="HeaderChar"/>
    <w:uiPriority w:val="99"/>
    <w:unhideWhenUsed/>
    <w:rsid w:val="005C75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C75E9"/>
  </w:style>
  <w:style w:type="paragraph" w:styleId="Footer">
    <w:name w:val="footer"/>
    <w:basedOn w:val="Normal"/>
    <w:link w:val="FooterChar"/>
    <w:uiPriority w:val="99"/>
    <w:unhideWhenUsed/>
    <w:rsid w:val="005C75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C75E9"/>
  </w:style>
  <w:style w:type="paragraph" w:styleId="NormalWeb">
    <w:name w:val="Normal (Web)"/>
    <w:basedOn w:val="Normal"/>
    <w:uiPriority w:val="99"/>
    <w:semiHidden/>
    <w:unhideWhenUsed/>
    <w:rsid w:val="008D284F"/>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822DB7"/>
    <w:pPr>
      <w:spacing w:after="0" w:line="240" w:lineRule="auto"/>
    </w:pPr>
    <w:rPr>
      <w:rFonts w:ascii="Arial" w:eastAsia="Calibri" w:hAnsi="Arial" w:cs="Arial"/>
      <w: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CE34BE"/>
    <w:rPr>
      <w:color w:val="0000FF" w:themeColor="hyperlink"/>
      <w:u w:val="single"/>
    </w:rPr>
  </w:style>
  <w:style w:type="character" w:styleId="FollowedHyperlink">
    <w:name w:val="FollowedHyperlink"/>
    <w:basedOn w:val="DefaultParagraphFont"/>
    <w:uiPriority w:val="99"/>
    <w:semiHidden/>
    <w:unhideWhenUsed/>
    <w:rsid w:val="00F76E82"/>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 Text Char Char Char"/>
    <w:basedOn w:val="Normal"/>
    <w:link w:val="FootnoteTextChar"/>
    <w:uiPriority w:val="99"/>
    <w:unhideWhenUsed/>
    <w:rsid w:val="00B75859"/>
    <w:pPr>
      <w:spacing w:after="0" w:line="240" w:lineRule="auto"/>
    </w:pPr>
    <w:rPr>
      <w:sz w:val="20"/>
      <w:szCs w:val="20"/>
    </w:rPr>
  </w:style>
  <w:style w:type="character" w:customStyle="1" w:styleId="FootnoteTextChar">
    <w:name w:val="Footnote Text Char"/>
    <w:aliases w:val="Footnote Text Char Char Char Char"/>
    <w:basedOn w:val="DefaultParagraphFont"/>
    <w:link w:val="FootnoteText"/>
    <w:uiPriority w:val="99"/>
    <w:rsid w:val="00B75859"/>
    <w:rPr>
      <w:sz w:val="20"/>
      <w:szCs w:val="20"/>
    </w:rPr>
  </w:style>
  <w:style w:type="character" w:styleId="FootnoteReference">
    <w:name w:val="footnote reference"/>
    <w:basedOn w:val="DefaultParagraphFont"/>
    <w:uiPriority w:val="99"/>
    <w:semiHidden/>
    <w:unhideWhenUsed/>
    <w:rsid w:val="00B75859"/>
    <w:rPr>
      <w:vertAlign w:val="superscript"/>
    </w:rPr>
  </w:style>
  <w:style w:type="paragraph" w:styleId="BalloonText">
    <w:name w:val="Balloon Text"/>
    <w:basedOn w:val="Normal"/>
    <w:link w:val="BalloonTextChar"/>
    <w:uiPriority w:val="99"/>
    <w:semiHidden/>
    <w:unhideWhenUsed/>
    <w:rsid w:val="002303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031A"/>
    <w:rPr>
      <w:rFonts w:ascii="Tahoma" w:hAnsi="Tahoma" w:cs="Tahoma"/>
      <w:sz w:val="16"/>
      <w:szCs w:val="16"/>
    </w:rPr>
  </w:style>
  <w:style w:type="paragraph" w:styleId="Header">
    <w:name w:val="header"/>
    <w:basedOn w:val="Normal"/>
    <w:link w:val="HeaderChar"/>
    <w:uiPriority w:val="99"/>
    <w:unhideWhenUsed/>
    <w:rsid w:val="005C75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C75E9"/>
  </w:style>
  <w:style w:type="paragraph" w:styleId="Footer">
    <w:name w:val="footer"/>
    <w:basedOn w:val="Normal"/>
    <w:link w:val="FooterChar"/>
    <w:uiPriority w:val="99"/>
    <w:unhideWhenUsed/>
    <w:rsid w:val="005C75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C75E9"/>
  </w:style>
  <w:style w:type="paragraph" w:styleId="NormalWeb">
    <w:name w:val="Normal (Web)"/>
    <w:basedOn w:val="Normal"/>
    <w:uiPriority w:val="99"/>
    <w:semiHidden/>
    <w:unhideWhenUsed/>
    <w:rsid w:val="008D284F"/>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822DB7"/>
    <w:pPr>
      <w:spacing w:after="0" w:line="240" w:lineRule="auto"/>
    </w:pPr>
    <w:rPr>
      <w:rFonts w:ascii="Arial" w:eastAsia="Calibri" w:hAnsi="Arial" w:cs="Arial"/>
      <w: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CE34BE"/>
    <w:rPr>
      <w:color w:val="0000FF" w:themeColor="hyperlink"/>
      <w:u w:val="single"/>
    </w:rPr>
  </w:style>
  <w:style w:type="character" w:styleId="FollowedHyperlink">
    <w:name w:val="FollowedHyperlink"/>
    <w:basedOn w:val="DefaultParagraphFont"/>
    <w:uiPriority w:val="99"/>
    <w:semiHidden/>
    <w:unhideWhenUsed/>
    <w:rsid w:val="00F76E8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6354620">
      <w:bodyDiv w:val="1"/>
      <w:marLeft w:val="0"/>
      <w:marRight w:val="0"/>
      <w:marTop w:val="0"/>
      <w:marBottom w:val="0"/>
      <w:divBdr>
        <w:top w:val="none" w:sz="0" w:space="0" w:color="auto"/>
        <w:left w:val="none" w:sz="0" w:space="0" w:color="auto"/>
        <w:bottom w:val="none" w:sz="0" w:space="0" w:color="auto"/>
        <w:right w:val="none" w:sz="0" w:space="0" w:color="auto"/>
      </w:divBdr>
    </w:div>
    <w:div w:id="592129570">
      <w:bodyDiv w:val="1"/>
      <w:marLeft w:val="0"/>
      <w:marRight w:val="0"/>
      <w:marTop w:val="0"/>
      <w:marBottom w:val="0"/>
      <w:divBdr>
        <w:top w:val="none" w:sz="0" w:space="0" w:color="auto"/>
        <w:left w:val="none" w:sz="0" w:space="0" w:color="auto"/>
        <w:bottom w:val="none" w:sz="0" w:space="0" w:color="auto"/>
        <w:right w:val="none" w:sz="0" w:space="0" w:color="auto"/>
      </w:divBdr>
    </w:div>
    <w:div w:id="1020427110">
      <w:bodyDiv w:val="1"/>
      <w:marLeft w:val="0"/>
      <w:marRight w:val="0"/>
      <w:marTop w:val="0"/>
      <w:marBottom w:val="0"/>
      <w:divBdr>
        <w:top w:val="none" w:sz="0" w:space="0" w:color="auto"/>
        <w:left w:val="none" w:sz="0" w:space="0" w:color="auto"/>
        <w:bottom w:val="none" w:sz="0" w:space="0" w:color="auto"/>
        <w:right w:val="none" w:sz="0" w:space="0" w:color="auto"/>
      </w:divBdr>
    </w:div>
    <w:div w:id="1178275342">
      <w:bodyDiv w:val="1"/>
      <w:marLeft w:val="0"/>
      <w:marRight w:val="0"/>
      <w:marTop w:val="0"/>
      <w:marBottom w:val="0"/>
      <w:divBdr>
        <w:top w:val="none" w:sz="0" w:space="0" w:color="auto"/>
        <w:left w:val="none" w:sz="0" w:space="0" w:color="auto"/>
        <w:bottom w:val="none" w:sz="0" w:space="0" w:color="auto"/>
        <w:right w:val="none" w:sz="0" w:space="0" w:color="auto"/>
      </w:divBdr>
    </w:div>
    <w:div w:id="1245266648">
      <w:bodyDiv w:val="1"/>
      <w:marLeft w:val="0"/>
      <w:marRight w:val="0"/>
      <w:marTop w:val="0"/>
      <w:marBottom w:val="0"/>
      <w:divBdr>
        <w:top w:val="none" w:sz="0" w:space="0" w:color="auto"/>
        <w:left w:val="none" w:sz="0" w:space="0" w:color="auto"/>
        <w:bottom w:val="none" w:sz="0" w:space="0" w:color="auto"/>
        <w:right w:val="none" w:sz="0" w:space="0" w:color="auto"/>
      </w:divBdr>
    </w:div>
    <w:div w:id="1602182372">
      <w:bodyDiv w:val="1"/>
      <w:marLeft w:val="0"/>
      <w:marRight w:val="0"/>
      <w:marTop w:val="0"/>
      <w:marBottom w:val="0"/>
      <w:divBdr>
        <w:top w:val="none" w:sz="0" w:space="0" w:color="auto"/>
        <w:left w:val="none" w:sz="0" w:space="0" w:color="auto"/>
        <w:bottom w:val="none" w:sz="0" w:space="0" w:color="auto"/>
        <w:right w:val="none" w:sz="0" w:space="0" w:color="auto"/>
      </w:divBdr>
    </w:div>
    <w:div w:id="1627465917">
      <w:bodyDiv w:val="1"/>
      <w:marLeft w:val="0"/>
      <w:marRight w:val="0"/>
      <w:marTop w:val="0"/>
      <w:marBottom w:val="0"/>
      <w:divBdr>
        <w:top w:val="none" w:sz="0" w:space="0" w:color="auto"/>
        <w:left w:val="none" w:sz="0" w:space="0" w:color="auto"/>
        <w:bottom w:val="none" w:sz="0" w:space="0" w:color="auto"/>
        <w:right w:val="none" w:sz="0" w:space="0" w:color="auto"/>
      </w:divBdr>
    </w:div>
    <w:div w:id="1702172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6.jpeg"/><Relationship Id="rId26" Type="http://schemas.openxmlformats.org/officeDocument/2006/relationships/hyperlink" Target="http://www.bis.gov.uk/assets/biscore/science/docs/u/10-p106-uk-innovation-survey-2009-statistical-annex" TargetMode="External"/><Relationship Id="rId3" Type="http://schemas.microsoft.com/office/2007/relationships/stylesWithEffects" Target="stylesWithEffects.xml"/><Relationship Id="rId21" Type="http://schemas.openxmlformats.org/officeDocument/2006/relationships/hyperlink" Target="http://stats.bis.gov.uk/UKSA/he/sa20110331.htm"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facebook.com/media/set/?set=a.154694447885666.29219.154694111219033&amp;type=1" TargetMode="External"/><Relationship Id="rId25" Type="http://schemas.openxmlformats.org/officeDocument/2006/relationships/hyperlink" Target="http://www2.warwick.ac.uk/fac/soc/ier/research/completed/7yrs2/rp6.pdf" TargetMode="Externa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ate.purcell@warwick.ac.uk" TargetMode="External"/><Relationship Id="rId24"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s://www.irma.ac.in/index.php" TargetMode="External"/><Relationship Id="rId23" Type="http://schemas.openxmlformats.org/officeDocument/2006/relationships/package" Target="embeddings/Microsoft_Excel_Worksheet1.xlsx"/><Relationship Id="rId28" Type="http://schemas.openxmlformats.org/officeDocument/2006/relationships/theme" Target="theme/theme1.xml"/><Relationship Id="rId10" Type="http://schemas.openxmlformats.org/officeDocument/2006/relationships/hyperlink" Target="mailto:peter.elias@warwick.ac.uk" TargetMode="External"/><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jpeg"/><Relationship Id="rId22" Type="http://schemas.openxmlformats.org/officeDocument/2006/relationships/image" Target="media/image7.emf"/><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ons.gov.uk/about-statistics/classifications/current/soc2010/soc2010-volume-3-ns-sec--rebased-on-soc2010--user-manual/index.html" TargetMode="External"/><Relationship Id="rId1" Type="http://schemas.openxmlformats.org/officeDocument/2006/relationships/hyperlink" Target="mailto:p.elias@warwick.ac.uk"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Projects\Ascona%20and%20DECOWE%20paper\Data%20for%20Figure%20%20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Projects\LFS%20data\Analysis%20for%20WEAI%20paper%202011\Earnings%20analy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Projects\LFS%20data\Analysis%20for%20WEAI%20paper%202011\Social%20mobility%20tabl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03042015091911"/>
          <c:y val="6.648310441935662E-2"/>
          <c:w val="0.8517714141453715"/>
          <c:h val="0.81394146671305168"/>
        </c:manualLayout>
      </c:layout>
      <c:lineChart>
        <c:grouping val="standard"/>
        <c:varyColors val="0"/>
        <c:ser>
          <c:idx val="1"/>
          <c:order val="0"/>
          <c:tx>
            <c:strRef>
              <c:f>Sheet1!$C$1</c:f>
              <c:strCache>
                <c:ptCount val="1"/>
                <c:pt idx="0">
                  <c:v>Other employment</c:v>
                </c:pt>
              </c:strCache>
            </c:strRef>
          </c:tx>
          <c:spPr>
            <a:ln w="25400"/>
          </c:spPr>
          <c:marker>
            <c:symbol val="none"/>
          </c:marker>
          <c:cat>
            <c:numRef>
              <c:f>Sheet1!$A$2:$A$20</c:f>
              <c:numCache>
                <c:formatCode>General</c:formatCode>
                <c:ptCount val="19"/>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numCache>
            </c:numRef>
          </c:cat>
          <c:val>
            <c:numRef>
              <c:f>Sheet1!$C$2:$C$20</c:f>
              <c:numCache>
                <c:formatCode>General</c:formatCode>
                <c:ptCount val="19"/>
                <c:pt idx="0">
                  <c:v>16.2</c:v>
                </c:pt>
                <c:pt idx="1">
                  <c:v>15.9</c:v>
                </c:pt>
                <c:pt idx="2">
                  <c:v>15.9</c:v>
                </c:pt>
                <c:pt idx="3">
                  <c:v>16.5</c:v>
                </c:pt>
                <c:pt idx="4">
                  <c:v>16.5</c:v>
                </c:pt>
                <c:pt idx="5">
                  <c:v>16.8</c:v>
                </c:pt>
                <c:pt idx="6">
                  <c:v>16.899999999999999</c:v>
                </c:pt>
                <c:pt idx="7">
                  <c:v>16.899999999999999</c:v>
                </c:pt>
                <c:pt idx="8">
                  <c:v>17</c:v>
                </c:pt>
                <c:pt idx="9">
                  <c:v>16.899999999999999</c:v>
                </c:pt>
                <c:pt idx="10">
                  <c:v>16.7</c:v>
                </c:pt>
                <c:pt idx="11">
                  <c:v>16.600000000000001</c:v>
                </c:pt>
                <c:pt idx="12">
                  <c:v>16.7</c:v>
                </c:pt>
                <c:pt idx="13">
                  <c:v>16.7</c:v>
                </c:pt>
                <c:pt idx="14">
                  <c:v>16.600000000000001</c:v>
                </c:pt>
                <c:pt idx="15">
                  <c:v>16.600000000000001</c:v>
                </c:pt>
                <c:pt idx="16">
                  <c:v>16.600000000000001</c:v>
                </c:pt>
                <c:pt idx="17">
                  <c:v>16.3</c:v>
                </c:pt>
                <c:pt idx="18">
                  <c:v>15.9</c:v>
                </c:pt>
              </c:numCache>
            </c:numRef>
          </c:val>
          <c:smooth val="0"/>
        </c:ser>
        <c:ser>
          <c:idx val="2"/>
          <c:order val="1"/>
          <c:tx>
            <c:strRef>
              <c:f>Sheet1!$D$1</c:f>
              <c:strCache>
                <c:ptCount val="1"/>
                <c:pt idx="0">
                  <c:v>Employment in managerial, professional, technical and associate professional jobs</c:v>
                </c:pt>
              </c:strCache>
            </c:strRef>
          </c:tx>
          <c:spPr>
            <a:ln w="25400"/>
          </c:spPr>
          <c:marker>
            <c:symbol val="none"/>
          </c:marker>
          <c:cat>
            <c:numRef>
              <c:f>Sheet1!$A$2:$A$20</c:f>
              <c:numCache>
                <c:formatCode>General</c:formatCode>
                <c:ptCount val="19"/>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numCache>
            </c:numRef>
          </c:cat>
          <c:val>
            <c:numRef>
              <c:f>Sheet1!$D$2:$D$20</c:f>
              <c:numCache>
                <c:formatCode>General</c:formatCode>
                <c:ptCount val="19"/>
                <c:pt idx="0">
                  <c:v>8.5</c:v>
                </c:pt>
                <c:pt idx="1">
                  <c:v>8.6</c:v>
                </c:pt>
                <c:pt idx="2">
                  <c:v>8.8000000000000007</c:v>
                </c:pt>
                <c:pt idx="3">
                  <c:v>9.1</c:v>
                </c:pt>
                <c:pt idx="4">
                  <c:v>9.3000000000000007</c:v>
                </c:pt>
                <c:pt idx="5">
                  <c:v>9.6</c:v>
                </c:pt>
                <c:pt idx="6">
                  <c:v>9.7000000000000011</c:v>
                </c:pt>
                <c:pt idx="7">
                  <c:v>10</c:v>
                </c:pt>
                <c:pt idx="8">
                  <c:v>10.3</c:v>
                </c:pt>
                <c:pt idx="9">
                  <c:v>10.7</c:v>
                </c:pt>
                <c:pt idx="10">
                  <c:v>10.8</c:v>
                </c:pt>
                <c:pt idx="11">
                  <c:v>11.1</c:v>
                </c:pt>
                <c:pt idx="12">
                  <c:v>11.6</c:v>
                </c:pt>
                <c:pt idx="13">
                  <c:v>11.8</c:v>
                </c:pt>
                <c:pt idx="14">
                  <c:v>12.2</c:v>
                </c:pt>
                <c:pt idx="15">
                  <c:v>12.3</c:v>
                </c:pt>
                <c:pt idx="16">
                  <c:v>12.6</c:v>
                </c:pt>
                <c:pt idx="17">
                  <c:v>12.6</c:v>
                </c:pt>
                <c:pt idx="18">
                  <c:v>12.6</c:v>
                </c:pt>
              </c:numCache>
            </c:numRef>
          </c:val>
          <c:smooth val="0"/>
        </c:ser>
        <c:dLbls>
          <c:showLegendKey val="0"/>
          <c:showVal val="0"/>
          <c:showCatName val="0"/>
          <c:showSerName val="0"/>
          <c:showPercent val="0"/>
          <c:showBubbleSize val="0"/>
        </c:dLbls>
        <c:marker val="1"/>
        <c:smooth val="0"/>
        <c:axId val="232475648"/>
        <c:axId val="232477440"/>
      </c:lineChart>
      <c:catAx>
        <c:axId val="232475648"/>
        <c:scaling>
          <c:orientation val="minMax"/>
        </c:scaling>
        <c:delete val="0"/>
        <c:axPos val="b"/>
        <c:numFmt formatCode="General" sourceLinked="1"/>
        <c:majorTickMark val="out"/>
        <c:minorTickMark val="none"/>
        <c:tickLblPos val="nextTo"/>
        <c:txPr>
          <a:bodyPr rot="-1380000"/>
          <a:lstStyle/>
          <a:p>
            <a:pPr>
              <a:defRPr sz="600"/>
            </a:pPr>
            <a:endParaRPr lang="en-US"/>
          </a:p>
        </c:txPr>
        <c:crossAx val="232477440"/>
        <c:crosses val="autoZero"/>
        <c:auto val="1"/>
        <c:lblAlgn val="ctr"/>
        <c:lblOffset val="100"/>
        <c:noMultiLvlLbl val="0"/>
      </c:catAx>
      <c:valAx>
        <c:axId val="232477440"/>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title>
          <c:tx>
            <c:rich>
              <a:bodyPr rot="-5400000" vert="horz"/>
              <a:lstStyle/>
              <a:p>
                <a:pPr>
                  <a:defRPr sz="800" b="0"/>
                </a:pPr>
                <a:r>
                  <a:rPr lang="en-US" sz="800" b="0"/>
                  <a:t>Employment (millions)</a:t>
                </a:r>
              </a:p>
            </c:rich>
          </c:tx>
          <c:layout>
            <c:manualLayout>
              <c:xMode val="edge"/>
              <c:yMode val="edge"/>
              <c:x val="1.3804223746781003E-2"/>
              <c:y val="0.29529711160549754"/>
            </c:manualLayout>
          </c:layout>
          <c:overlay val="0"/>
        </c:title>
        <c:numFmt formatCode="General" sourceLinked="1"/>
        <c:majorTickMark val="out"/>
        <c:minorTickMark val="none"/>
        <c:tickLblPos val="nextTo"/>
        <c:txPr>
          <a:bodyPr/>
          <a:lstStyle/>
          <a:p>
            <a:pPr>
              <a:defRPr sz="800"/>
            </a:pPr>
            <a:endParaRPr lang="en-US"/>
          </a:p>
        </c:txPr>
        <c:crossAx val="232475648"/>
        <c:crosses val="autoZero"/>
        <c:crossBetween val="between"/>
      </c:valAx>
    </c:plotArea>
    <c:legend>
      <c:legendPos val="r"/>
      <c:layout>
        <c:manualLayout>
          <c:xMode val="edge"/>
          <c:yMode val="edge"/>
          <c:x val="0.58958320532337749"/>
          <c:y val="0.47119275934128141"/>
          <c:w val="0.37000153105861788"/>
          <c:h val="0.35668404482889865"/>
        </c:manualLayout>
      </c:layout>
      <c:overlay val="0"/>
      <c:txPr>
        <a:bodyPr/>
        <a:lstStyle/>
        <a:p>
          <a:pPr>
            <a:defRPr sz="800"/>
          </a:pPr>
          <a:endParaRPr lang="en-US"/>
        </a:p>
      </c:txPr>
    </c:legend>
    <c:plotVisOnly val="1"/>
    <c:dispBlanksAs val="gap"/>
    <c:showDLblsOverMax val="0"/>
  </c:chart>
  <c:spPr>
    <a:ln>
      <a:noFill/>
    </a:ln>
  </c:spPr>
  <c:txPr>
    <a:bodyPr/>
    <a:lstStyle/>
    <a:p>
      <a:pPr>
        <a:defRPr sz="1400"/>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541748068444104E-2"/>
          <c:y val="8.8041070730728463E-2"/>
          <c:w val="0.91903870235514284"/>
          <c:h val="0.79213700655911268"/>
        </c:manualLayout>
      </c:layout>
      <c:lineChart>
        <c:grouping val="standard"/>
        <c:varyColors val="0"/>
        <c:ser>
          <c:idx val="0"/>
          <c:order val="0"/>
          <c:tx>
            <c:strRef>
              <c:f>Sheet2!$B$1</c:f>
              <c:strCache>
                <c:ptCount val="1"/>
                <c:pt idx="0">
                  <c:v>Age Particpation Index (%)</c:v>
                </c:pt>
              </c:strCache>
            </c:strRef>
          </c:tx>
          <c:spPr>
            <a:ln w="25400"/>
          </c:spPr>
          <c:marker>
            <c:symbol val="none"/>
          </c:marker>
          <c:cat>
            <c:strRef>
              <c:f>Sheet2!$A$2:$A$36</c:f>
              <c:strCache>
                <c:ptCount val="35"/>
                <c:pt idx="0">
                  <c:v>1975/6</c:v>
                </c:pt>
                <c:pt idx="1">
                  <c:v>1976/7</c:v>
                </c:pt>
                <c:pt idx="2">
                  <c:v>1977/8</c:v>
                </c:pt>
                <c:pt idx="3">
                  <c:v>1978/9</c:v>
                </c:pt>
                <c:pt idx="4">
                  <c:v>1979/80</c:v>
                </c:pt>
                <c:pt idx="5">
                  <c:v>1980/1</c:v>
                </c:pt>
                <c:pt idx="6">
                  <c:v>1981/2</c:v>
                </c:pt>
                <c:pt idx="7">
                  <c:v>1982/3</c:v>
                </c:pt>
                <c:pt idx="8">
                  <c:v>1983/4</c:v>
                </c:pt>
                <c:pt idx="9">
                  <c:v>1984/5</c:v>
                </c:pt>
                <c:pt idx="10">
                  <c:v>1985/6</c:v>
                </c:pt>
                <c:pt idx="11">
                  <c:v>1986/7</c:v>
                </c:pt>
                <c:pt idx="12">
                  <c:v>1987/8</c:v>
                </c:pt>
                <c:pt idx="13">
                  <c:v>1988/9</c:v>
                </c:pt>
                <c:pt idx="14">
                  <c:v>1989/90</c:v>
                </c:pt>
                <c:pt idx="15">
                  <c:v>1990/1</c:v>
                </c:pt>
                <c:pt idx="16">
                  <c:v>1991/2</c:v>
                </c:pt>
                <c:pt idx="17">
                  <c:v>1992/3</c:v>
                </c:pt>
                <c:pt idx="18">
                  <c:v>1993/4</c:v>
                </c:pt>
                <c:pt idx="19">
                  <c:v>1994/5</c:v>
                </c:pt>
                <c:pt idx="20">
                  <c:v>1995/6</c:v>
                </c:pt>
                <c:pt idx="21">
                  <c:v>1996/7</c:v>
                </c:pt>
                <c:pt idx="22">
                  <c:v>1997/8</c:v>
                </c:pt>
                <c:pt idx="23">
                  <c:v>1998/9</c:v>
                </c:pt>
                <c:pt idx="24">
                  <c:v>1999/2000</c:v>
                </c:pt>
                <c:pt idx="25">
                  <c:v>2000/1</c:v>
                </c:pt>
                <c:pt idx="26">
                  <c:v>2001/2</c:v>
                </c:pt>
                <c:pt idx="27">
                  <c:v>2002/3</c:v>
                </c:pt>
                <c:pt idx="28">
                  <c:v>2003/4</c:v>
                </c:pt>
                <c:pt idx="29">
                  <c:v>2004/5</c:v>
                </c:pt>
                <c:pt idx="30">
                  <c:v>2005/6</c:v>
                </c:pt>
                <c:pt idx="31">
                  <c:v>2006/7</c:v>
                </c:pt>
                <c:pt idx="32">
                  <c:v>2007/8</c:v>
                </c:pt>
                <c:pt idx="33">
                  <c:v>2008/9</c:v>
                </c:pt>
                <c:pt idx="34">
                  <c:v>2009/10</c:v>
                </c:pt>
              </c:strCache>
            </c:strRef>
          </c:cat>
          <c:val>
            <c:numRef>
              <c:f>Sheet2!$B$2:$B$36</c:f>
              <c:numCache>
                <c:formatCode>General</c:formatCode>
                <c:ptCount val="35"/>
                <c:pt idx="0">
                  <c:v>9.1</c:v>
                </c:pt>
                <c:pt idx="1">
                  <c:v>9.4</c:v>
                </c:pt>
                <c:pt idx="2">
                  <c:v>9.8000000000000007</c:v>
                </c:pt>
                <c:pt idx="3">
                  <c:v>10.200000000000001</c:v>
                </c:pt>
                <c:pt idx="4">
                  <c:v>10.6</c:v>
                </c:pt>
                <c:pt idx="5">
                  <c:v>10.5</c:v>
                </c:pt>
                <c:pt idx="6">
                  <c:v>10.5</c:v>
                </c:pt>
                <c:pt idx="7">
                  <c:v>10.3</c:v>
                </c:pt>
                <c:pt idx="8">
                  <c:v>9.8000000000000007</c:v>
                </c:pt>
                <c:pt idx="9">
                  <c:v>10.200000000000001</c:v>
                </c:pt>
                <c:pt idx="10">
                  <c:v>13</c:v>
                </c:pt>
                <c:pt idx="11">
                  <c:v>14</c:v>
                </c:pt>
                <c:pt idx="12">
                  <c:v>15</c:v>
                </c:pt>
                <c:pt idx="13">
                  <c:v>16</c:v>
                </c:pt>
                <c:pt idx="14">
                  <c:v>18</c:v>
                </c:pt>
                <c:pt idx="15">
                  <c:v>19</c:v>
                </c:pt>
                <c:pt idx="16">
                  <c:v>23</c:v>
                </c:pt>
                <c:pt idx="17">
                  <c:v>28</c:v>
                </c:pt>
                <c:pt idx="18">
                  <c:v>30</c:v>
                </c:pt>
                <c:pt idx="19">
                  <c:v>32</c:v>
                </c:pt>
                <c:pt idx="20">
                  <c:v>32</c:v>
                </c:pt>
                <c:pt idx="21">
                  <c:v>33</c:v>
                </c:pt>
                <c:pt idx="22">
                  <c:v>34</c:v>
                </c:pt>
                <c:pt idx="23">
                  <c:v>31</c:v>
                </c:pt>
                <c:pt idx="24">
                  <c:v>32</c:v>
                </c:pt>
                <c:pt idx="25">
                  <c:v>33</c:v>
                </c:pt>
                <c:pt idx="26">
                  <c:v>34.5</c:v>
                </c:pt>
                <c:pt idx="27">
                  <c:v>35</c:v>
                </c:pt>
                <c:pt idx="28">
                  <c:v>34.5</c:v>
                </c:pt>
                <c:pt idx="29">
                  <c:v>35</c:v>
                </c:pt>
                <c:pt idx="30">
                  <c:v>35</c:v>
                </c:pt>
                <c:pt idx="31">
                  <c:v>35.700000000000003</c:v>
                </c:pt>
                <c:pt idx="32">
                  <c:v>36.200000000000003</c:v>
                </c:pt>
                <c:pt idx="33">
                  <c:v>36.200000000000003</c:v>
                </c:pt>
                <c:pt idx="34">
                  <c:v>37.5</c:v>
                </c:pt>
              </c:numCache>
            </c:numRef>
          </c:val>
          <c:smooth val="0"/>
        </c:ser>
        <c:dLbls>
          <c:showLegendKey val="0"/>
          <c:showVal val="0"/>
          <c:showCatName val="0"/>
          <c:showSerName val="0"/>
          <c:showPercent val="0"/>
          <c:showBubbleSize val="0"/>
        </c:dLbls>
        <c:marker val="1"/>
        <c:smooth val="0"/>
        <c:axId val="232498304"/>
        <c:axId val="232499840"/>
      </c:lineChart>
      <c:catAx>
        <c:axId val="232498304"/>
        <c:scaling>
          <c:orientation val="minMax"/>
        </c:scaling>
        <c:delete val="0"/>
        <c:axPos val="b"/>
        <c:majorTickMark val="out"/>
        <c:minorTickMark val="none"/>
        <c:tickLblPos val="nextTo"/>
        <c:txPr>
          <a:bodyPr rot="-2220000"/>
          <a:lstStyle/>
          <a:p>
            <a:pPr>
              <a:defRPr sz="600"/>
            </a:pPr>
            <a:endParaRPr lang="en-US"/>
          </a:p>
        </c:txPr>
        <c:crossAx val="232499840"/>
        <c:crosses val="autoZero"/>
        <c:auto val="1"/>
        <c:lblAlgn val="ctr"/>
        <c:lblOffset val="100"/>
        <c:noMultiLvlLbl val="0"/>
      </c:catAx>
      <c:valAx>
        <c:axId val="232499840"/>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General" sourceLinked="1"/>
        <c:majorTickMark val="out"/>
        <c:minorTickMark val="none"/>
        <c:tickLblPos val="nextTo"/>
        <c:txPr>
          <a:bodyPr/>
          <a:lstStyle/>
          <a:p>
            <a:pPr>
              <a:defRPr sz="800"/>
            </a:pPr>
            <a:endParaRPr lang="en-US"/>
          </a:p>
        </c:txPr>
        <c:crossAx val="232498304"/>
        <c:crosses val="autoZero"/>
        <c:crossBetween val="between"/>
      </c:valAx>
    </c:plotArea>
    <c:legend>
      <c:legendPos val="r"/>
      <c:layout>
        <c:manualLayout>
          <c:xMode val="edge"/>
          <c:yMode val="edge"/>
          <c:x val="0.56496515564522021"/>
          <c:y val="0.51557978583540165"/>
          <c:w val="0.32656268927922544"/>
          <c:h val="3.7835822518453958E-2"/>
        </c:manualLayout>
      </c:layout>
      <c:overlay val="0"/>
      <c:txPr>
        <a:bodyPr/>
        <a:lstStyle/>
        <a:p>
          <a:pPr>
            <a:defRPr sz="800"/>
          </a:pPr>
          <a:endParaRPr lang="en-US"/>
        </a:p>
      </c:txPr>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1560779480291351E-2"/>
          <c:y val="2.8755960689105766E-2"/>
          <c:w val="0.90457603256886632"/>
          <c:h val="0.52026748639718579"/>
        </c:manualLayout>
      </c:layout>
      <c:barChart>
        <c:barDir val="col"/>
        <c:grouping val="stacked"/>
        <c:varyColors val="0"/>
        <c:ser>
          <c:idx val="0"/>
          <c:order val="0"/>
          <c:tx>
            <c:strRef>
              <c:f>Sheet1!$J$4</c:f>
              <c:strCache>
                <c:ptCount val="1"/>
                <c:pt idx="0">
                  <c:v>Respondent has no first or higher degree</c:v>
                </c:pt>
              </c:strCache>
            </c:strRef>
          </c:tx>
          <c:invertIfNegative val="0"/>
          <c:cat>
            <c:multiLvlStrRef>
              <c:f>Sheet1!$H$5:$I$21</c:f>
              <c:multiLvlStrCache>
                <c:ptCount val="17"/>
                <c:lvl>
                  <c:pt idx="0">
                    <c:v>1.1 Large employers and higher managerial and administrative occupations</c:v>
                  </c:pt>
                  <c:pt idx="1">
                    <c:v>1.2 Higher professional occupations</c:v>
                  </c:pt>
                  <c:pt idx="2">
                    <c:v>2.0 Lower managerial, administrative and professional occupations</c:v>
                  </c:pt>
                  <c:pt idx="3">
                    <c:v>3.0 Intermediate occupations</c:v>
                  </c:pt>
                  <c:pt idx="4">
                    <c:v>4.0 Small employers and own account workers</c:v>
                  </c:pt>
                  <c:pt idx="5">
                    <c:v>5.0 Lower supervisory and technical occupations</c:v>
                  </c:pt>
                  <c:pt idx="6">
                    <c:v>6.0 Semi-routine occupations</c:v>
                  </c:pt>
                  <c:pt idx="7">
                    <c:v>7.0 Routine occupations</c:v>
                  </c:pt>
                  <c:pt idx="9">
                    <c:v>1.1 Large employers and higher managerial and administrative occupations</c:v>
                  </c:pt>
                  <c:pt idx="10">
                    <c:v>1.2 Higher professional occupations</c:v>
                  </c:pt>
                  <c:pt idx="11">
                    <c:v>2.0 Lower managerial, administrative and professional occupations</c:v>
                  </c:pt>
                  <c:pt idx="12">
                    <c:v>3.0 Intermediate occupations</c:v>
                  </c:pt>
                  <c:pt idx="13">
                    <c:v>4.0 Small employers and own account workers</c:v>
                  </c:pt>
                  <c:pt idx="14">
                    <c:v>5.0 Lower supervisory and technical occupations</c:v>
                  </c:pt>
                  <c:pt idx="15">
                    <c:v>6.0 Semi-routine occupations</c:v>
                  </c:pt>
                  <c:pt idx="16">
                    <c:v>7.0 Routine occupations</c:v>
                  </c:pt>
                </c:lvl>
                <c:lvl>
                  <c:pt idx="0">
                    <c:v>22-34 years</c:v>
                  </c:pt>
                  <c:pt idx="9">
                    <c:v>37-49 years</c:v>
                  </c:pt>
                </c:lvl>
              </c:multiLvlStrCache>
            </c:multiLvlStrRef>
          </c:cat>
          <c:val>
            <c:numRef>
              <c:f>Sheet1!$J$5:$J$21</c:f>
              <c:numCache>
                <c:formatCode>0.00%</c:formatCode>
                <c:ptCount val="17"/>
                <c:pt idx="0">
                  <c:v>2.1000000000000001E-2</c:v>
                </c:pt>
                <c:pt idx="1">
                  <c:v>3.3000000000000002E-2</c:v>
                </c:pt>
                <c:pt idx="2">
                  <c:v>9.2999999999999999E-2</c:v>
                </c:pt>
                <c:pt idx="3">
                  <c:v>6.3E-2</c:v>
                </c:pt>
                <c:pt idx="4">
                  <c:v>0.124</c:v>
                </c:pt>
                <c:pt idx="5">
                  <c:v>8.4000000000000005E-2</c:v>
                </c:pt>
                <c:pt idx="6">
                  <c:v>9.8000000000000004E-2</c:v>
                </c:pt>
                <c:pt idx="7">
                  <c:v>0.14000000000000001</c:v>
                </c:pt>
                <c:pt idx="9">
                  <c:v>2.3E-2</c:v>
                </c:pt>
                <c:pt idx="10">
                  <c:v>3.5999999999999997E-2</c:v>
                </c:pt>
                <c:pt idx="11">
                  <c:v>9.0999999999999998E-2</c:v>
                </c:pt>
                <c:pt idx="12">
                  <c:v>7.2999999999999995E-2</c:v>
                </c:pt>
                <c:pt idx="13">
                  <c:v>0.125</c:v>
                </c:pt>
                <c:pt idx="14">
                  <c:v>0.10199999999999999</c:v>
                </c:pt>
                <c:pt idx="15">
                  <c:v>0.106</c:v>
                </c:pt>
                <c:pt idx="16">
                  <c:v>0.184</c:v>
                </c:pt>
              </c:numCache>
            </c:numRef>
          </c:val>
        </c:ser>
        <c:ser>
          <c:idx val="1"/>
          <c:order val="1"/>
          <c:tx>
            <c:strRef>
              <c:f>Sheet1!$K$4</c:f>
              <c:strCache>
                <c:ptCount val="1"/>
                <c:pt idx="0">
                  <c:v>Respondent has first or higher degree</c:v>
                </c:pt>
              </c:strCache>
            </c:strRef>
          </c:tx>
          <c:invertIfNegative val="0"/>
          <c:cat>
            <c:multiLvlStrRef>
              <c:f>Sheet1!$H$5:$I$21</c:f>
              <c:multiLvlStrCache>
                <c:ptCount val="17"/>
                <c:lvl>
                  <c:pt idx="0">
                    <c:v>1.1 Large employers and higher managerial and administrative occupations</c:v>
                  </c:pt>
                  <c:pt idx="1">
                    <c:v>1.2 Higher professional occupations</c:v>
                  </c:pt>
                  <c:pt idx="2">
                    <c:v>2.0 Lower managerial, administrative and professional occupations</c:v>
                  </c:pt>
                  <c:pt idx="3">
                    <c:v>3.0 Intermediate occupations</c:v>
                  </c:pt>
                  <c:pt idx="4">
                    <c:v>4.0 Small employers and own account workers</c:v>
                  </c:pt>
                  <c:pt idx="5">
                    <c:v>5.0 Lower supervisory and technical occupations</c:v>
                  </c:pt>
                  <c:pt idx="6">
                    <c:v>6.0 Semi-routine occupations</c:v>
                  </c:pt>
                  <c:pt idx="7">
                    <c:v>7.0 Routine occupations</c:v>
                  </c:pt>
                  <c:pt idx="9">
                    <c:v>1.1 Large employers and higher managerial and administrative occupations</c:v>
                  </c:pt>
                  <c:pt idx="10">
                    <c:v>1.2 Higher professional occupations</c:v>
                  </c:pt>
                  <c:pt idx="11">
                    <c:v>2.0 Lower managerial, administrative and professional occupations</c:v>
                  </c:pt>
                  <c:pt idx="12">
                    <c:v>3.0 Intermediate occupations</c:v>
                  </c:pt>
                  <c:pt idx="13">
                    <c:v>4.0 Small employers and own account workers</c:v>
                  </c:pt>
                  <c:pt idx="14">
                    <c:v>5.0 Lower supervisory and technical occupations</c:v>
                  </c:pt>
                  <c:pt idx="15">
                    <c:v>6.0 Semi-routine occupations</c:v>
                  </c:pt>
                  <c:pt idx="16">
                    <c:v>7.0 Routine occupations</c:v>
                  </c:pt>
                </c:lvl>
                <c:lvl>
                  <c:pt idx="0">
                    <c:v>22-34 years</c:v>
                  </c:pt>
                  <c:pt idx="9">
                    <c:v>37-49 years</c:v>
                  </c:pt>
                </c:lvl>
              </c:multiLvlStrCache>
            </c:multiLvlStrRef>
          </c:cat>
          <c:val>
            <c:numRef>
              <c:f>Sheet1!$K$5:$K$21</c:f>
              <c:numCache>
                <c:formatCode>0.00%</c:formatCode>
                <c:ptCount val="17"/>
                <c:pt idx="0">
                  <c:v>2.1000000000000001E-2</c:v>
                </c:pt>
                <c:pt idx="1">
                  <c:v>0.06</c:v>
                </c:pt>
                <c:pt idx="2">
                  <c:v>8.7999999999999995E-2</c:v>
                </c:pt>
                <c:pt idx="3">
                  <c:v>4.4999999999999998E-2</c:v>
                </c:pt>
                <c:pt idx="4">
                  <c:v>4.8000000000000001E-2</c:v>
                </c:pt>
                <c:pt idx="5">
                  <c:v>3.2000000000000001E-2</c:v>
                </c:pt>
                <c:pt idx="6">
                  <c:v>0.02</c:v>
                </c:pt>
                <c:pt idx="7">
                  <c:v>3.1E-2</c:v>
                </c:pt>
                <c:pt idx="9">
                  <c:v>1.6E-2</c:v>
                </c:pt>
                <c:pt idx="10">
                  <c:v>0.04</c:v>
                </c:pt>
                <c:pt idx="11">
                  <c:v>5.8999999999999997E-2</c:v>
                </c:pt>
                <c:pt idx="12">
                  <c:v>0.03</c:v>
                </c:pt>
                <c:pt idx="13">
                  <c:v>3.3000000000000002E-2</c:v>
                </c:pt>
                <c:pt idx="14">
                  <c:v>2.9000000000000001E-2</c:v>
                </c:pt>
                <c:pt idx="15">
                  <c:v>2.3E-2</c:v>
                </c:pt>
                <c:pt idx="16">
                  <c:v>0.03</c:v>
                </c:pt>
              </c:numCache>
            </c:numRef>
          </c:val>
        </c:ser>
        <c:dLbls>
          <c:showLegendKey val="0"/>
          <c:showVal val="0"/>
          <c:showCatName val="0"/>
          <c:showSerName val="0"/>
          <c:showPercent val="0"/>
          <c:showBubbleSize val="0"/>
        </c:dLbls>
        <c:gapWidth val="150"/>
        <c:overlap val="100"/>
        <c:axId val="232000128"/>
        <c:axId val="232010112"/>
      </c:barChart>
      <c:catAx>
        <c:axId val="232000128"/>
        <c:scaling>
          <c:orientation val="minMax"/>
        </c:scaling>
        <c:delete val="0"/>
        <c:axPos val="b"/>
        <c:majorTickMark val="out"/>
        <c:minorTickMark val="none"/>
        <c:tickLblPos val="nextTo"/>
        <c:txPr>
          <a:bodyPr/>
          <a:lstStyle/>
          <a:p>
            <a:pPr>
              <a:defRPr sz="1000"/>
            </a:pPr>
            <a:endParaRPr lang="en-US"/>
          </a:p>
        </c:txPr>
        <c:crossAx val="232010112"/>
        <c:crosses val="autoZero"/>
        <c:auto val="1"/>
        <c:lblAlgn val="ctr"/>
        <c:lblOffset val="100"/>
        <c:noMultiLvlLbl val="0"/>
      </c:catAx>
      <c:valAx>
        <c:axId val="232010112"/>
        <c:scaling>
          <c:orientation val="minMax"/>
        </c:scaling>
        <c:delete val="0"/>
        <c:axPos val="l"/>
        <c:majorGridlines>
          <c:spPr>
            <a:ln>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c:spPr>
        </c:majorGridlines>
        <c:numFmt formatCode="0%" sourceLinked="0"/>
        <c:majorTickMark val="out"/>
        <c:minorTickMark val="none"/>
        <c:tickLblPos val="nextTo"/>
        <c:txPr>
          <a:bodyPr/>
          <a:lstStyle/>
          <a:p>
            <a:pPr>
              <a:defRPr sz="1200"/>
            </a:pPr>
            <a:endParaRPr lang="en-US"/>
          </a:p>
        </c:txPr>
        <c:crossAx val="232000128"/>
        <c:crosses val="autoZero"/>
        <c:crossBetween val="between"/>
      </c:valAx>
    </c:plotArea>
    <c:legend>
      <c:legendPos val="r"/>
      <c:layout>
        <c:manualLayout>
          <c:xMode val="edge"/>
          <c:yMode val="edge"/>
          <c:x val="0.37388905659776045"/>
          <c:y val="2.4497887659658411E-2"/>
          <c:w val="0.32732471752499342"/>
          <c:h val="0.10850168728908886"/>
        </c:manualLayout>
      </c:layout>
      <c:overlay val="0"/>
      <c:txPr>
        <a:bodyPr/>
        <a:lstStyle/>
        <a:p>
          <a:pPr>
            <a:defRPr sz="900"/>
          </a:pPr>
          <a:endParaRPr lang="en-US"/>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0B6FF9-7CA1-4243-B9D6-9512D5E4BF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D92CF964.dotm</Template>
  <TotalTime>0</TotalTime>
  <Pages>27</Pages>
  <Words>9143</Words>
  <Characters>52116</Characters>
  <Application>Microsoft Office Word</Application>
  <DocSecurity>0</DocSecurity>
  <Lines>434</Lines>
  <Paragraphs>122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61137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iesaf</dc:creator>
  <cp:lastModifiedBy>Snape</cp:lastModifiedBy>
  <cp:revision>2</cp:revision>
  <cp:lastPrinted>2011-04-08T11:44:00Z</cp:lastPrinted>
  <dcterms:created xsi:type="dcterms:W3CDTF">2012-04-05T09:06:00Z</dcterms:created>
  <dcterms:modified xsi:type="dcterms:W3CDTF">2012-04-05T09:06:00Z</dcterms:modified>
</cp:coreProperties>
</file>