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5.3.0 -->
  <w:body>
    <w:p w:rsidR="009A29B4" w:rsidRPr="006075FA" w:rsidP="009A29B4" w14:paraId="22EC9378" w14:textId="77777777">
      <w:pPr>
        <w:pStyle w:val="Heading1"/>
        <w:jc w:val="center"/>
        <w:rPr>
          <w:rFonts w:ascii="Arial" w:hAnsi="Arial" w:cs="Arial"/>
          <w:sz w:val="44"/>
          <w:szCs w:val="44"/>
        </w:rPr>
      </w:pPr>
      <w:r w:rsidRPr="006075FA">
        <w:rPr>
          <w:rFonts w:ascii="Arial" w:hAnsi="Arial" w:cs="Arial"/>
          <w:sz w:val="44"/>
          <w:szCs w:val="44"/>
        </w:rPr>
        <w:t>Addressing delayed hospital patient discharge: A multilevel analysis of care ecosystem constraints and stroke patient flow</w:t>
      </w:r>
    </w:p>
    <w:p w:rsidR="009A29B4" w:rsidRPr="006075FA" w:rsidP="009A29B4" w14:paraId="68E235C3" w14:textId="77777777">
      <w:pPr>
        <w:pStyle w:val="NormalWeb"/>
        <w:jc w:val="center"/>
        <w:rPr>
          <w:rFonts w:ascii="Arial" w:hAnsi="Arial" w:cs="Arial"/>
          <w:sz w:val="36"/>
          <w:szCs w:val="36"/>
        </w:rPr>
      </w:pPr>
      <w:r w:rsidRPr="006075FA">
        <w:rPr>
          <w:rFonts w:ascii="Arial" w:hAnsi="Arial" w:cs="Arial"/>
          <w:sz w:val="36"/>
          <w:szCs w:val="36"/>
        </w:rPr>
        <w:t>Operationalising the Drivers of Delay: A Multilevel Framework</w:t>
      </w:r>
    </w:p>
    <w:p w:rsidR="009A29B4" w:rsidP="009A29B4" w14:paraId="49356B81" w14:textId="77777777">
      <w:pPr>
        <w:spacing w:before="360" w:after="80"/>
        <w:jc w:val="center"/>
        <w:rPr>
          <w:lang w:val="en-GB"/>
        </w:rPr>
      </w:pPr>
      <w:r w:rsidRPr="00CF09A1">
        <w:rPr>
          <w:lang w:val="en-GB"/>
        </w:rPr>
        <w:t xml:space="preserve">Gianni Anelli, </w:t>
      </w:r>
      <w:r>
        <w:rPr>
          <w:lang w:val="en-GB"/>
        </w:rPr>
        <w:t xml:space="preserve">Laura Boothman, </w:t>
      </w:r>
      <w:r w:rsidRPr="00CF09A1">
        <w:rPr>
          <w:lang w:val="en-GB"/>
        </w:rPr>
        <w:t xml:space="preserve">Derek Bosworth, </w:t>
      </w:r>
      <w:r w:rsidRPr="0029667B">
        <w:rPr>
          <w:lang w:val="en-GB"/>
        </w:rPr>
        <w:t>Jason Madan</w:t>
      </w:r>
      <w:r>
        <w:rPr>
          <w:lang w:val="en-GB"/>
        </w:rPr>
        <w:t xml:space="preserve">, </w:t>
      </w:r>
      <w:r w:rsidRPr="0002741C">
        <w:rPr>
          <w:lang w:val="en-GB"/>
        </w:rPr>
        <w:t xml:space="preserve">Martin Whitehead </w:t>
      </w:r>
      <w:r>
        <w:rPr>
          <w:lang w:val="en-GB"/>
        </w:rPr>
        <w:t xml:space="preserve">and </w:t>
      </w:r>
      <w:r w:rsidRPr="0029667B">
        <w:rPr>
          <w:lang w:val="en-GB"/>
        </w:rPr>
        <w:t>Chris Warhurst</w:t>
      </w:r>
      <w:r>
        <w:rPr>
          <w:lang w:val="en-GB"/>
        </w:rPr>
        <w:t xml:space="preserve"> </w:t>
      </w:r>
    </w:p>
    <w:p w:rsidR="009A29B4" w:rsidRPr="00CF09A1" w:rsidP="009A29B4" w14:paraId="216A22C2" w14:textId="77777777">
      <w:pPr>
        <w:spacing w:before="360" w:after="80"/>
        <w:jc w:val="both"/>
        <w:rPr>
          <w:rFonts w:ascii="Arial" w:hAnsi="Arial" w:eastAsiaTheme="majorEastAsia" w:cs="Arial"/>
          <w:color w:val="000000" w:themeColor="text1"/>
          <w:lang w:val="en-GB"/>
        </w:rPr>
      </w:pPr>
    </w:p>
    <w:p w:rsidR="009A29B4" w:rsidRPr="0023073D" w:rsidP="009A29B4" w14:paraId="7FC43FB8" w14:textId="77777777">
      <w:pPr>
        <w:pStyle w:val="Heading2"/>
        <w:jc w:val="both"/>
        <w:rPr>
          <w:rFonts w:ascii="Arial" w:hAnsi="Arial" w:cs="Arial"/>
          <w:lang w:val="en-GB"/>
        </w:rPr>
      </w:pPr>
      <w:r w:rsidRPr="0023073D">
        <w:rPr>
          <w:rFonts w:ascii="Arial" w:hAnsi="Arial" w:cs="Arial"/>
          <w:lang w:val="en-GB"/>
        </w:rPr>
        <w:t>Executive summary</w:t>
      </w:r>
    </w:p>
    <w:p w:rsidR="009A29B4" w:rsidRPr="0023073D" w:rsidP="009A29B4" w14:paraId="26CD6E7B" w14:textId="6B1BAA9F">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 UK healthcare system currently faces a critical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flow</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crisis driven by delayed discharges, or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bed blocking,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w:t>
      </w:r>
      <w:r w:rsidRPr="0002741C">
        <w:rPr>
          <w:rFonts w:ascii="Arial" w:hAnsi="Arial" w:eastAsiaTheme="majorEastAsia" w:cs="Arial"/>
          <w:color w:val="000000" w:themeColor="text1"/>
          <w:lang w:val="en-GB"/>
        </w:rPr>
        <w:t>which severely constrains system efficiency and hinders elective recovery</w:t>
      </w:r>
      <w:r w:rsidRPr="0023073D">
        <w:rPr>
          <w:rFonts w:ascii="Arial" w:hAnsi="Arial" w:eastAsiaTheme="majorEastAsia" w:cs="Arial"/>
          <w:color w:val="000000" w:themeColor="text1"/>
          <w:lang w:val="en-GB"/>
        </w:rPr>
        <w:t xml:space="preserve">. Traditional policy responses </w:t>
      </w:r>
      <w:r w:rsidRPr="0002741C">
        <w:rPr>
          <w:rFonts w:ascii="Arial" w:hAnsi="Arial" w:eastAsiaTheme="majorEastAsia" w:cs="Arial"/>
          <w:color w:val="000000" w:themeColor="text1"/>
          <w:lang w:val="en-GB"/>
        </w:rPr>
        <w:t xml:space="preserve">have frequently framed the problem in terms of physical capacity constraints, particularly bed supply, both in acute hospitals and </w:t>
      </w:r>
      <w:r>
        <w:rPr>
          <w:rFonts w:ascii="Arial" w:hAnsi="Arial" w:eastAsiaTheme="majorEastAsia" w:cs="Arial"/>
          <w:color w:val="000000" w:themeColor="text1"/>
          <w:lang w:val="en-GB"/>
        </w:rPr>
        <w:t>adult social care</w:t>
      </w:r>
      <w:r w:rsidRPr="0002741C">
        <w:rPr>
          <w:rFonts w:ascii="Arial" w:hAnsi="Arial" w:eastAsiaTheme="majorEastAsia" w:cs="Arial"/>
          <w:color w:val="000000" w:themeColor="text1"/>
          <w:lang w:val="en-GB"/>
        </w:rPr>
        <w:t xml:space="preserve"> settings</w:t>
      </w:r>
      <w:r>
        <w:rPr>
          <w:rFonts w:ascii="Arial" w:hAnsi="Arial" w:eastAsiaTheme="majorEastAsia" w:cs="Arial"/>
          <w:color w:val="000000" w:themeColor="text1"/>
          <w:lang w:val="en-GB"/>
        </w:rPr>
        <w:t>. H</w:t>
      </w:r>
      <w:r w:rsidRPr="0023073D">
        <w:rPr>
          <w:rFonts w:ascii="Arial" w:hAnsi="Arial" w:eastAsiaTheme="majorEastAsia" w:cs="Arial"/>
          <w:color w:val="000000" w:themeColor="text1"/>
          <w:lang w:val="en-GB"/>
        </w:rPr>
        <w:t xml:space="preserve">owever, emerging evidence suggests that delays are largely driven by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market fragility</w:t>
      </w:r>
      <w:r>
        <w:rPr>
          <w:rFonts w:ascii="Arial" w:hAnsi="Arial" w:eastAsiaTheme="majorEastAsia" w:cs="Arial"/>
          <w:color w:val="000000" w:themeColor="text1"/>
          <w:lang w:val="en-GB"/>
        </w:rPr>
        <w:t xml:space="preserve">’ – </w:t>
      </w:r>
      <w:r w:rsidRPr="0023073D">
        <w:rPr>
          <w:rFonts w:ascii="Arial" w:hAnsi="Arial" w:eastAsiaTheme="majorEastAsia" w:cs="Arial"/>
          <w:color w:val="000000" w:themeColor="text1"/>
          <w:lang w:val="en-GB"/>
        </w:rPr>
        <w:t>including workforce shortages, funding gaps, and rigid contractual mechanisms within the social care sector.</w:t>
      </w:r>
    </w:p>
    <w:p w:rsidR="009A29B4" w:rsidRPr="0023073D" w:rsidP="009A29B4" w14:paraId="3214293F" w14:textId="7AB2BB5B">
      <w:pPr>
        <w:spacing w:before="360" w:after="80"/>
        <w:jc w:val="both"/>
        <w:rPr>
          <w:rFonts w:ascii="Arial" w:hAnsi="Arial" w:eastAsiaTheme="majorEastAsia" w:cs="Arial"/>
          <w:color w:val="000000" w:themeColor="text1"/>
          <w:lang w:val="en-GB"/>
        </w:rPr>
      </w:pPr>
      <w:r w:rsidRPr="009A29B4">
        <w:rPr>
          <w:rFonts w:ascii="Arial" w:hAnsi="Arial" w:eastAsiaTheme="majorEastAsia" w:cs="Arial"/>
          <w:color w:val="000000" w:themeColor="text1"/>
          <w:lang w:val="en-GB"/>
        </w:rPr>
        <w:t>Strokes typically affect the older population.</w:t>
      </w:r>
      <w:r>
        <w:rPr>
          <w:rFonts w:ascii="Arial" w:hAnsi="Arial" w:eastAsiaTheme="majorEastAsia" w:cs="Arial"/>
          <w:color w:val="000000" w:themeColor="text1"/>
          <w:lang w:val="en-GB"/>
        </w:rPr>
        <w:t xml:space="preserve"> </w:t>
      </w:r>
      <w:r w:rsidRPr="0023073D">
        <w:rPr>
          <w:rFonts w:ascii="Arial" w:hAnsi="Arial" w:eastAsiaTheme="majorEastAsia" w:cs="Arial"/>
          <w:color w:val="000000" w:themeColor="text1"/>
          <w:lang w:val="en-GB"/>
        </w:rPr>
        <w:t>This report proposes a novel multi</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level econometric model to quantify these structural drivers using stroke pathways as a critical test case. Unlike previous studies, this framework integrates patient-level clinical data—including severity and psychosocial factors—with ecosystem-level constraints, such as contractual rigidity and provider fragmentation.</w:t>
      </w:r>
    </w:p>
    <w:p w:rsidR="009A29B4" w:rsidP="009A29B4" w14:paraId="4A7F1114"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By isolating the impact of market instability from clinical need, the model aims to identify the optimal configuration of the hospital-social care interface. Ultimately, this research supports the national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Three Shifts</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strategy</w:t>
      </w:r>
      <w:r>
        <w:rPr>
          <w:rFonts w:ascii="Arial" w:hAnsi="Arial" w:eastAsiaTheme="majorEastAsia" w:cs="Arial"/>
          <w:color w:val="000000" w:themeColor="text1"/>
          <w:lang w:val="en-GB"/>
        </w:rPr>
        <w:t xml:space="preserve"> set out in the NHS 10-year health plan (</w:t>
      </w:r>
      <w:r w:rsidRPr="00CA352D">
        <w:rPr>
          <w:rFonts w:ascii="Arial" w:hAnsi="Arial" w:eastAsiaTheme="majorEastAsia" w:cs="Arial"/>
          <w:color w:val="000000" w:themeColor="text1"/>
          <w:lang w:val="en-GB"/>
        </w:rPr>
        <w:t>D</w:t>
      </w:r>
      <w:r>
        <w:rPr>
          <w:rFonts w:ascii="Arial" w:hAnsi="Arial" w:eastAsiaTheme="majorEastAsia" w:cs="Arial"/>
          <w:color w:val="000000" w:themeColor="text1"/>
          <w:lang w:val="en-GB"/>
        </w:rPr>
        <w:t>HSC</w:t>
      </w:r>
      <w:r w:rsidRPr="00CA352D">
        <w:rPr>
          <w:rFonts w:ascii="Arial" w:hAnsi="Arial" w:eastAsiaTheme="majorEastAsia" w:cs="Arial"/>
          <w:color w:val="000000" w:themeColor="text1"/>
          <w:lang w:val="en-GB"/>
        </w:rPr>
        <w:t xml:space="preserve"> et al., 2025)</w:t>
      </w:r>
      <w:r w:rsidRPr="0023073D">
        <w:rPr>
          <w:rFonts w:ascii="Arial" w:hAnsi="Arial" w:eastAsiaTheme="majorEastAsia" w:cs="Arial"/>
          <w:color w:val="000000" w:themeColor="text1"/>
          <w:lang w:val="en-GB"/>
        </w:rPr>
        <w:t>, providing the evidence base required to move beyond simple capacity metrics toward a financially sustainable and operationally resilient social care market that ensures safe transitions for older adults.</w:t>
      </w:r>
    </w:p>
    <w:p w:rsidR="00F9625B" w14:paraId="02CB4C5C" w14:textId="77777777">
      <w:pPr>
        <w:rPr>
          <w:rFonts w:ascii="Arial" w:hAnsi="Arial" w:eastAsiaTheme="majorEastAsia" w:cs="Arial"/>
          <w:lang w:val="en-GB"/>
        </w:rPr>
      </w:pPr>
      <w:r>
        <w:rPr>
          <w:rFonts w:ascii="Arial" w:hAnsi="Arial" w:eastAsiaTheme="majorEastAsia" w:cs="Arial"/>
          <w:lang w:val="en-GB"/>
        </w:rPr>
        <w:br w:type="page"/>
      </w:r>
    </w:p>
    <w:p w:rsidR="009A29B4" w:rsidP="009A29B4" w14:paraId="07BF1924" w14:textId="094A4F27">
      <w:pPr>
        <w:rPr>
          <w:rFonts w:ascii="Arial" w:hAnsi="Arial" w:eastAsiaTheme="majorEastAsia" w:cs="Arial"/>
          <w:lang w:val="en-GB"/>
        </w:rPr>
      </w:pPr>
      <w:r w:rsidRPr="00B17563">
        <w:rPr>
          <w:rFonts w:ascii="Arial" w:hAnsi="Arial" w:eastAsiaTheme="majorEastAsia" w:cs="Arial"/>
          <w:lang w:val="en-GB"/>
        </w:rPr>
        <w:t>Th</w:t>
      </w:r>
      <w:r>
        <w:rPr>
          <w:rFonts w:ascii="Arial" w:hAnsi="Arial" w:eastAsiaTheme="majorEastAsia" w:cs="Arial"/>
          <w:lang w:val="en-GB"/>
        </w:rPr>
        <w:t>e</w:t>
      </w:r>
      <w:r w:rsidRPr="00B17563">
        <w:rPr>
          <w:rFonts w:ascii="Arial" w:hAnsi="Arial" w:eastAsiaTheme="majorEastAsia" w:cs="Arial"/>
          <w:lang w:val="en-GB"/>
        </w:rPr>
        <w:t xml:space="preserve"> report has six sections: </w:t>
      </w:r>
    </w:p>
    <w:p w:rsidR="009A29B4" w:rsidRPr="00B17563" w:rsidP="009A29B4" w14:paraId="49342AA2" w14:textId="77777777">
      <w:pPr>
        <w:rPr>
          <w:rFonts w:ascii="Arial" w:hAnsi="Arial" w:eastAsiaTheme="majorEastAsia" w:cs="Arial"/>
          <w:lang w:val="en-GB"/>
        </w:rPr>
      </w:pPr>
    </w:p>
    <w:p w:rsidR="009A29B4" w:rsidRPr="00B17563" w:rsidP="009A29B4" w14:paraId="7154574C" w14:textId="77777777">
      <w:pPr>
        <w:rPr>
          <w:rFonts w:ascii="Arial" w:hAnsi="Arial" w:cs="Arial"/>
          <w:lang w:val="en-GB"/>
        </w:rPr>
      </w:pPr>
      <w:r w:rsidRPr="00B17563">
        <w:rPr>
          <w:rFonts w:ascii="Arial" w:hAnsi="Arial" w:cs="Arial"/>
          <w:lang w:val="en-GB"/>
        </w:rPr>
        <w:t>1. Introduction: the crisis of flow and the hospital-social care interface</w:t>
      </w:r>
    </w:p>
    <w:p w:rsidR="009A29B4" w:rsidRPr="00B17563" w:rsidP="009A29B4" w14:paraId="4BA605A1" w14:textId="77777777">
      <w:pPr>
        <w:rPr>
          <w:rFonts w:ascii="Arial" w:hAnsi="Arial" w:cs="Arial"/>
          <w:lang w:val="en-GB"/>
        </w:rPr>
      </w:pPr>
      <w:r w:rsidRPr="00B17563">
        <w:rPr>
          <w:rFonts w:ascii="Arial" w:hAnsi="Arial" w:cs="Arial"/>
          <w:lang w:val="en-GB"/>
        </w:rPr>
        <w:t>2. Research objectives and context</w:t>
      </w:r>
    </w:p>
    <w:p w:rsidR="009A29B4" w:rsidRPr="00B17563" w:rsidP="009A29B4" w14:paraId="3B32D79E" w14:textId="77777777">
      <w:pPr>
        <w:rPr>
          <w:rFonts w:ascii="Arial" w:hAnsi="Arial" w:cs="Arial"/>
          <w:lang w:val="en-GB"/>
        </w:rPr>
      </w:pPr>
      <w:r w:rsidRPr="00B17563">
        <w:rPr>
          <w:rFonts w:ascii="Arial" w:hAnsi="Arial" w:cs="Arial"/>
          <w:lang w:val="en-GB"/>
        </w:rPr>
        <w:t>3. Econometric model and estimation strategy</w:t>
      </w:r>
    </w:p>
    <w:p w:rsidR="009A29B4" w:rsidRPr="00B17563" w:rsidP="009A29B4" w14:paraId="288691FB" w14:textId="77777777">
      <w:pPr>
        <w:rPr>
          <w:rFonts w:ascii="Arial" w:hAnsi="Arial" w:cs="Arial"/>
          <w:lang w:val="en-GB"/>
        </w:rPr>
      </w:pPr>
      <w:r w:rsidRPr="00B17563">
        <w:rPr>
          <w:rFonts w:ascii="Arial" w:hAnsi="Arial" w:cs="Arial"/>
          <w:lang w:val="en-GB"/>
        </w:rPr>
        <w:t>4. Operationalising the drivers of delay: a multilevel framework</w:t>
      </w:r>
    </w:p>
    <w:p w:rsidR="009A29B4" w:rsidRPr="00B17563" w:rsidP="009A29B4" w14:paraId="4D9B0BE5" w14:textId="6DA04E21">
      <w:pPr>
        <w:rPr>
          <w:rFonts w:ascii="Arial" w:hAnsi="Arial" w:cs="Arial"/>
          <w:lang w:val="en-GB"/>
        </w:rPr>
      </w:pPr>
      <w:r w:rsidRPr="00B17563">
        <w:rPr>
          <w:rFonts w:ascii="Arial" w:hAnsi="Arial" w:cs="Arial"/>
          <w:lang w:val="en-GB"/>
        </w:rPr>
        <w:t>5. Policy implications and conclusion</w:t>
      </w:r>
      <w:r w:rsidR="00B928D5">
        <w:rPr>
          <w:rFonts w:ascii="Arial" w:hAnsi="Arial" w:cs="Arial"/>
          <w:lang w:val="en-GB"/>
        </w:rPr>
        <w:t>s</w:t>
      </w:r>
    </w:p>
    <w:p w:rsidR="009A29B4" w:rsidRPr="00B17563" w:rsidP="009A29B4" w14:paraId="5024357E" w14:textId="2DDC0B0A">
      <w:pPr>
        <w:rPr>
          <w:rFonts w:ascii="Arial" w:hAnsi="Arial" w:cs="Arial"/>
          <w:lang w:val="en-GB"/>
        </w:rPr>
      </w:pPr>
      <w:r w:rsidRPr="00B17563">
        <w:rPr>
          <w:rFonts w:ascii="Arial" w:hAnsi="Arial" w:cs="Arial"/>
          <w:lang w:val="en-GB"/>
        </w:rPr>
        <w:t>6. Next steps</w:t>
      </w:r>
    </w:p>
    <w:p w:rsidR="009A29B4" w:rsidRPr="00B17563" w:rsidP="009A29B4" w14:paraId="182512CB" w14:textId="77777777">
      <w:pPr>
        <w:jc w:val="both"/>
        <w:rPr>
          <w:rFonts w:ascii="Arial" w:hAnsi="Arial" w:cs="Arial"/>
          <w:lang w:val="en-GB"/>
        </w:rPr>
      </w:pPr>
    </w:p>
    <w:p w:rsidR="009A29B4" w:rsidP="009A29B4" w14:paraId="614EBE6D" w14:textId="766097C6">
      <w:pPr>
        <w:rPr>
          <w:rFonts w:ascii="Arial" w:hAnsi="Arial" w:eastAsiaTheme="majorEastAsia" w:cs="Arial"/>
          <w:color w:val="365F91" w:themeColor="accent1" w:themeShade="BF"/>
          <w:sz w:val="32"/>
          <w:szCs w:val="32"/>
          <w:lang w:val="en-GB"/>
        </w:rPr>
      </w:pPr>
      <w:r>
        <w:rPr>
          <w:rFonts w:ascii="Arial" w:hAnsi="Arial" w:cs="Arial"/>
          <w:lang w:val="en-GB"/>
        </w:rPr>
        <w:t xml:space="preserve">The project was enabled by a </w:t>
      </w:r>
      <w:r w:rsidRPr="00A63544">
        <w:rPr>
          <w:rFonts w:ascii="Arial" w:hAnsi="Arial" w:cs="Arial"/>
          <w:lang w:val="en-GB"/>
        </w:rPr>
        <w:t>Vivensa</w:t>
      </w:r>
      <w:r w:rsidRPr="00A63544">
        <w:rPr>
          <w:rFonts w:ascii="Arial" w:hAnsi="Arial" w:cs="Arial"/>
          <w:lang w:val="en-GB"/>
        </w:rPr>
        <w:t xml:space="preserve"> Foundation Ignition Fund </w:t>
      </w:r>
      <w:r>
        <w:rPr>
          <w:rFonts w:ascii="Arial" w:hAnsi="Arial" w:cs="Arial"/>
          <w:lang w:val="en-GB"/>
        </w:rPr>
        <w:t>award.</w:t>
      </w:r>
      <w:r>
        <w:rPr>
          <w:rFonts w:ascii="Arial" w:hAnsi="Arial" w:cs="Arial"/>
          <w:lang w:val="en-GB"/>
        </w:rPr>
        <w:br w:type="page"/>
      </w:r>
    </w:p>
    <w:p w:rsidR="009A29B4" w:rsidRPr="0023073D" w:rsidP="009A29B4" w14:paraId="24EC3CC8" w14:textId="77777777">
      <w:pPr>
        <w:pStyle w:val="Heading2"/>
        <w:jc w:val="both"/>
        <w:rPr>
          <w:rFonts w:ascii="Arial" w:hAnsi="Arial" w:cs="Arial"/>
          <w:lang w:val="en-GB"/>
        </w:rPr>
      </w:pPr>
      <w:r w:rsidRPr="0023073D">
        <w:rPr>
          <w:rFonts w:ascii="Arial" w:hAnsi="Arial" w:cs="Arial"/>
          <w:lang w:val="en-GB"/>
        </w:rPr>
        <w:t>1. Introduction: the crisis of flow and the hospital-social care interface</w:t>
      </w:r>
    </w:p>
    <w:p w:rsidR="009A29B4" w:rsidRPr="0023073D" w:rsidP="009A29B4" w14:paraId="15E48EB0"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The U</w:t>
      </w:r>
      <w:r>
        <w:rPr>
          <w:rFonts w:ascii="Arial" w:hAnsi="Arial" w:eastAsiaTheme="majorEastAsia" w:cs="Arial"/>
          <w:color w:val="000000" w:themeColor="text1"/>
          <w:lang w:val="en-GB"/>
        </w:rPr>
        <w:t>K</w:t>
      </w:r>
      <w:r w:rsidRPr="0023073D">
        <w:rPr>
          <w:rFonts w:ascii="Arial" w:hAnsi="Arial" w:eastAsiaTheme="majorEastAsia" w:cs="Arial"/>
          <w:color w:val="000000" w:themeColor="text1"/>
          <w:lang w:val="en-GB"/>
        </w:rPr>
        <w:t>’s health and care system is currently experiencing a period of sustained and acute pressure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w:t>
      </w:r>
      <w:r w:rsidRPr="00B25FE9">
        <w:rPr>
          <w:rFonts w:ascii="Arial" w:hAnsi="Arial" w:eastAsiaTheme="majorEastAsia" w:cs="Arial"/>
          <w:color w:val="000000" w:themeColor="text1"/>
          <w:lang w:val="en-GB"/>
        </w:rPr>
        <w:t>characterised by</w:t>
      </w:r>
      <w:r w:rsidRPr="0023073D">
        <w:rPr>
          <w:rFonts w:ascii="Arial" w:hAnsi="Arial" w:eastAsiaTheme="majorEastAsia" w:cs="Arial"/>
          <w:color w:val="000000" w:themeColor="text1"/>
          <w:lang w:val="en-GB"/>
        </w:rPr>
        <w:t xml:space="preserve"> record </w:t>
      </w:r>
      <w:r>
        <w:rPr>
          <w:rFonts w:ascii="Arial" w:hAnsi="Arial" w:eastAsiaTheme="majorEastAsia" w:cs="Arial"/>
          <w:color w:val="000000" w:themeColor="text1"/>
          <w:lang w:val="en-GB"/>
        </w:rPr>
        <w:t xml:space="preserve">accident and </w:t>
      </w:r>
      <w:r w:rsidRPr="0023073D">
        <w:rPr>
          <w:rFonts w:ascii="Arial" w:hAnsi="Arial" w:eastAsiaTheme="majorEastAsia" w:cs="Arial"/>
          <w:color w:val="000000" w:themeColor="text1"/>
          <w:lang w:val="en-GB"/>
        </w:rPr>
        <w:t xml:space="preserve">emergency </w:t>
      </w:r>
      <w:r>
        <w:rPr>
          <w:rFonts w:ascii="Arial" w:hAnsi="Arial" w:eastAsiaTheme="majorEastAsia" w:cs="Arial"/>
          <w:color w:val="000000" w:themeColor="text1"/>
          <w:lang w:val="en-GB"/>
        </w:rPr>
        <w:t xml:space="preserve">(A&amp;E) </w:t>
      </w:r>
      <w:r w:rsidRPr="0023073D">
        <w:rPr>
          <w:rFonts w:ascii="Arial" w:hAnsi="Arial" w:eastAsiaTheme="majorEastAsia" w:cs="Arial"/>
          <w:color w:val="000000" w:themeColor="text1"/>
          <w:lang w:val="en-GB"/>
        </w:rPr>
        <w:t xml:space="preserve">demand, constrained inpatient capacity and a systemic inability to move patients who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No Longer Meet Criteria to Reside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(NMTCR) into appropriate post-acute settings (Department of Health and Social Care &amp; NHS England, 2024; NHS England, 2023; NHS England, 2024b). </w:t>
      </w:r>
      <w:r w:rsidRPr="00B25FE9">
        <w:rPr>
          <w:rFonts w:ascii="Arial" w:hAnsi="Arial" w:eastAsiaTheme="majorEastAsia" w:cs="Arial"/>
          <w:color w:val="000000" w:themeColor="text1"/>
          <w:lang w:val="en-GB"/>
        </w:rPr>
        <w:t xml:space="preserve">According to the Care Quality Commission (CQC, 2025), on a typical day in March 2025, nearly six in ten patients who had been assessed as ready for discharge remained in hospital due to delays. While delayed discharge primarily occurs at the interface between inpatient wards and adult social care, its effects propagate upstream across the urgent and emergency care (UEC) pathway. When ward beds cannot be released, admissions from A&amp;E are restricted, contributing to emergency department crowding and the proliferation of ‘corridor care’ </w:t>
      </w:r>
      <w:r w:rsidRPr="0023073D">
        <w:rPr>
          <w:rFonts w:ascii="Arial" w:hAnsi="Arial" w:eastAsiaTheme="majorEastAsia" w:cs="Arial"/>
          <w:color w:val="000000" w:themeColor="text1"/>
          <w:lang w:val="en-GB"/>
        </w:rPr>
        <w:t>(Feinmann, 2025).</w:t>
      </w:r>
    </w:p>
    <w:p w:rsidR="009A29B4" w:rsidRPr="0023073D" w:rsidP="009A29B4" w14:paraId="7C42BB18"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 impact of these delays extends far beyond operational metrics. For the patient, prolonged hospitalisation increases the risk of hospital-acquired infections, functional deconditioning, and psychological distress (Corona-Lobos &amp; </w:t>
      </w:r>
      <w:r w:rsidRPr="0023073D">
        <w:rPr>
          <w:rFonts w:ascii="Arial" w:hAnsi="Arial" w:eastAsiaTheme="majorEastAsia" w:cs="Arial"/>
          <w:color w:val="000000" w:themeColor="text1"/>
          <w:lang w:val="en-GB"/>
        </w:rPr>
        <w:t>Bugarín</w:t>
      </w:r>
      <w:r w:rsidRPr="0023073D">
        <w:rPr>
          <w:rFonts w:ascii="Arial" w:hAnsi="Arial" w:eastAsiaTheme="majorEastAsia" w:cs="Arial"/>
          <w:color w:val="000000" w:themeColor="text1"/>
          <w:lang w:val="en-GB"/>
        </w:rPr>
        <w:t xml:space="preserve">-González, 2018). For the wider system, the reduction in available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flow</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limits elective throughput, directly hindering the recovery of planned care. Despite national efforts, the consultant-led waiting list remains above seven million pathways, illustrating the inextricable link between </w:t>
      </w:r>
      <w:r>
        <w:rPr>
          <w:rFonts w:ascii="Arial" w:hAnsi="Arial" w:eastAsiaTheme="majorEastAsia" w:cs="Arial"/>
          <w:color w:val="000000" w:themeColor="text1"/>
          <w:lang w:val="en-GB"/>
        </w:rPr>
        <w:t>adult social care</w:t>
      </w:r>
      <w:r w:rsidRPr="0023073D">
        <w:rPr>
          <w:rFonts w:ascii="Arial" w:hAnsi="Arial" w:eastAsiaTheme="majorEastAsia" w:cs="Arial"/>
          <w:color w:val="000000" w:themeColor="text1"/>
          <w:lang w:val="en-GB"/>
        </w:rPr>
        <w:t xml:space="preserve"> capacity and the NHS's ability to tackle the elective backlog (NHS England, 2025).</w:t>
      </w:r>
    </w:p>
    <w:p w:rsidR="009A29B4" w:rsidRPr="0023073D" w:rsidP="009A29B4" w14:paraId="27107AA9"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Current national </w:t>
      </w:r>
      <w:r>
        <w:rPr>
          <w:rFonts w:ascii="Arial" w:hAnsi="Arial" w:eastAsiaTheme="majorEastAsia" w:cs="Arial"/>
          <w:color w:val="000000" w:themeColor="text1"/>
          <w:lang w:val="en-GB"/>
        </w:rPr>
        <w:t xml:space="preserve">healthcare </w:t>
      </w:r>
      <w:r w:rsidRPr="0023073D">
        <w:rPr>
          <w:rFonts w:ascii="Arial" w:hAnsi="Arial" w:eastAsiaTheme="majorEastAsia" w:cs="Arial"/>
          <w:color w:val="000000" w:themeColor="text1"/>
          <w:lang w:val="en-GB"/>
        </w:rPr>
        <w:t xml:space="preserve">policy, articulated </w:t>
      </w:r>
      <w:r>
        <w:rPr>
          <w:rFonts w:ascii="Arial" w:hAnsi="Arial" w:eastAsiaTheme="majorEastAsia" w:cs="Arial"/>
          <w:color w:val="000000" w:themeColor="text1"/>
          <w:lang w:val="en-GB"/>
        </w:rPr>
        <w:t>in</w:t>
      </w:r>
      <w:r w:rsidRPr="003C0B63">
        <w:rPr>
          <w:rFonts w:ascii="Arial" w:hAnsi="Arial" w:eastAsiaTheme="majorEastAsia" w:cs="Arial"/>
          <w:color w:val="000000" w:themeColor="text1"/>
          <w:lang w:val="en-GB"/>
        </w:rPr>
        <w:t xml:space="preserve"> </w:t>
      </w:r>
      <w:r>
        <w:rPr>
          <w:rFonts w:ascii="Arial" w:hAnsi="Arial" w:eastAsiaTheme="majorEastAsia" w:cs="Arial"/>
          <w:color w:val="000000" w:themeColor="text1"/>
          <w:lang w:val="en-GB"/>
        </w:rPr>
        <w:t xml:space="preserve">‘Fit for the future: 10 Year Health Plan for England’ </w:t>
      </w:r>
      <w:r w:rsidRPr="0023073D">
        <w:rPr>
          <w:rFonts w:ascii="Arial" w:hAnsi="Arial" w:eastAsiaTheme="majorEastAsia" w:cs="Arial"/>
          <w:color w:val="000000" w:themeColor="text1"/>
          <w:lang w:val="en-GB"/>
        </w:rPr>
        <w:t xml:space="preserve">through the framework of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Three Shifts</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explicitly targets structural reform: moving care from hospital to community, from analogue to digital, and from sickness to prevention (Financial Times, 2024; NHS Providers, 2025). This strategy acknowledges that the discharge constraint is not merely a question of physical bed numbers; it is a complex system interface problem. It involves a breakdown in coordination between NHS discharge hubs, intermediate care capacity (rehabilitation and reablement), and an increasingly fragile adult social care market (Care Quality Commission, 2025).</w:t>
      </w:r>
      <w:r>
        <w:rPr>
          <w:rFonts w:ascii="Arial" w:hAnsi="Arial" w:eastAsiaTheme="majorEastAsia" w:cs="Arial"/>
          <w:color w:val="000000" w:themeColor="text1"/>
          <w:lang w:val="en-GB"/>
        </w:rPr>
        <w:t xml:space="preserve"> </w:t>
      </w:r>
      <w:r w:rsidRPr="0023073D">
        <w:rPr>
          <w:rFonts w:ascii="Arial" w:hAnsi="Arial" w:eastAsiaTheme="majorEastAsia" w:cs="Arial"/>
          <w:color w:val="000000" w:themeColor="text1"/>
          <w:lang w:val="en-GB"/>
        </w:rPr>
        <w:t xml:space="preserve">The sustainability of the </w:t>
      </w:r>
      <w:r>
        <w:rPr>
          <w:rFonts w:ascii="Arial" w:hAnsi="Arial" w:eastAsiaTheme="majorEastAsia" w:cs="Arial"/>
          <w:color w:val="000000" w:themeColor="text1"/>
          <w:lang w:val="en-GB"/>
        </w:rPr>
        <w:t>adult social care</w:t>
      </w:r>
      <w:r w:rsidRPr="0023073D">
        <w:rPr>
          <w:rFonts w:ascii="Arial" w:hAnsi="Arial" w:eastAsiaTheme="majorEastAsia" w:cs="Arial"/>
          <w:color w:val="000000" w:themeColor="text1"/>
          <w:lang w:val="en-GB"/>
        </w:rPr>
        <w:t xml:space="preserve"> sector is now a critical risk. Market fragility, driven by workforce shortages and the financial gap between local authority fees and the actual cost of care, often renders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hospital to home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shift aspirational rather than operational. While service models such as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hospital at home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and virtual wards are being scaled to substitute for inpatient care (Edgar et al., 2024), their success depends heavily on the robustness of the underlying </w:t>
      </w:r>
      <w:r>
        <w:rPr>
          <w:rFonts w:ascii="Arial" w:hAnsi="Arial" w:eastAsiaTheme="majorEastAsia" w:cs="Arial"/>
          <w:color w:val="000000" w:themeColor="text1"/>
          <w:lang w:val="en-GB"/>
        </w:rPr>
        <w:t>adult social care</w:t>
      </w:r>
      <w:r w:rsidRPr="0023073D">
        <w:rPr>
          <w:rFonts w:ascii="Arial" w:hAnsi="Arial" w:eastAsiaTheme="majorEastAsia" w:cs="Arial"/>
          <w:color w:val="000000" w:themeColor="text1"/>
          <w:lang w:val="en-GB"/>
        </w:rPr>
        <w:t xml:space="preserve"> ecosystem.</w:t>
      </w:r>
    </w:p>
    <w:p w:rsidR="009A29B4" w:rsidP="009A29B4" w14:paraId="3E3E7172" w14:textId="77777777">
      <w:pPr>
        <w:spacing w:before="360" w:after="80"/>
        <w:jc w:val="both"/>
        <w:rPr>
          <w:rFonts w:ascii="Arial" w:hAnsi="Arial" w:eastAsiaTheme="majorEastAsia" w:cs="Arial"/>
          <w:color w:val="000000" w:themeColor="text1"/>
          <w:lang w:val="en-GB"/>
        </w:rPr>
      </w:pPr>
      <w:r>
        <w:rPr>
          <w:rFonts w:ascii="Arial" w:hAnsi="Arial" w:eastAsiaTheme="majorEastAsia" w:cs="Arial"/>
          <w:color w:val="000000" w:themeColor="text1"/>
          <w:lang w:val="en-GB"/>
        </w:rPr>
        <w:t>U</w:t>
      </w:r>
      <w:r w:rsidRPr="0023073D">
        <w:rPr>
          <w:rFonts w:ascii="Arial" w:hAnsi="Arial" w:eastAsiaTheme="majorEastAsia" w:cs="Arial"/>
          <w:color w:val="000000" w:themeColor="text1"/>
          <w:lang w:val="en-GB"/>
        </w:rPr>
        <w:t xml:space="preserve">nderstanding the drivers of delayed discharge </w:t>
      </w:r>
      <w:r>
        <w:rPr>
          <w:rFonts w:ascii="Arial" w:hAnsi="Arial" w:eastAsiaTheme="majorEastAsia" w:cs="Arial"/>
          <w:color w:val="000000" w:themeColor="text1"/>
          <w:lang w:val="en-GB"/>
        </w:rPr>
        <w:t xml:space="preserve">therefore </w:t>
      </w:r>
      <w:r w:rsidRPr="0023073D">
        <w:rPr>
          <w:rFonts w:ascii="Arial" w:hAnsi="Arial" w:eastAsiaTheme="majorEastAsia" w:cs="Arial"/>
          <w:color w:val="000000" w:themeColor="text1"/>
          <w:lang w:val="en-GB"/>
        </w:rPr>
        <w:t xml:space="preserve">requires more than a simple analysis of averages. It demands an econometric approach capable of isolating the impact of patient-level clinical needs from the contextual constraints of the social care </w:t>
      </w:r>
      <w:r w:rsidRPr="0023073D">
        <w:rPr>
          <w:rFonts w:ascii="Arial" w:hAnsi="Arial" w:eastAsiaTheme="majorEastAsia" w:cs="Arial"/>
          <w:color w:val="000000" w:themeColor="text1"/>
          <w:lang w:val="en-GB"/>
        </w:rPr>
        <w:t>market</w:t>
      </w:r>
      <w:r>
        <w:rPr>
          <w:rFonts w:ascii="Arial" w:hAnsi="Arial" w:eastAsiaTheme="majorEastAsia" w:cs="Arial"/>
          <w:color w:val="000000" w:themeColor="text1"/>
          <w:lang w:val="en-GB"/>
        </w:rPr>
        <w:t xml:space="preserve"> – including </w:t>
      </w:r>
      <w:r w:rsidRPr="0023073D">
        <w:rPr>
          <w:rFonts w:ascii="Arial" w:hAnsi="Arial" w:eastAsiaTheme="majorEastAsia" w:cs="Arial"/>
          <w:color w:val="000000" w:themeColor="text1"/>
          <w:lang w:val="en-GB"/>
        </w:rPr>
        <w:t>contractual rigidities and financial sustainability. This report</w:t>
      </w:r>
      <w:r>
        <w:rPr>
          <w:rFonts w:ascii="Arial" w:hAnsi="Arial" w:eastAsiaTheme="majorEastAsia" w:cs="Arial"/>
          <w:color w:val="000000" w:themeColor="text1"/>
          <w:lang w:val="en-GB"/>
        </w:rPr>
        <w:t xml:space="preserve"> </w:t>
      </w:r>
      <w:r w:rsidRPr="0023073D">
        <w:rPr>
          <w:rFonts w:ascii="Arial" w:hAnsi="Arial" w:eastAsiaTheme="majorEastAsia" w:cs="Arial"/>
          <w:color w:val="000000" w:themeColor="text1"/>
          <w:lang w:val="en-GB"/>
        </w:rPr>
        <w:t>pro</w:t>
      </w:r>
      <w:r>
        <w:rPr>
          <w:rFonts w:ascii="Arial" w:hAnsi="Arial" w:eastAsiaTheme="majorEastAsia" w:cs="Arial"/>
          <w:color w:val="000000" w:themeColor="text1"/>
          <w:lang w:val="en-GB"/>
        </w:rPr>
        <w:t>vides</w:t>
      </w:r>
      <w:r w:rsidRPr="0023073D">
        <w:rPr>
          <w:rFonts w:ascii="Arial" w:hAnsi="Arial" w:eastAsiaTheme="majorEastAsia" w:cs="Arial"/>
          <w:color w:val="000000" w:themeColor="text1"/>
          <w:lang w:val="en-GB"/>
        </w:rPr>
        <w:t xml:space="preserve"> such a model, focusing on stroke pathways as a critical test case for improving flow, protecting elective recovery and ensuring patient safety across the system interface.</w:t>
      </w:r>
    </w:p>
    <w:p w:rsidR="009A29B4" w:rsidRPr="0023073D" w:rsidP="009A29B4" w14:paraId="7C930A43" w14:textId="77777777">
      <w:pPr>
        <w:pStyle w:val="Heading2"/>
        <w:jc w:val="both"/>
        <w:rPr>
          <w:rFonts w:ascii="Arial" w:hAnsi="Arial" w:cs="Arial"/>
          <w:lang w:val="en-GB"/>
        </w:rPr>
      </w:pPr>
      <w:r w:rsidRPr="0023073D">
        <w:rPr>
          <w:rFonts w:ascii="Arial" w:hAnsi="Arial" w:cs="Arial"/>
          <w:lang w:val="en-GB"/>
        </w:rPr>
        <w:t>2. Research objectives and context</w:t>
      </w:r>
    </w:p>
    <w:p w:rsidR="009A29B4" w:rsidRPr="0023073D" w:rsidP="009A29B4" w14:paraId="2FFDA31A"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 primary objective of this project is to develop a new econometric model to understand and improve the flow of older patients from hospital into adult social care. A central challenge identified in this research is the limited availability of </w:t>
      </w:r>
      <w:r>
        <w:rPr>
          <w:rFonts w:ascii="Arial" w:hAnsi="Arial" w:eastAsiaTheme="majorEastAsia" w:cs="Arial"/>
          <w:color w:val="000000" w:themeColor="text1"/>
          <w:lang w:val="en-GB"/>
        </w:rPr>
        <w:t>adult social care</w:t>
      </w:r>
      <w:r w:rsidRPr="0023073D">
        <w:rPr>
          <w:rFonts w:ascii="Arial" w:hAnsi="Arial" w:eastAsiaTheme="majorEastAsia" w:cs="Arial"/>
          <w:color w:val="000000" w:themeColor="text1"/>
          <w:lang w:val="en-GB"/>
        </w:rPr>
        <w:t xml:space="preserve"> provision, compounded by the significant difficulties in attracting and retaining workers within the sector. Consequently, this modelling seeks to capture and integrate the multifaceted factors—clinical, financial, and organisational—that enable a smoother exit from acute hospital settings and a sustainable entry into community-based </w:t>
      </w:r>
      <w:r>
        <w:rPr>
          <w:rFonts w:ascii="Arial" w:hAnsi="Arial" w:eastAsiaTheme="majorEastAsia" w:cs="Arial"/>
          <w:color w:val="000000" w:themeColor="text1"/>
          <w:lang w:val="en-GB"/>
        </w:rPr>
        <w:t>adult social care</w:t>
      </w:r>
      <w:r w:rsidRPr="0023073D">
        <w:rPr>
          <w:rFonts w:ascii="Arial" w:hAnsi="Arial" w:eastAsiaTheme="majorEastAsia" w:cs="Arial"/>
          <w:color w:val="000000" w:themeColor="text1"/>
          <w:lang w:val="en-GB"/>
        </w:rPr>
        <w:t>.</w:t>
      </w:r>
    </w:p>
    <w:p w:rsidR="009A29B4" w:rsidRPr="0023073D" w:rsidP="009A29B4" w14:paraId="3066F28A"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 context for this pilot study would be a hospital stroke ward, a setting that requires the seamless discharge of patients into supported care, which is frequently home-based. At present, delayed discharge (or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bed blocking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negatively affects patient health and well-being, particularly among older populations, while creating severe knock-on effects on hospital waiting times and NHS finances.</w:t>
      </w:r>
    </w:p>
    <w:p w:rsidR="009A29B4" w:rsidRPr="0023073D" w:rsidP="009A29B4" w14:paraId="787366A8" w14:textId="77777777">
      <w:pPr>
        <w:pStyle w:val="Heading2"/>
        <w:jc w:val="both"/>
        <w:rPr>
          <w:rFonts w:ascii="Arial" w:hAnsi="Arial" w:cs="Arial"/>
          <w:lang w:val="en-GB"/>
        </w:rPr>
      </w:pPr>
      <w:r w:rsidRPr="0023073D">
        <w:rPr>
          <w:rFonts w:ascii="Arial" w:hAnsi="Arial" w:cs="Arial"/>
          <w:lang w:val="en-GB"/>
        </w:rPr>
        <w:t xml:space="preserve">3. </w:t>
      </w:r>
      <w:r w:rsidRPr="00A3146B">
        <w:rPr>
          <w:lang w:val="en-GB"/>
        </w:rPr>
        <w:t>Econometric model and estimation strategy</w:t>
      </w:r>
    </w:p>
    <w:p w:rsidR="009A29B4" w:rsidRPr="0023073D" w:rsidP="009A29B4" w14:paraId="7E3622A7"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 literature examining the systemic causes of delayed discharge highlights a complex relationship between institutional capacity and community-based supply. Historically, the policy focus in England has been on the availability of nursing and care home beds as the primary solution to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bed blocking.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Gaughan et al. (2015) tested this hypothesis using panel data from 147 local authorities, finding that while bed density is a significant factor, it possesses a relatively low elasticity; a 10% increase in care home beds was associated with only a 6–9% reduction in delays. This </w:t>
      </w:r>
      <w:r>
        <w:rPr>
          <w:rFonts w:ascii="Arial" w:hAnsi="Arial" w:eastAsiaTheme="majorEastAsia" w:cs="Arial"/>
          <w:color w:val="000000" w:themeColor="text1"/>
          <w:lang w:val="en-GB"/>
        </w:rPr>
        <w:t xml:space="preserve">finding </w:t>
      </w:r>
      <w:r w:rsidRPr="0023073D">
        <w:rPr>
          <w:rFonts w:ascii="Arial" w:hAnsi="Arial" w:eastAsiaTheme="majorEastAsia" w:cs="Arial"/>
          <w:color w:val="000000" w:themeColor="text1"/>
          <w:lang w:val="en-GB"/>
        </w:rPr>
        <w:t>suggests that simply expanding institutional capacity is insufficient to resolve the crisis. Furthermore, Gaughan’s work identified critical spatial effects, where delays in one area are influenced by the care home supply and demographic pressures of neighbouring jurisdictions, indicating that the care ecosystem must be managed at a regional, rather than purely local, level.</w:t>
      </w:r>
    </w:p>
    <w:p w:rsidR="009A29B4" w:rsidRPr="0023073D" w:rsidP="009A29B4" w14:paraId="7DDC68F6"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More recent evidence suggests that the supply of home-based support (domiciliary care) may be a more potent lever for improving hospital flow. Allan et al. (2021) found that an increase of just one home care provider per 10 km² could reduce delayed discharge days by approximately 14.9%, generating significant annual savings for the NHS. However, the effectiveness of home care is often undermined by market fragility and workforce shortages, particularly as approximately 29% of the sector currently operates below the minimum cost of care (Homecare Association, 2025a). Furthermore, industry bodies warn that new legislative attempts to improve worker </w:t>
      </w:r>
      <w:r w:rsidRPr="0023073D">
        <w:rPr>
          <w:rFonts w:ascii="Arial" w:hAnsi="Arial" w:eastAsiaTheme="majorEastAsia" w:cs="Arial"/>
          <w:color w:val="000000" w:themeColor="text1"/>
          <w:lang w:val="en-GB"/>
        </w:rPr>
        <w:t>rights will likely fail to stabilize the workforce unless accompanied by fundamental changes in how care is funded and commissioned (Homecare Association, 2025b).</w:t>
      </w:r>
    </w:p>
    <w:p w:rsidR="009A29B4" w:rsidRPr="0023073D" w:rsidP="009A29B4" w14:paraId="0BB38ECB"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This theoretical link between market stability and discharge efficiency is reflected in recent UK initiatives such as the Coventry and Warwickshire ICS Community Recovery Service. Recognising that market volatility prevents providers from securing staff, this system moved away from traditional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spot-purchasing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of home-care hours towards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block-purchasing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in advance (NHS Providers, 2023a). By providing providers with a stable income base, this contractual redesign enables them to recruit staff and plan rosters more effectively, thereby reducing the risk of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no-provider</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situations that frequently stall discharge pathways (NHS Providers, 2023a). Consequently, addressing delayed discharge requires a shift from viewing capacity as a simple count of beds to understanding it as a function of contractual sustainability and workforce security.</w:t>
      </w:r>
    </w:p>
    <w:p w:rsidR="009A29B4" w:rsidRPr="0023073D" w:rsidP="009A29B4" w14:paraId="0279CB1B" w14:textId="77777777">
      <w:pPr>
        <w:spacing w:before="360" w:after="80"/>
        <w:jc w:val="both"/>
        <w:rPr>
          <w:rFonts w:ascii="Arial" w:hAnsi="Arial" w:eastAsiaTheme="majorEastAsia" w:cs="Arial"/>
          <w:b/>
          <w:bCs/>
          <w:color w:val="000000" w:themeColor="text1"/>
          <w:lang w:val="en-GB"/>
        </w:rPr>
      </w:pPr>
      <w:r w:rsidRPr="0023073D">
        <w:rPr>
          <w:rFonts w:ascii="Arial" w:hAnsi="Arial" w:eastAsiaTheme="majorEastAsia" w:cs="Arial"/>
          <w:b/>
          <w:bCs/>
          <w:color w:val="000000" w:themeColor="text1"/>
          <w:lang w:val="en-GB"/>
        </w:rPr>
        <w:t>Stroke as a critical case: complexity and rehabilitation</w:t>
      </w:r>
    </w:p>
    <w:p w:rsidR="009A29B4" w:rsidRPr="0023073D" w:rsidP="009A29B4" w14:paraId="1571779E" w14:textId="588B2D4C">
      <w:pPr>
        <w:spacing w:before="360" w:after="80"/>
        <w:jc w:val="both"/>
        <w:rPr>
          <w:rFonts w:ascii="Arial" w:hAnsi="Arial" w:eastAsiaTheme="majorEastAsia" w:cs="Arial"/>
          <w:color w:val="000000" w:themeColor="text1"/>
          <w:lang w:val="en-GB"/>
        </w:rPr>
      </w:pPr>
      <w:r>
        <w:rPr>
          <w:rFonts w:ascii="Arial" w:hAnsi="Arial" w:eastAsiaTheme="majorEastAsia" w:cs="Arial"/>
          <w:color w:val="000000" w:themeColor="text1"/>
          <w:lang w:val="en-GB"/>
        </w:rPr>
        <w:t xml:space="preserve">Strokes typically affect the older population. </w:t>
      </w:r>
      <w:r w:rsidRPr="0023073D">
        <w:rPr>
          <w:rFonts w:ascii="Arial" w:hAnsi="Arial" w:eastAsiaTheme="majorEastAsia" w:cs="Arial"/>
          <w:color w:val="000000" w:themeColor="text1"/>
          <w:lang w:val="en-GB"/>
        </w:rPr>
        <w:t xml:space="preserve">Stroke pathways represent a significant challenge for hospital flow due to the high levels of sudden functional dependency and the specialized rehabilitation required for recovery. Research indicates that the drivers of delayed discharge for stroke patients differ substantially from other acute conditions. Gaughan et al. (2017) demonstrated that while care home supply can reduce the length of stay (LOS) for hip fracture patients, it has no significant effect on the discharge destination or LOS for stroke patients. In these cases, hospital stay is predominantly explained by clinical severity (e.g., haemorrhagic </w:t>
      </w:r>
      <w:r>
        <w:rPr>
          <w:rFonts w:ascii="Arial" w:hAnsi="Arial" w:eastAsiaTheme="majorEastAsia" w:cs="Arial"/>
          <w:color w:val="000000" w:themeColor="text1"/>
          <w:lang w:val="en-GB"/>
        </w:rPr>
        <w:t>in comparison to</w:t>
      </w:r>
      <w:r w:rsidRPr="0023073D">
        <w:rPr>
          <w:rFonts w:ascii="Arial" w:hAnsi="Arial" w:eastAsiaTheme="majorEastAsia" w:cs="Arial"/>
          <w:color w:val="000000" w:themeColor="text1"/>
          <w:lang w:val="en-GB"/>
        </w:rPr>
        <w:t xml:space="preserve"> ischaemic stroke) and the resulting disability. The authors conclude that stroke survivors require specific rehabilitation resources that extend beyond standard residential care, suggesting that a lack of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step-down</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neurological units is a more critical bottleneck than general care home capacity.</w:t>
      </w:r>
    </w:p>
    <w:p w:rsidR="009A29B4" w:rsidRPr="0023073D" w:rsidP="009A29B4" w14:paraId="3D06B3B4"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 economic and human cost of these delays is profound. An observational study by Pellico-López et al. (2022) found that stroke patients experiencing delayed discharge had a median hospital stay of 22 days—more than double the 9-day expected stay for comparable cases without delays. This </w:t>
      </w:r>
      <w:r>
        <w:rPr>
          <w:rFonts w:ascii="Arial" w:hAnsi="Arial" w:eastAsiaTheme="majorEastAsia" w:cs="Arial"/>
          <w:color w:val="000000" w:themeColor="text1"/>
          <w:lang w:val="en-GB"/>
        </w:rPr>
        <w:t xml:space="preserve">delay </w:t>
      </w:r>
      <w:r w:rsidRPr="0023073D">
        <w:rPr>
          <w:rFonts w:ascii="Arial" w:hAnsi="Arial" w:eastAsiaTheme="majorEastAsia" w:cs="Arial"/>
          <w:color w:val="000000" w:themeColor="text1"/>
          <w:lang w:val="en-GB"/>
        </w:rPr>
        <w:t xml:space="preserve">represents an average of 13 extra days per patient, with approximately four of those days occurring after the patient was declared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medically fit to reside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Interestingly, the study noted that younger stroke patients often remained hospitalised longer, likely due to a systemic lack of intermediate care facilities equipped to handle sudden, high-intensity dependency in non-geriatric populations (</w:t>
      </w:r>
      <w:r w:rsidRPr="0023073D">
        <w:rPr>
          <w:rFonts w:ascii="Arial" w:hAnsi="Arial" w:eastAsiaTheme="majorEastAsia" w:cs="Arial"/>
          <w:color w:val="000000" w:themeColor="text1"/>
          <w:lang w:val="en-GB"/>
        </w:rPr>
        <w:t>Pellico</w:t>
      </w:r>
      <w:r w:rsidRPr="0023073D">
        <w:rPr>
          <w:rFonts w:ascii="Arial" w:hAnsi="Arial" w:eastAsiaTheme="majorEastAsia" w:cs="Arial"/>
          <w:color w:val="000000" w:themeColor="text1"/>
          <w:lang w:val="en-GB"/>
        </w:rPr>
        <w:t>-López et al., 2022).</w:t>
      </w:r>
    </w:p>
    <w:p w:rsidR="009A29B4" w:rsidRPr="0023073D" w:rsidP="009A29B4" w14:paraId="4528DFED"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These findings reinforce the need for a nuanced econometric approach. If standard </w:t>
      </w:r>
      <w:r>
        <w:rPr>
          <w:rFonts w:ascii="Arial" w:hAnsi="Arial" w:eastAsiaTheme="majorEastAsia" w:cs="Arial"/>
          <w:color w:val="000000" w:themeColor="text1"/>
          <w:lang w:val="en-GB"/>
        </w:rPr>
        <w:t>adult social care</w:t>
      </w:r>
      <w:r w:rsidRPr="0023073D">
        <w:rPr>
          <w:rFonts w:ascii="Arial" w:hAnsi="Arial" w:eastAsiaTheme="majorEastAsia" w:cs="Arial"/>
          <w:color w:val="000000" w:themeColor="text1"/>
          <w:lang w:val="en-GB"/>
        </w:rPr>
        <w:t xml:space="preserve"> capacity does not resolve delays for stroke, the model must account for the availability of Early Supported Discharge (ESD) programmes and specialised rehabilitation. As Pellico-López et al. (2022) argue, reducing stroke-related bed </w:t>
      </w:r>
      <w:r w:rsidRPr="0023073D">
        <w:rPr>
          <w:rFonts w:ascii="Arial" w:hAnsi="Arial" w:eastAsiaTheme="majorEastAsia" w:cs="Arial"/>
          <w:color w:val="000000" w:themeColor="text1"/>
          <w:lang w:val="en-GB"/>
        </w:rPr>
        <w:t xml:space="preserve">blocking requires not just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more beds,</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but better coordination between acute clinical teams and specific intermediate recovery services to manage the transition from hospital to home effectively.</w:t>
      </w:r>
    </w:p>
    <w:p w:rsidR="009A29B4" w:rsidRPr="0023073D" w:rsidP="009A29B4" w14:paraId="4C235147" w14:textId="77777777">
      <w:pPr>
        <w:spacing w:before="360" w:after="80"/>
        <w:jc w:val="both"/>
        <w:rPr>
          <w:rFonts w:ascii="Arial" w:hAnsi="Arial" w:eastAsiaTheme="majorEastAsia" w:cs="Arial"/>
          <w:b/>
          <w:bCs/>
          <w:color w:val="000000" w:themeColor="text1"/>
          <w:lang w:val="en-GB"/>
        </w:rPr>
      </w:pPr>
      <w:r w:rsidRPr="0023073D">
        <w:rPr>
          <w:rFonts w:ascii="Arial" w:hAnsi="Arial" w:eastAsiaTheme="majorEastAsia" w:cs="Arial"/>
          <w:b/>
          <w:bCs/>
          <w:color w:val="000000" w:themeColor="text1"/>
          <w:lang w:val="en-GB"/>
        </w:rPr>
        <w:t>System coordination and information infrastructure</w:t>
      </w:r>
    </w:p>
    <w:p w:rsidR="009A29B4" w:rsidRPr="0023073D" w:rsidP="009A29B4" w14:paraId="01F1E3E4"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Beyond physical capacity, the literature increasingly identifies system fragmentation and poor information flow as primary drivers of discharge delays. Janssens et al. (2025) demonstrated through a mixed-methods study that even when bed capacity exists, complex coordination processes can generate significant waiting times at every stage of the patient trajectory. Their findings revealed that in a regional hospital network, 6% of total capacity was occupied by patients waiting for intramural care, with delays occurring largely due to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system friction</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inherent in multi-agency transitions. This </w:t>
      </w:r>
      <w:r>
        <w:rPr>
          <w:rFonts w:ascii="Arial" w:hAnsi="Arial" w:eastAsiaTheme="majorEastAsia" w:cs="Arial"/>
          <w:color w:val="000000" w:themeColor="text1"/>
          <w:lang w:val="en-GB"/>
        </w:rPr>
        <w:t xml:space="preserve">finding </w:t>
      </w:r>
      <w:r w:rsidRPr="0023073D">
        <w:rPr>
          <w:rFonts w:ascii="Arial" w:hAnsi="Arial" w:eastAsiaTheme="majorEastAsia" w:cs="Arial"/>
          <w:color w:val="000000" w:themeColor="text1"/>
          <w:lang w:val="en-GB"/>
        </w:rPr>
        <w:t xml:space="preserve">suggests that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bed blocking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is frequently a symptom of information gaps rather than a simple lack of beds (Janssens et al., 2025).</w:t>
      </w:r>
    </w:p>
    <w:p w:rsidR="009A29B4" w:rsidRPr="0023073D" w:rsidP="009A29B4" w14:paraId="37C0662A"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To mitigate these coordination failures, the UK has pioneered the establishment of Transfer of Care Hubs. These co-located, multidisciplinary teams—comprising social workers, discharge managers, and clinical staff—aim to provide a single point of access for complex discharge planning. A notable example is the Croydon Care Transfer Hub, which successfully implemented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blended assessor</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roles to bridge the gap between clinical and social assessments, thereby reducing duplication and streamlining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medically fit to discharge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transition (D</w:t>
      </w:r>
      <w:r>
        <w:rPr>
          <w:rFonts w:ascii="Arial" w:hAnsi="Arial" w:eastAsiaTheme="majorEastAsia" w:cs="Arial"/>
          <w:color w:val="000000" w:themeColor="text1"/>
          <w:lang w:val="en-GB"/>
        </w:rPr>
        <w:t>HSC/NHS England</w:t>
      </w:r>
      <w:r w:rsidRPr="0023073D">
        <w:rPr>
          <w:rFonts w:ascii="Arial" w:hAnsi="Arial" w:eastAsiaTheme="majorEastAsia" w:cs="Arial"/>
          <w:color w:val="000000" w:themeColor="text1"/>
          <w:lang w:val="en-GB"/>
        </w:rPr>
        <w:t>, 2024; NHS England, 2024a).</w:t>
      </w:r>
    </w:p>
    <w:p w:rsidR="009A29B4" w:rsidRPr="0023073D" w:rsidP="009A29B4" w14:paraId="6B1C25E9"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Furthermore, the lack of real-time visibility across the health and social care interface has led to the development of integrated digital infrastructures. The Leeds Health and Care Partnership, for instance, introduced a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system-visibility tool</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designed to create a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single version of the truth</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across hospitals and adult social care providers (NHS Providers, 2023b). By integrating data on acute bed status, community-bed availability, and reablement flow, the </w:t>
      </w:r>
      <w:r>
        <w:rPr>
          <w:rFonts w:ascii="Arial" w:hAnsi="Arial" w:eastAsiaTheme="majorEastAsia" w:cs="Arial"/>
          <w:color w:val="000000" w:themeColor="text1"/>
          <w:lang w:val="en-GB"/>
        </w:rPr>
        <w:t>P</w:t>
      </w:r>
      <w:r w:rsidRPr="0023073D">
        <w:rPr>
          <w:rFonts w:ascii="Arial" w:hAnsi="Arial" w:eastAsiaTheme="majorEastAsia" w:cs="Arial"/>
          <w:color w:val="000000" w:themeColor="text1"/>
          <w:lang w:val="en-GB"/>
        </w:rPr>
        <w:t xml:space="preserve">artnership addressed the long-standing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visibility gap</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identified by researchers</w:t>
      </w:r>
      <w:r>
        <w:rPr>
          <w:rFonts w:ascii="Arial" w:hAnsi="Arial" w:eastAsiaTheme="majorEastAsia" w:cs="Arial"/>
          <w:color w:val="000000" w:themeColor="text1"/>
          <w:lang w:val="en-GB"/>
        </w:rPr>
        <w:t xml:space="preserve"> such as</w:t>
      </w:r>
      <w:r w:rsidRPr="0023073D">
        <w:rPr>
          <w:rFonts w:ascii="Arial" w:hAnsi="Arial" w:eastAsiaTheme="majorEastAsia" w:cs="Arial"/>
          <w:color w:val="000000" w:themeColor="text1"/>
          <w:lang w:val="en-GB"/>
        </w:rPr>
        <w:t xml:space="preserve"> Janssens. These initiatives illustrate that effective discharge management is as much an issue of system governance and transparent data infrastructure as it is one of clinical or community capacity (NHS Providers, 2023b).</w:t>
      </w:r>
    </w:p>
    <w:p w:rsidR="009A29B4" w:rsidRPr="0023073D" w:rsidP="009A29B4" w14:paraId="31E74585" w14:textId="77777777">
      <w:pPr>
        <w:spacing w:before="360" w:after="80"/>
        <w:jc w:val="both"/>
        <w:rPr>
          <w:rFonts w:ascii="Arial" w:hAnsi="Arial" w:eastAsiaTheme="majorEastAsia" w:cs="Arial"/>
          <w:b/>
          <w:bCs/>
          <w:color w:val="000000" w:themeColor="text1"/>
          <w:lang w:val="en-GB"/>
        </w:rPr>
      </w:pPr>
      <w:r w:rsidRPr="0023073D">
        <w:rPr>
          <w:rFonts w:ascii="Arial" w:hAnsi="Arial" w:eastAsiaTheme="majorEastAsia" w:cs="Arial"/>
          <w:b/>
          <w:bCs/>
          <w:color w:val="000000" w:themeColor="text1"/>
          <w:lang w:val="en-GB"/>
        </w:rPr>
        <w:t>Alternative pathways: virtual wards and home first</w:t>
      </w:r>
    </w:p>
    <w:p w:rsidR="009A29B4" w:rsidRPr="0023073D" w:rsidP="009A29B4" w14:paraId="1062CC1F"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A central pillar of current </w:t>
      </w:r>
      <w:r w:rsidRPr="0002741C">
        <w:rPr>
          <w:rFonts w:ascii="Arial" w:hAnsi="Arial" w:eastAsiaTheme="majorEastAsia" w:cs="Arial"/>
          <w:color w:val="000000" w:themeColor="text1"/>
          <w:lang w:val="en-GB"/>
        </w:rPr>
        <w:t>UK</w:t>
      </w:r>
      <w:r w:rsidRPr="0023073D">
        <w:rPr>
          <w:rFonts w:ascii="Arial" w:hAnsi="Arial" w:eastAsiaTheme="majorEastAsia" w:cs="Arial"/>
          <w:color w:val="000000" w:themeColor="text1"/>
          <w:lang w:val="en-GB"/>
        </w:rPr>
        <w:t xml:space="preserve"> health policy is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Home First</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approach, which operates on the principle that hospital discharge should occur as soon as a patient is medically stable, with long-term care needs assessed in the patient’s own home rather than a clinical setting. This Discharge to Assess (D2A) model is structured around four distinct pathways (0 to 3), designed to ensure that patients receive the appropriate level of reablement or recovery support within the first 24–72 hours of discharge </w:t>
      </w:r>
      <w:r w:rsidRPr="0023073D">
        <w:rPr>
          <w:rFonts w:ascii="Arial" w:hAnsi="Arial" w:eastAsiaTheme="majorEastAsia" w:cs="Arial"/>
          <w:color w:val="000000" w:themeColor="text1"/>
          <w:lang w:val="en-GB"/>
        </w:rPr>
        <w:t>(D</w:t>
      </w:r>
      <w:r>
        <w:rPr>
          <w:rFonts w:ascii="Arial" w:hAnsi="Arial" w:eastAsiaTheme="majorEastAsia" w:cs="Arial"/>
          <w:color w:val="000000" w:themeColor="text1"/>
          <w:lang w:val="en-GB"/>
        </w:rPr>
        <w:t>HSC/NHS England</w:t>
      </w:r>
      <w:r w:rsidRPr="0023073D">
        <w:rPr>
          <w:rFonts w:ascii="Arial" w:hAnsi="Arial" w:eastAsiaTheme="majorEastAsia" w:cs="Arial"/>
          <w:color w:val="000000" w:themeColor="text1"/>
          <w:lang w:val="en-GB"/>
        </w:rPr>
        <w:t xml:space="preserve">, 2024). By shifting the assessment phase out of the acute environment, D2A aims to reduce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decompensation</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that often occurs when older patients remain in hospital unnecessarily.</w:t>
      </w:r>
    </w:p>
    <w:p w:rsidR="009A29B4" w:rsidRPr="0023073D" w:rsidP="009A29B4" w14:paraId="393D7BB5"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The effectiveness of prioritising home-based care over institutional expansion is supported by international evidence. In a quasi-experimental study in Portugal, Moura (2022) found that the creation of integrated public home care teams reduced prolonged hospital stays by an average of four days per episode. In contrast, the expansion of nursing home places had only a limited impact, except for highly dependent patients. This </w:t>
      </w:r>
      <w:r>
        <w:rPr>
          <w:rFonts w:ascii="Arial" w:hAnsi="Arial" w:eastAsiaTheme="majorEastAsia" w:cs="Arial"/>
          <w:color w:val="000000" w:themeColor="text1"/>
          <w:lang w:val="en-GB"/>
        </w:rPr>
        <w:t xml:space="preserve">finding </w:t>
      </w:r>
      <w:r w:rsidRPr="0023073D">
        <w:rPr>
          <w:rFonts w:ascii="Arial" w:hAnsi="Arial" w:eastAsiaTheme="majorEastAsia" w:cs="Arial"/>
          <w:color w:val="000000" w:themeColor="text1"/>
          <w:lang w:val="en-GB"/>
        </w:rPr>
        <w:t>reinforces the argument that bed blocking is more effectively addressed through integrated community teams that facilitate home-based recovery than through the mere addition of residential beds.</w:t>
      </w:r>
    </w:p>
    <w:p w:rsidR="009A29B4" w:rsidRPr="0023073D" w:rsidP="009A29B4" w14:paraId="06BF9C4F"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In the UK, this shift has been further accelerated by the introduction of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Virtual Wards</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or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Hospital at Home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programmes. These models use remote monitoring technology and multidisciplinary community teams to provide hospital-level care for frail or complex patients in their own residences (NHS England, 2024d). Recent evaluations suggest significant impact: the expansion of virtual wards has been estimated to prevent over 2300 hospital admissions in a single four-month period, with £14.9</w:t>
      </w:r>
      <w:r>
        <w:rPr>
          <w:rFonts w:ascii="Arial" w:hAnsi="Arial" w:eastAsiaTheme="majorEastAsia" w:cs="Arial"/>
          <w:color w:val="000000" w:themeColor="text1"/>
          <w:lang w:val="en-GB"/>
        </w:rPr>
        <w:t>m</w:t>
      </w:r>
      <w:r w:rsidRPr="0023073D">
        <w:rPr>
          <w:rFonts w:ascii="Arial" w:hAnsi="Arial" w:eastAsiaTheme="majorEastAsia" w:cs="Arial"/>
          <w:color w:val="000000" w:themeColor="text1"/>
          <w:lang w:val="en-GB"/>
        </w:rPr>
        <w:t xml:space="preserve"> in savings reported by NHS Scotland through reduced traditional hospitalisation costs and readmissions. These results indicate that technology-enabled alternative pathways can provide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effective capacity</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required to relieve acute pressure without the need for physical hospital expansion, provided they are safely integrated with primary and social care services (Health Foundation, 2024; NHS England, 2024d).</w:t>
      </w:r>
    </w:p>
    <w:p w:rsidR="009A29B4" w:rsidRPr="0023073D" w:rsidP="009A29B4" w14:paraId="7FDC3619" w14:textId="77777777">
      <w:pPr>
        <w:spacing w:before="360" w:after="80"/>
        <w:jc w:val="both"/>
        <w:rPr>
          <w:rFonts w:ascii="Arial" w:hAnsi="Arial" w:eastAsiaTheme="majorEastAsia" w:cs="Arial"/>
          <w:b/>
          <w:bCs/>
          <w:color w:val="000000" w:themeColor="text1"/>
          <w:lang w:val="en-GB"/>
        </w:rPr>
      </w:pPr>
      <w:r w:rsidRPr="0023073D">
        <w:rPr>
          <w:rFonts w:ascii="Arial" w:hAnsi="Arial" w:eastAsiaTheme="majorEastAsia" w:cs="Arial"/>
          <w:b/>
          <w:bCs/>
          <w:color w:val="000000" w:themeColor="text1"/>
          <w:lang w:val="en-GB"/>
        </w:rPr>
        <w:t>Patient-centred transitions and the voluntary sector</w:t>
      </w:r>
    </w:p>
    <w:p w:rsidR="009A29B4" w:rsidRPr="0023073D" w:rsidP="009A29B4" w14:paraId="3E144E26"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While structural capacity is vital, the literature suggests that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human factor</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—patient empowerment and community-based social support</w:t>
      </w:r>
      <w:r>
        <w:rPr>
          <w:rFonts w:ascii="Arial" w:hAnsi="Arial" w:eastAsiaTheme="majorEastAsia" w:cs="Arial"/>
          <w:color w:val="000000" w:themeColor="text1"/>
          <w:lang w:val="en-GB"/>
        </w:rPr>
        <w:t xml:space="preserve"> – is a </w:t>
      </w:r>
      <w:r w:rsidRPr="0023073D">
        <w:rPr>
          <w:rFonts w:ascii="Arial" w:hAnsi="Arial" w:eastAsiaTheme="majorEastAsia" w:cs="Arial"/>
          <w:color w:val="000000" w:themeColor="text1"/>
          <w:lang w:val="en-GB"/>
        </w:rPr>
        <w:t xml:space="preserve">critical, yet often under-measured determinant of successful discharge. Evidence-based international models, such as the Transitional Care Model (TCM) and the Care Transitions Intervention (CTI), demonstrate that proactive transition management can significantly reduce the risk of patients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re-blocking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hospital beds through avoidable readmissions. Systematic reviews of these models indicate that structured follow-up and patient coaching can reduce readmission rates at three months by approximately eight percentage points, providing a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cushion</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for hospital capacity (Naylor et al., 2004; Le Berre et al., 2017). Research confirms that this efficacy is not limited to controlled trials (Coleman et al., 2006) but translates successfully to real-world open healthcare settings (Voss et al., 2011). However, as Naylor et al. (2018) later highlighted, the widespread success of the TCM relies on adapting its core components to specific local contexts, further justifying the need to account for ecosystem constraints in any discharge model.</w:t>
      </w:r>
    </w:p>
    <w:p w:rsidR="009A29B4" w:rsidRPr="0023073D" w:rsidP="009A29B4" w14:paraId="2C06E564"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In the UK, these findings are mirrored in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Your Care Needs You</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(YCNY) programme. A cluster randomised trial by Murray et al. (2025) found that involving older patients (aged 75+) more actively in their discharge planning led to a 13% reduction in cumulative readmissions within 90 days. Building on this</w:t>
      </w:r>
      <w:r>
        <w:rPr>
          <w:rFonts w:ascii="Arial" w:hAnsi="Arial" w:eastAsiaTheme="majorEastAsia" w:cs="Arial"/>
          <w:color w:val="000000" w:themeColor="text1"/>
          <w:lang w:val="en-GB"/>
        </w:rPr>
        <w:t xml:space="preserve"> trial</w:t>
      </w:r>
      <w:r w:rsidRPr="0023073D">
        <w:rPr>
          <w:rFonts w:ascii="Arial" w:hAnsi="Arial" w:eastAsiaTheme="majorEastAsia" w:cs="Arial"/>
          <w:color w:val="000000" w:themeColor="text1"/>
          <w:lang w:val="en-GB"/>
        </w:rPr>
        <w:t xml:space="preserve">, an economic evaluation by Palacios et al. (2024) demonstrated that the intervention proved highly efficient, reducing total post-discharge costs by approximately £269 per patient with a high probability (89%) of being cost-effective for the NHS. This </w:t>
      </w:r>
      <w:r>
        <w:rPr>
          <w:rFonts w:ascii="Arial" w:hAnsi="Arial" w:eastAsiaTheme="majorEastAsia" w:cs="Arial"/>
          <w:color w:val="000000" w:themeColor="text1"/>
          <w:lang w:val="en-GB"/>
        </w:rPr>
        <w:t xml:space="preserve">finding </w:t>
      </w:r>
      <w:r w:rsidRPr="0023073D">
        <w:rPr>
          <w:rFonts w:ascii="Arial" w:hAnsi="Arial" w:eastAsiaTheme="majorEastAsia" w:cs="Arial"/>
          <w:color w:val="000000" w:themeColor="text1"/>
          <w:lang w:val="en-GB"/>
        </w:rPr>
        <w:t xml:space="preserve">highlights that patient engagement is not merely a qualitative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extra</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but a quantifiable driver of system efficiency).</w:t>
      </w:r>
    </w:p>
    <w:p w:rsidR="009A29B4" w:rsidRPr="0023073D" w:rsidP="009A29B4" w14:paraId="1F9B0226"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Furthermore, the role of the voluntary and community sector has emerged as a low-cost, high-impact layer of the care ecosystem. The Sefton Hospital Discharge Service</w:t>
      </w:r>
      <w:r>
        <w:rPr>
          <w:rFonts w:ascii="Arial" w:hAnsi="Arial" w:eastAsiaTheme="majorEastAsia" w:cs="Arial"/>
          <w:color w:val="000000" w:themeColor="text1"/>
          <w:lang w:val="en-GB"/>
        </w:rPr>
        <w:t xml:space="preserve"> in England</w:t>
      </w:r>
      <w:r w:rsidRPr="0023073D">
        <w:rPr>
          <w:rFonts w:ascii="Arial" w:hAnsi="Arial" w:eastAsiaTheme="majorEastAsia" w:cs="Arial"/>
          <w:color w:val="000000" w:themeColor="text1"/>
          <w:lang w:val="en-GB"/>
        </w:rPr>
        <w:t xml:space="preserve">, managed by </w:t>
      </w:r>
      <w:r w:rsidRPr="001B087E">
        <w:rPr>
          <w:rFonts w:ascii="Arial" w:hAnsi="Arial" w:eastAsiaTheme="majorEastAsia" w:cs="Arial"/>
          <w:color w:val="000000" w:themeColor="text1"/>
          <w:lang w:val="en-GB"/>
        </w:rPr>
        <w:t>Sefton CVS, provides</w:t>
      </w:r>
      <w:r w:rsidRPr="0023073D">
        <w:rPr>
          <w:rFonts w:ascii="Arial" w:hAnsi="Arial" w:eastAsiaTheme="majorEastAsia" w:cs="Arial"/>
          <w:color w:val="000000" w:themeColor="text1"/>
          <w:lang w:val="en-GB"/>
        </w:rPr>
        <w:t xml:space="preserve"> a prime example of how non-clinical support</w:t>
      </w:r>
      <w:r>
        <w:rPr>
          <w:rFonts w:ascii="Arial" w:hAnsi="Arial" w:eastAsiaTheme="majorEastAsia" w:cs="Arial"/>
          <w:color w:val="000000" w:themeColor="text1"/>
          <w:lang w:val="en-GB"/>
        </w:rPr>
        <w:t xml:space="preserve"> – </w:t>
      </w:r>
      <w:r w:rsidRPr="0023073D">
        <w:rPr>
          <w:rFonts w:ascii="Arial" w:hAnsi="Arial" w:eastAsiaTheme="majorEastAsia" w:cs="Arial"/>
          <w:color w:val="000000" w:themeColor="text1"/>
          <w:lang w:val="en-GB"/>
        </w:rPr>
        <w:t>such as household tasks, wellbeing checks and help with social determinants of health</w:t>
      </w:r>
      <w:r>
        <w:rPr>
          <w:rFonts w:ascii="Arial" w:hAnsi="Arial" w:eastAsiaTheme="majorEastAsia" w:cs="Arial"/>
          <w:color w:val="000000" w:themeColor="text1"/>
          <w:lang w:val="en-GB"/>
        </w:rPr>
        <w:t xml:space="preserve"> – can </w:t>
      </w:r>
      <w:r w:rsidRPr="0023073D">
        <w:rPr>
          <w:rFonts w:ascii="Arial" w:hAnsi="Arial" w:eastAsiaTheme="majorEastAsia" w:cs="Arial"/>
          <w:color w:val="000000" w:themeColor="text1"/>
          <w:lang w:val="en-GB"/>
        </w:rPr>
        <w:t xml:space="preserve">facilitate safer transitions. Since 2022, the service has maintained a readmission rate of below 5% for its participants by responding to referrals on the same day (NHS England, 2023; Cheshire and Merseyside ICS, 2024). These results suggest that coordination with community organisations can address the psychosocial barriers that clinical teams often lack the resources to manage, thereby preventing the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revolving door</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effect that contributes to systemic bed blocking (Cheshire and Merseyside ICS, 2024).</w:t>
      </w:r>
    </w:p>
    <w:p w:rsidR="009A29B4" w:rsidRPr="0023073D" w:rsidP="009A29B4" w14:paraId="18AE36F6" w14:textId="77777777">
      <w:pPr>
        <w:spacing w:before="360" w:after="80"/>
        <w:jc w:val="both"/>
        <w:rPr>
          <w:rFonts w:ascii="Arial" w:hAnsi="Arial" w:eastAsiaTheme="majorEastAsia" w:cs="Arial"/>
          <w:b/>
          <w:bCs/>
          <w:color w:val="000000" w:themeColor="text1"/>
          <w:lang w:val="en-GB"/>
        </w:rPr>
      </w:pPr>
      <w:r w:rsidRPr="0023073D">
        <w:rPr>
          <w:rFonts w:ascii="Arial" w:hAnsi="Arial" w:eastAsiaTheme="majorEastAsia" w:cs="Arial"/>
          <w:b/>
          <w:bCs/>
          <w:color w:val="000000" w:themeColor="text1"/>
          <w:lang w:val="en-GB"/>
        </w:rPr>
        <w:t>Theoretical limits: the efficiency paradox</w:t>
      </w:r>
    </w:p>
    <w:p w:rsidR="009A29B4" w:rsidRPr="0023073D" w:rsidP="009A29B4" w14:paraId="6E7F35F5"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Finally, it is essential to recognise the theoretical and economic limits of interventions aimed at delayed discharge. While political discourse often calls for the total elimination of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bed blocking,</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evidence from operations management suggests that chasing a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zero-delay</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target may result in a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false economy.</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Wood et al. (2023) utilised queueing theory to demonstrate that ensuring no patient ever waits for a community placement would require significant over-sizing of </w:t>
      </w:r>
      <w:r>
        <w:rPr>
          <w:rFonts w:ascii="Arial" w:hAnsi="Arial" w:eastAsiaTheme="majorEastAsia" w:cs="Arial"/>
          <w:color w:val="000000" w:themeColor="text1"/>
          <w:lang w:val="en-GB"/>
        </w:rPr>
        <w:t>adult social care</w:t>
      </w:r>
      <w:r w:rsidRPr="0023073D">
        <w:rPr>
          <w:rFonts w:ascii="Arial" w:hAnsi="Arial" w:eastAsiaTheme="majorEastAsia" w:cs="Arial"/>
          <w:color w:val="000000" w:themeColor="text1"/>
          <w:lang w:val="en-GB"/>
        </w:rPr>
        <w:t xml:space="preserve"> capacity. This </w:t>
      </w:r>
      <w:r>
        <w:rPr>
          <w:rFonts w:ascii="Arial" w:hAnsi="Arial" w:eastAsiaTheme="majorEastAsia" w:cs="Arial"/>
          <w:color w:val="000000" w:themeColor="text1"/>
          <w:lang w:val="en-GB"/>
        </w:rPr>
        <w:t xml:space="preserve">over-sizing </w:t>
      </w:r>
      <w:r w:rsidRPr="0023073D">
        <w:rPr>
          <w:rFonts w:ascii="Arial" w:hAnsi="Arial" w:eastAsiaTheme="majorEastAsia" w:cs="Arial"/>
          <w:color w:val="000000" w:themeColor="text1"/>
          <w:lang w:val="en-GB"/>
        </w:rPr>
        <w:t xml:space="preserve">would lead to high levels of unused resources and prohibitive costs for the taxpayer. Their simulation estimates that approximately 12% of current delay levels are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inevitable</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for the system to remain economically efficient (Wood et al., 2023).</w:t>
      </w:r>
    </w:p>
    <w:p w:rsidR="009A29B4" w:rsidRPr="0023073D" w:rsidP="009A29B4" w14:paraId="2145F9DB" w14:textId="001C1DDF">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This perspective is reinforced by the fluid analytical modelling developed by </w:t>
      </w:r>
      <w:r w:rsidRPr="0023073D">
        <w:rPr>
          <w:rFonts w:ascii="Arial" w:hAnsi="Arial" w:eastAsiaTheme="majorEastAsia" w:cs="Arial"/>
          <w:color w:val="000000" w:themeColor="text1"/>
          <w:lang w:val="en-GB"/>
        </w:rPr>
        <w:t>Zychlinski</w:t>
      </w:r>
      <w:r w:rsidRPr="0023073D">
        <w:rPr>
          <w:rFonts w:ascii="Arial" w:hAnsi="Arial" w:eastAsiaTheme="majorEastAsia" w:cs="Arial"/>
          <w:color w:val="000000" w:themeColor="text1"/>
          <w:lang w:val="en-GB"/>
        </w:rPr>
        <w:t xml:space="preserve"> et al. (2020), which focuses on optimising the allocation of geriatric beds. Their research indicates that while targeted capacity increases</w:t>
      </w:r>
      <w:r>
        <w:rPr>
          <w:rFonts w:ascii="Arial" w:hAnsi="Arial" w:eastAsiaTheme="majorEastAsia" w:cs="Arial"/>
          <w:color w:val="000000" w:themeColor="text1"/>
          <w:lang w:val="en-GB"/>
        </w:rPr>
        <w:t xml:space="preserve"> – </w:t>
      </w:r>
      <w:r w:rsidRPr="0023073D">
        <w:rPr>
          <w:rFonts w:ascii="Arial" w:hAnsi="Arial" w:eastAsiaTheme="majorEastAsia" w:cs="Arial"/>
          <w:color w:val="000000" w:themeColor="text1"/>
          <w:lang w:val="en-GB"/>
        </w:rPr>
        <w:t>for example, a 25% increase in rehabilitation units</w:t>
      </w:r>
      <w:r>
        <w:rPr>
          <w:rFonts w:ascii="Arial" w:hAnsi="Arial" w:eastAsiaTheme="majorEastAsia" w:cs="Arial"/>
          <w:color w:val="000000" w:themeColor="text1"/>
          <w:lang w:val="en-GB"/>
        </w:rPr>
        <w:t xml:space="preserve"> – </w:t>
      </w:r>
      <w:r w:rsidRPr="0023073D">
        <w:rPr>
          <w:rFonts w:ascii="Arial" w:hAnsi="Arial" w:eastAsiaTheme="majorEastAsia" w:cs="Arial"/>
          <w:color w:val="000000" w:themeColor="text1"/>
          <w:lang w:val="en-GB"/>
        </w:rPr>
        <w:t xml:space="preserve">can reduce system costs by over 50% and waiting times by up to 88%, the key to efficiency lies in dynamic reallocation rather than static expansion. The model suggests that diverted pathways, such as moving even 10% of patients toward home-based care, are significantly more effective at reducing hospital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queues</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than simply building more inpatient beds.</w:t>
      </w:r>
    </w:p>
    <w:p w:rsidR="009A29B4" w:rsidRPr="0023073D" w:rsidP="009A29B4" w14:paraId="148F1829" w14:textId="77777777">
      <w:pPr>
        <w:spacing w:before="360" w:after="80"/>
        <w:jc w:val="both"/>
        <w:rPr>
          <w:rFonts w:ascii="Arial" w:hAnsi="Arial" w:eastAsiaTheme="majorEastAsia" w:cs="Arial"/>
          <w:color w:val="000000" w:themeColor="text1"/>
          <w:lang w:val="en-GB"/>
        </w:rPr>
      </w:pPr>
      <w:r w:rsidRPr="0023073D">
        <w:rPr>
          <w:rFonts w:ascii="Arial" w:hAnsi="Arial" w:eastAsiaTheme="majorEastAsia" w:cs="Arial"/>
          <w:color w:val="000000" w:themeColor="text1"/>
          <w:lang w:val="en-GB"/>
        </w:rPr>
        <w:t xml:space="preserve">Consequently, the econometric model proposed in this report does not aim to reach an arbitrary zero-delay target. Instead, it seeks to identify the optimal configuration of the care ecosystem. By quantifying the drivers of delays—including the specific contractual and financial constraints identified in stakeholder consultations—the model provides a framework to determine where investment will yield the greatest impact on patient flow, acknowledging that a degree of system </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slack</w:t>
      </w:r>
      <w:r>
        <w:rPr>
          <w:rFonts w:ascii="Arial" w:hAnsi="Arial" w:eastAsiaTheme="majorEastAsia" w:cs="Arial"/>
          <w:color w:val="000000" w:themeColor="text1"/>
          <w:lang w:val="en-GB"/>
        </w:rPr>
        <w:t>’</w:t>
      </w:r>
      <w:r w:rsidRPr="0023073D">
        <w:rPr>
          <w:rFonts w:ascii="Arial" w:hAnsi="Arial" w:eastAsiaTheme="majorEastAsia" w:cs="Arial"/>
          <w:color w:val="000000" w:themeColor="text1"/>
          <w:lang w:val="en-GB"/>
        </w:rPr>
        <w:t xml:space="preserve"> is necessary to maintain resilience in the face of fluctuating demand.</w:t>
      </w:r>
    </w:p>
    <w:p w:rsidR="009A29B4" w:rsidRPr="0023073D" w:rsidP="009A29B4" w14:paraId="509E88F4" w14:textId="77777777">
      <w:pPr>
        <w:pStyle w:val="Heading2"/>
        <w:jc w:val="both"/>
        <w:rPr>
          <w:rFonts w:ascii="Arial" w:hAnsi="Arial" w:cs="Arial"/>
          <w:lang w:val="en-GB"/>
        </w:rPr>
      </w:pPr>
      <w:r w:rsidRPr="0023073D">
        <w:rPr>
          <w:rFonts w:ascii="Arial" w:hAnsi="Arial" w:cs="Arial"/>
          <w:lang w:val="en-GB"/>
        </w:rPr>
        <w:t>4. Operationalising the drivers of delay: a multilevel framework</w:t>
      </w:r>
    </w:p>
    <w:p w:rsidR="009A29B4" w:rsidRPr="0023073D" w:rsidP="009A29B4" w14:paraId="6CF8CAFC" w14:textId="77777777">
      <w:pPr>
        <w:spacing w:before="360" w:after="80"/>
        <w:jc w:val="both"/>
        <w:rPr>
          <w:rFonts w:ascii="Arial" w:hAnsi="Arial" w:cs="Arial"/>
          <w:lang w:val="en-GB"/>
        </w:rPr>
      </w:pPr>
      <w:r w:rsidRPr="0023073D">
        <w:rPr>
          <w:rFonts w:ascii="Arial" w:hAnsi="Arial" w:cs="Arial"/>
          <w:lang w:val="en-GB"/>
        </w:rPr>
        <w:t>A range of variables and analytical approaches have been used in the literature to examine the drivers of delayed discharges. Summarising helps to clarify which factors are most relevant and how they can be incorporated into an econometric model.</w:t>
      </w:r>
    </w:p>
    <w:p w:rsidR="009A29B4" w:rsidRPr="0023073D" w:rsidP="009A29B4" w14:paraId="1F90174A" w14:textId="77777777">
      <w:pPr>
        <w:spacing w:before="360" w:after="80"/>
        <w:jc w:val="both"/>
        <w:rPr>
          <w:rFonts w:ascii="Arial" w:hAnsi="Arial" w:cs="Arial"/>
          <w:b/>
          <w:bCs/>
          <w:lang w:val="en-GB"/>
        </w:rPr>
      </w:pPr>
      <w:r w:rsidRPr="0023073D">
        <w:rPr>
          <w:rFonts w:ascii="Arial" w:hAnsi="Arial" w:cs="Arial"/>
          <w:b/>
          <w:bCs/>
          <w:lang w:val="en-GB"/>
        </w:rPr>
        <w:t>Dependent variables</w:t>
      </w:r>
    </w:p>
    <w:p w:rsidR="009A29B4" w:rsidRPr="0023073D" w:rsidP="009A29B4" w14:paraId="75DA4187" w14:textId="77777777">
      <w:pPr>
        <w:spacing w:before="360" w:after="80"/>
        <w:jc w:val="both"/>
        <w:rPr>
          <w:rFonts w:ascii="Arial" w:hAnsi="Arial" w:cs="Arial"/>
          <w:lang w:val="en-GB"/>
        </w:rPr>
      </w:pPr>
      <w:r w:rsidRPr="0023073D">
        <w:rPr>
          <w:rFonts w:ascii="Arial" w:hAnsi="Arial" w:cs="Arial"/>
          <w:lang w:val="en-GB"/>
        </w:rPr>
        <w:t>Authors have examined: the number of patients with delayed discharge or total bed days blocked aggregated by region or hospital (Allan et al., 2021; Gaughan et al., 2015); total length of stay or extended stay per patient (</w:t>
      </w:r>
      <w:r w:rsidRPr="0023073D">
        <w:rPr>
          <w:rFonts w:ascii="Arial" w:hAnsi="Arial" w:cs="Arial"/>
          <w:lang w:val="en-GB"/>
        </w:rPr>
        <w:t>Pellico</w:t>
      </w:r>
      <w:r w:rsidRPr="0023073D">
        <w:rPr>
          <w:rFonts w:ascii="Arial" w:hAnsi="Arial" w:cs="Arial"/>
          <w:lang w:val="en-GB"/>
        </w:rPr>
        <w:t>-López et al., 2022); and the probability of requiring transfer to post-acute care (Gaughan et al., 2017).</w:t>
      </w:r>
    </w:p>
    <w:p w:rsidR="009A29B4" w:rsidRPr="0023073D" w:rsidP="009A29B4" w14:paraId="5110DB77" w14:textId="77777777">
      <w:pPr>
        <w:spacing w:before="360" w:after="80"/>
        <w:jc w:val="both"/>
        <w:rPr>
          <w:rFonts w:ascii="Arial" w:hAnsi="Arial" w:cs="Arial"/>
          <w:b/>
          <w:bCs/>
          <w:lang w:val="en-GB"/>
        </w:rPr>
      </w:pPr>
      <w:r w:rsidRPr="0023073D">
        <w:rPr>
          <w:rFonts w:ascii="Arial" w:hAnsi="Arial" w:cs="Arial"/>
          <w:b/>
          <w:bCs/>
          <w:lang w:val="en-GB"/>
        </w:rPr>
        <w:t xml:space="preserve">Explanatory variables </w:t>
      </w:r>
    </w:p>
    <w:p w:rsidR="009A29B4" w:rsidRPr="0023073D" w:rsidP="009A29B4" w14:paraId="0EC05527" w14:textId="77777777">
      <w:pPr>
        <w:spacing w:before="360" w:after="80"/>
        <w:jc w:val="both"/>
        <w:rPr>
          <w:rFonts w:ascii="Arial" w:hAnsi="Arial" w:cs="Arial"/>
          <w:lang w:val="en-GB"/>
        </w:rPr>
      </w:pPr>
      <w:r w:rsidRPr="0023073D">
        <w:rPr>
          <w:rFonts w:ascii="Arial" w:hAnsi="Arial" w:cs="Arial"/>
          <w:lang w:val="en-GB"/>
        </w:rPr>
        <w:t xml:space="preserve">These </w:t>
      </w:r>
      <w:r>
        <w:rPr>
          <w:rFonts w:ascii="Arial" w:hAnsi="Arial" w:cs="Arial"/>
          <w:lang w:val="en-GB"/>
        </w:rPr>
        <w:t xml:space="preserve">variables </w:t>
      </w:r>
      <w:r w:rsidRPr="0023073D">
        <w:rPr>
          <w:rFonts w:ascii="Arial" w:hAnsi="Arial" w:cs="Arial"/>
          <w:lang w:val="en-GB"/>
        </w:rPr>
        <w:t>can be divided into two levels:</w:t>
      </w:r>
    </w:p>
    <w:p w:rsidR="009A29B4" w:rsidRPr="0023073D" w:rsidP="009A29B4" w14:paraId="038F6262" w14:textId="77777777">
      <w:pPr>
        <w:pStyle w:val="ListParagraph"/>
        <w:numPr>
          <w:ilvl w:val="0"/>
          <w:numId w:val="38"/>
        </w:numPr>
        <w:spacing w:before="360" w:after="80"/>
        <w:jc w:val="both"/>
        <w:rPr>
          <w:rFonts w:ascii="Arial" w:hAnsi="Arial" w:cs="Arial"/>
          <w:lang w:val="en-GB"/>
        </w:rPr>
      </w:pPr>
      <w:r w:rsidRPr="0023073D">
        <w:rPr>
          <w:rFonts w:ascii="Arial" w:hAnsi="Arial" w:cs="Arial"/>
          <w:b/>
          <w:bCs/>
          <w:lang w:val="en-GB"/>
        </w:rPr>
        <w:t>Patient-level:</w:t>
      </w:r>
      <w:r w:rsidRPr="0023073D">
        <w:rPr>
          <w:rFonts w:ascii="Arial" w:hAnsi="Arial" w:cs="Arial"/>
          <w:lang w:val="en-GB"/>
        </w:rPr>
        <w:t xml:space="preserve"> age, sex, diagnosis and co</w:t>
      </w:r>
      <w:r>
        <w:rPr>
          <w:rFonts w:ascii="Arial" w:hAnsi="Arial" w:cs="Arial"/>
          <w:lang w:val="en-GB"/>
        </w:rPr>
        <w:t>-</w:t>
      </w:r>
      <w:r w:rsidRPr="0023073D">
        <w:rPr>
          <w:rFonts w:ascii="Arial" w:hAnsi="Arial" w:cs="Arial"/>
          <w:lang w:val="en-GB"/>
        </w:rPr>
        <w:t>morbidities, clinical severity (DRG weight, type of stroke), level of functional or cognitive dependency, prior social situation (living alone, presence of a carer), admission via emergency or previous readmissions (Pellico-López et al., 2022; Gaughan et al., 2017).</w:t>
      </w:r>
    </w:p>
    <w:p w:rsidR="009A29B4" w:rsidRPr="0023073D" w:rsidP="009A29B4" w14:paraId="2EBDF955" w14:textId="77777777">
      <w:pPr>
        <w:pStyle w:val="ListParagraph"/>
        <w:numPr>
          <w:ilvl w:val="0"/>
          <w:numId w:val="38"/>
        </w:numPr>
        <w:spacing w:before="360" w:after="80"/>
        <w:jc w:val="both"/>
        <w:rPr>
          <w:rFonts w:ascii="Arial" w:hAnsi="Arial" w:cs="Arial"/>
          <w:lang w:val="en-GB"/>
        </w:rPr>
      </w:pPr>
      <w:r w:rsidRPr="0023073D">
        <w:rPr>
          <w:rFonts w:ascii="Arial" w:hAnsi="Arial" w:cs="Arial"/>
          <w:b/>
          <w:bCs/>
          <w:lang w:val="en-GB"/>
        </w:rPr>
        <w:t>Health and social care environment:</w:t>
      </w:r>
      <w:r w:rsidRPr="0023073D">
        <w:rPr>
          <w:rFonts w:ascii="Arial" w:hAnsi="Arial" w:cs="Arial"/>
          <w:lang w:val="en-GB"/>
        </w:rPr>
        <w:t xml:space="preserve"> availability of care home beds (density and price), supply of home care services and rehabilitation or convalescence places, indicators of social spending, integration between levels of care, and spatial effects (Allan et al., 2021; Gaughan et al., 2015; Moura, 2022).</w:t>
      </w:r>
    </w:p>
    <w:p w:rsidR="009A29B4" w:rsidP="009A29B4" w14:paraId="49130067" w14:textId="77777777">
      <w:pPr>
        <w:spacing w:before="360" w:after="80"/>
        <w:jc w:val="both"/>
        <w:rPr>
          <w:rFonts w:ascii="Arial" w:hAnsi="Arial" w:cs="Arial"/>
          <w:color w:val="000000" w:themeColor="text1"/>
          <w:lang w:val="en-GB"/>
        </w:rPr>
      </w:pPr>
      <w:r w:rsidRPr="0023073D">
        <w:rPr>
          <w:rFonts w:ascii="Arial" w:hAnsi="Arial" w:cs="Arial"/>
          <w:color w:val="000000" w:themeColor="text1"/>
          <w:lang w:val="en-GB"/>
        </w:rPr>
        <w:t xml:space="preserve">The evidence </w:t>
      </w:r>
      <w:r w:rsidRPr="0023073D">
        <w:rPr>
          <w:rFonts w:ascii="Arial" w:hAnsi="Arial" w:cs="Arial"/>
          <w:color w:val="000000" w:themeColor="text1"/>
          <w:lang w:val="en-GB"/>
        </w:rPr>
        <w:t>as a whole suggests</w:t>
      </w:r>
      <w:r w:rsidRPr="0023073D">
        <w:rPr>
          <w:rFonts w:ascii="Arial" w:hAnsi="Arial" w:cs="Arial"/>
          <w:color w:val="000000" w:themeColor="text1"/>
          <w:lang w:val="en-GB"/>
        </w:rPr>
        <w:t xml:space="preserve"> that increasing the capacity of long-term care and home care services reduces unnecessary hospital stays, though the effect is moderate and does not fully resolve the problem. Patient factors such as age, clinical severity, and lack of informal carers also play a role. For stroke cases, the absence of specific rehabilitation resources appears particularly important.</w:t>
      </w:r>
    </w:p>
    <w:p w:rsidR="006075FA" w:rsidP="006075FA" w14:paraId="0581408B" w14:textId="77777777">
      <w:pPr>
        <w:rPr>
          <w:rFonts w:ascii="Arial" w:hAnsi="Arial" w:cs="Arial"/>
          <w:b/>
          <w:bCs/>
          <w:color w:val="000000" w:themeColor="text1"/>
          <w:lang w:val="en-GB"/>
        </w:rPr>
      </w:pPr>
    </w:p>
    <w:p w:rsidR="006075FA" w14:paraId="6F9867F4" w14:textId="77777777">
      <w:pPr>
        <w:rPr>
          <w:rFonts w:ascii="Arial" w:hAnsi="Arial" w:cs="Arial"/>
          <w:b/>
          <w:bCs/>
          <w:color w:val="000000" w:themeColor="text1"/>
          <w:lang w:val="en-GB"/>
        </w:rPr>
      </w:pPr>
      <w:r>
        <w:rPr>
          <w:rFonts w:ascii="Arial" w:hAnsi="Arial" w:cs="Arial"/>
          <w:b/>
          <w:bCs/>
          <w:color w:val="000000" w:themeColor="text1"/>
          <w:lang w:val="en-GB"/>
        </w:rPr>
        <w:br w:type="page"/>
      </w:r>
    </w:p>
    <w:p w:rsidR="009A29B4" w:rsidRPr="0023073D" w:rsidP="006075FA" w14:paraId="7903570A" w14:textId="4A95CAF8">
      <w:pPr>
        <w:rPr>
          <w:rFonts w:ascii="Arial" w:hAnsi="Arial" w:cs="Arial"/>
          <w:b/>
          <w:bCs/>
          <w:color w:val="000000" w:themeColor="text1"/>
          <w:lang w:val="en-GB"/>
        </w:rPr>
      </w:pPr>
      <w:r w:rsidRPr="0023073D">
        <w:rPr>
          <w:rFonts w:ascii="Arial" w:hAnsi="Arial" w:cs="Arial"/>
          <w:b/>
          <w:bCs/>
          <w:color w:val="000000" w:themeColor="text1"/>
          <w:lang w:val="en-GB"/>
        </w:rPr>
        <w:t>Proposed Econometric Model</w:t>
      </w:r>
    </w:p>
    <w:p w:rsidR="009A29B4" w:rsidRPr="0023073D" w:rsidP="009A29B4" w14:paraId="102F22DB" w14:textId="77777777">
      <w:pPr>
        <w:spacing w:before="360" w:after="80"/>
        <w:jc w:val="both"/>
        <w:rPr>
          <w:rFonts w:ascii="Arial" w:hAnsi="Arial" w:cs="Arial"/>
          <w:color w:val="000000" w:themeColor="text1"/>
          <w:lang w:val="en-GB"/>
        </w:rPr>
      </w:pPr>
      <w:r w:rsidRPr="0023073D">
        <w:rPr>
          <w:rFonts w:ascii="Arial" w:hAnsi="Arial" w:cs="Arial"/>
          <w:color w:val="000000" w:themeColor="text1"/>
          <w:lang w:val="en-GB"/>
        </w:rPr>
        <w:t xml:space="preserve">Building on the findings above, an econometric model is proposed </w:t>
      </w:r>
      <w:r>
        <w:rPr>
          <w:rFonts w:ascii="Arial" w:hAnsi="Arial" w:cs="Arial"/>
          <w:color w:val="000000" w:themeColor="text1"/>
          <w:lang w:val="en-GB"/>
        </w:rPr>
        <w:t xml:space="preserve">that </w:t>
      </w:r>
      <w:r w:rsidRPr="0023073D">
        <w:rPr>
          <w:rFonts w:ascii="Arial" w:hAnsi="Arial" w:cs="Arial"/>
          <w:color w:val="000000" w:themeColor="text1"/>
          <w:lang w:val="en-GB"/>
        </w:rPr>
        <w:t>specifically analyse</w:t>
      </w:r>
      <w:r>
        <w:rPr>
          <w:rFonts w:ascii="Arial" w:hAnsi="Arial" w:cs="Arial"/>
          <w:color w:val="000000" w:themeColor="text1"/>
          <w:lang w:val="en-GB"/>
        </w:rPr>
        <w:t>s</w:t>
      </w:r>
      <w:r w:rsidRPr="0023073D">
        <w:rPr>
          <w:rFonts w:ascii="Arial" w:hAnsi="Arial" w:cs="Arial"/>
          <w:color w:val="000000" w:themeColor="text1"/>
          <w:lang w:val="en-GB"/>
        </w:rPr>
        <w:t xml:space="preserve"> delayed discharge among stroke patients. The aim is to quantify how different factors</w:t>
      </w:r>
      <w:r>
        <w:rPr>
          <w:rFonts w:ascii="Arial" w:hAnsi="Arial" w:cs="Arial"/>
          <w:color w:val="000000" w:themeColor="text1"/>
          <w:lang w:val="en-GB"/>
        </w:rPr>
        <w:t xml:space="preserve"> – both </w:t>
      </w:r>
      <w:r w:rsidRPr="0023073D">
        <w:rPr>
          <w:rFonts w:ascii="Arial" w:hAnsi="Arial" w:cs="Arial"/>
          <w:color w:val="000000" w:themeColor="text1"/>
          <w:lang w:val="en-GB"/>
        </w:rPr>
        <w:t>those common to other patients and those specific to stroke</w:t>
      </w:r>
      <w:r>
        <w:rPr>
          <w:rFonts w:ascii="Arial" w:hAnsi="Arial" w:cs="Arial"/>
          <w:color w:val="000000" w:themeColor="text1"/>
          <w:lang w:val="en-GB"/>
        </w:rPr>
        <w:t xml:space="preserve"> – affect </w:t>
      </w:r>
      <w:r w:rsidRPr="0023073D">
        <w:rPr>
          <w:rFonts w:ascii="Arial" w:hAnsi="Arial" w:cs="Arial"/>
          <w:color w:val="000000" w:themeColor="text1"/>
          <w:lang w:val="en-GB"/>
        </w:rPr>
        <w:t>the likelihood and duration of delays. Unlike previous studies, the model integrates both patient-level and contextual variables within a single multi-scale framework.</w:t>
      </w:r>
      <w:r>
        <w:rPr>
          <w:rFonts w:ascii="Arial" w:hAnsi="Arial" w:cs="Arial"/>
          <w:color w:val="000000" w:themeColor="text1"/>
          <w:lang w:val="en-GB"/>
        </w:rPr>
        <w:t xml:space="preserve"> The contextual level below refers to </w:t>
      </w:r>
      <w:r w:rsidRPr="00AF40B3">
        <w:rPr>
          <w:rFonts w:ascii="Arial" w:hAnsi="Arial" w:cs="Arial"/>
          <w:color w:val="000000" w:themeColor="text1"/>
          <w:lang w:val="en-GB"/>
        </w:rPr>
        <w:t>the health and social care environment</w:t>
      </w:r>
      <w:r>
        <w:rPr>
          <w:rFonts w:ascii="Arial" w:hAnsi="Arial" w:cs="Arial"/>
          <w:color w:val="000000" w:themeColor="text1"/>
          <w:lang w:val="en-GB"/>
        </w:rPr>
        <w:t>.</w:t>
      </w:r>
    </w:p>
    <w:p w:rsidR="009A29B4" w:rsidP="009A29B4" w14:paraId="7B58E7B9" w14:textId="77777777">
      <w:pPr>
        <w:spacing w:before="360" w:after="80"/>
        <w:jc w:val="both"/>
        <w:rPr>
          <w:rFonts w:ascii="Arial" w:hAnsi="Arial" w:cs="Arial"/>
          <w:color w:val="000000" w:themeColor="text1"/>
          <w:lang w:val="en-GB"/>
        </w:rPr>
      </w:pPr>
      <w:r w:rsidRPr="00A3146B">
        <w:rPr>
          <w:rFonts w:ascii="Arial" w:hAnsi="Arial" w:cs="Arial"/>
          <w:b/>
          <w:bCs/>
          <w:color w:val="000000" w:themeColor="text1"/>
          <w:lang w:val="en-GB"/>
        </w:rPr>
        <w:t>Unit of Analysis and Dependent Variables</w:t>
      </w:r>
      <w:r w:rsidRPr="0023073D">
        <w:rPr>
          <w:rFonts w:ascii="Arial" w:hAnsi="Arial" w:cs="Arial"/>
          <w:color w:val="000000" w:themeColor="text1"/>
          <w:lang w:val="en-GB"/>
        </w:rPr>
        <w:t xml:space="preserve"> </w:t>
      </w:r>
    </w:p>
    <w:p w:rsidR="009A29B4" w:rsidRPr="008709C4" w:rsidP="009A29B4" w14:paraId="1CBE9EF1" w14:textId="77777777">
      <w:pPr>
        <w:spacing w:before="360" w:after="80"/>
        <w:jc w:val="both"/>
        <w:rPr>
          <w:rFonts w:ascii="Arial" w:hAnsi="Arial" w:cs="Arial"/>
          <w:color w:val="000000" w:themeColor="text1"/>
          <w:lang w:val="en-GB"/>
        </w:rPr>
      </w:pPr>
      <w:r w:rsidRPr="0023073D">
        <w:rPr>
          <w:rFonts w:ascii="Arial" w:hAnsi="Arial" w:cs="Arial"/>
          <w:color w:val="000000" w:themeColor="text1"/>
          <w:lang w:val="en-GB"/>
        </w:rPr>
        <w:t xml:space="preserve">The unit of analysis </w:t>
      </w:r>
      <w:r>
        <w:rPr>
          <w:rFonts w:ascii="Arial" w:hAnsi="Arial" w:cs="Arial"/>
          <w:color w:val="000000" w:themeColor="text1"/>
          <w:lang w:val="en-GB"/>
        </w:rPr>
        <w:t>is</w:t>
      </w:r>
      <w:r w:rsidRPr="0023073D">
        <w:rPr>
          <w:rFonts w:ascii="Arial" w:hAnsi="Arial" w:cs="Arial"/>
          <w:color w:val="000000" w:themeColor="text1"/>
          <w:lang w:val="en-GB"/>
        </w:rPr>
        <w:t xml:space="preserve"> individual hospital episodes for stroke. </w:t>
      </w:r>
      <w:r w:rsidRPr="008709C4">
        <w:rPr>
          <w:rFonts w:ascii="Arial" w:hAnsi="Arial" w:cs="Arial"/>
          <w:color w:val="000000" w:themeColor="text1"/>
          <w:lang w:val="en-GB"/>
        </w:rPr>
        <w:t>Two dependent variables are proposed:</w:t>
      </w:r>
    </w:p>
    <w:p w:rsidR="009A29B4" w:rsidRPr="0023073D" w:rsidP="009A29B4" w14:paraId="57E44B68" w14:textId="77777777">
      <w:pPr>
        <w:numPr>
          <w:ilvl w:val="0"/>
          <w:numId w:val="42"/>
        </w:numPr>
        <w:spacing w:before="360" w:after="80"/>
        <w:jc w:val="both"/>
        <w:rPr>
          <w:rFonts w:ascii="Arial" w:hAnsi="Arial" w:cs="Arial"/>
          <w:color w:val="000000" w:themeColor="text1"/>
          <w:lang w:val="en-GB"/>
        </w:rPr>
      </w:pPr>
      <w:r w:rsidRPr="0023073D">
        <w:rPr>
          <w:rFonts w:ascii="Arial" w:hAnsi="Arial" w:cs="Arial"/>
          <w:b/>
          <w:bCs/>
          <w:color w:val="000000" w:themeColor="text1"/>
          <w:lang w:val="en-GB"/>
        </w:rPr>
        <w:t>Duration of prolonged stay (days):</w:t>
      </w:r>
      <w:r w:rsidRPr="0023073D">
        <w:rPr>
          <w:rFonts w:ascii="Arial" w:hAnsi="Arial" w:cs="Arial"/>
          <w:color w:val="000000" w:themeColor="text1"/>
          <w:lang w:val="en-GB"/>
        </w:rPr>
        <w:t xml:space="preserve"> The number of non-medical delay days. Where data allow, this </w:t>
      </w:r>
      <w:r>
        <w:rPr>
          <w:rFonts w:ascii="Arial" w:hAnsi="Arial" w:cs="Arial"/>
          <w:color w:val="000000" w:themeColor="text1"/>
          <w:lang w:val="en-GB"/>
        </w:rPr>
        <w:t>number is</w:t>
      </w:r>
      <w:r w:rsidRPr="0023073D">
        <w:rPr>
          <w:rFonts w:ascii="Arial" w:hAnsi="Arial" w:cs="Arial"/>
          <w:color w:val="000000" w:themeColor="text1"/>
          <w:lang w:val="en-GB"/>
        </w:rPr>
        <w:t xml:space="preserve"> calculated as total stay minus the estimated </w:t>
      </w:r>
      <w:r>
        <w:rPr>
          <w:rFonts w:ascii="Arial" w:hAnsi="Arial" w:cs="Arial"/>
          <w:color w:val="000000" w:themeColor="text1"/>
          <w:lang w:val="en-GB"/>
        </w:rPr>
        <w:t>‘</w:t>
      </w:r>
      <w:r w:rsidRPr="0023073D">
        <w:rPr>
          <w:rFonts w:ascii="Arial" w:hAnsi="Arial" w:cs="Arial"/>
          <w:color w:val="000000" w:themeColor="text1"/>
          <w:lang w:val="en-GB"/>
        </w:rPr>
        <w:t>appropriate</w:t>
      </w:r>
      <w:r>
        <w:rPr>
          <w:rFonts w:ascii="Arial" w:hAnsi="Arial" w:cs="Arial"/>
          <w:color w:val="000000" w:themeColor="text1"/>
          <w:lang w:val="en-GB"/>
        </w:rPr>
        <w:t>’</w:t>
      </w:r>
      <w:r w:rsidRPr="0023073D">
        <w:rPr>
          <w:rFonts w:ascii="Arial" w:hAnsi="Arial" w:cs="Arial"/>
          <w:color w:val="000000" w:themeColor="text1"/>
          <w:lang w:val="en-GB"/>
        </w:rPr>
        <w:t xml:space="preserve"> clinical stay; otherwise, total length of stay (log-transformed) will be used, assuming that, after controlling for clinical severity, the excess reflects system blocking.</w:t>
      </w:r>
    </w:p>
    <w:p w:rsidR="009A29B4" w:rsidRPr="0023073D" w:rsidP="009A29B4" w14:paraId="6C2DB609" w14:textId="77777777">
      <w:pPr>
        <w:numPr>
          <w:ilvl w:val="0"/>
          <w:numId w:val="42"/>
        </w:numPr>
        <w:spacing w:before="360" w:after="80"/>
        <w:jc w:val="both"/>
        <w:rPr>
          <w:rFonts w:ascii="Arial" w:hAnsi="Arial" w:cs="Arial"/>
          <w:color w:val="000000" w:themeColor="text1"/>
          <w:lang w:val="en-GB"/>
        </w:rPr>
      </w:pPr>
      <w:r w:rsidRPr="0023073D">
        <w:rPr>
          <w:rFonts w:ascii="Arial" w:hAnsi="Arial" w:cs="Arial"/>
          <w:b/>
          <w:bCs/>
          <w:color w:val="000000" w:themeColor="text1"/>
          <w:lang w:val="en-GB"/>
        </w:rPr>
        <w:t>Binary indicator of delayed discharge:</w:t>
      </w:r>
      <w:r w:rsidRPr="0023073D">
        <w:rPr>
          <w:rFonts w:ascii="Arial" w:hAnsi="Arial" w:cs="Arial"/>
          <w:color w:val="000000" w:themeColor="text1"/>
          <w:lang w:val="en-GB"/>
        </w:rPr>
        <w:t xml:space="preserve"> Defined as whether the patient experienced a non-clinical delay (e.g., length of stay exceeds a set percentile after being clinically ready for discharge). A logistic (or probit) model estimate</w:t>
      </w:r>
      <w:r>
        <w:rPr>
          <w:rFonts w:ascii="Arial" w:hAnsi="Arial" w:cs="Arial"/>
          <w:color w:val="000000" w:themeColor="text1"/>
          <w:lang w:val="en-GB"/>
        </w:rPr>
        <w:t>s</w:t>
      </w:r>
      <w:r w:rsidRPr="0023073D">
        <w:rPr>
          <w:rFonts w:ascii="Arial" w:hAnsi="Arial" w:cs="Arial"/>
          <w:color w:val="000000" w:themeColor="text1"/>
          <w:lang w:val="en-GB"/>
        </w:rPr>
        <w:t xml:space="preserve"> the probability of a delayed discharge.</w:t>
      </w:r>
    </w:p>
    <w:p w:rsidR="009A29B4" w:rsidRPr="0023073D" w:rsidP="009A29B4" w14:paraId="30AD6EA2" w14:textId="77777777">
      <w:pPr>
        <w:spacing w:before="360" w:after="80"/>
        <w:jc w:val="both"/>
        <w:rPr>
          <w:rFonts w:ascii="Arial" w:hAnsi="Arial" w:cs="Arial"/>
          <w:b/>
          <w:bCs/>
          <w:lang w:val="en-GB"/>
        </w:rPr>
      </w:pPr>
      <w:r w:rsidRPr="0023073D">
        <w:rPr>
          <w:rFonts w:ascii="Arial" w:hAnsi="Arial" w:cs="Arial"/>
          <w:b/>
          <w:bCs/>
          <w:lang w:val="en-GB"/>
        </w:rPr>
        <w:t>Common explanatory variables</w:t>
      </w:r>
    </w:p>
    <w:p w:rsidR="009A29B4" w:rsidRPr="0023073D" w:rsidP="009A29B4" w14:paraId="0879FDF8" w14:textId="77777777">
      <w:pPr>
        <w:spacing w:before="360" w:after="80"/>
        <w:jc w:val="both"/>
        <w:rPr>
          <w:rFonts w:ascii="Arial" w:hAnsi="Arial" w:cs="Arial"/>
          <w:i/>
          <w:iCs/>
          <w:lang w:val="en-GB"/>
        </w:rPr>
      </w:pPr>
      <w:r w:rsidRPr="0023073D">
        <w:rPr>
          <w:rFonts w:ascii="Arial" w:hAnsi="Arial" w:cs="Arial"/>
          <w:i/>
          <w:iCs/>
          <w:lang w:val="en-GB"/>
        </w:rPr>
        <w:t xml:space="preserve">Patient level – Level 1( </w:t>
      </w:r>
      <m:oMath>
        <m:sSub>
          <m:sSubPr>
            <m:ctrlPr>
              <w:rPr>
                <w:rFonts w:ascii="Cambria Math" w:hAnsi="Cambria Math" w:cs="Arial"/>
              </w:rPr>
            </m:ctrlPr>
          </m:sSubPr>
          <m:e>
            <m:r>
              <m:rPr>
                <m:sty m:val="p"/>
              </m:rPr>
              <w:rPr>
                <w:rFonts w:ascii="Cambria Math" w:hAnsi="Cambria Math" w:cs="Arial"/>
                <w:lang w:val="en-GB"/>
              </w:rPr>
              <m:t>X</m:t>
            </m:r>
          </m:e>
          <m:sub>
            <m:r>
              <m:rPr>
                <m:sty m:val="p"/>
              </m:rPr>
              <w:rPr>
                <w:rFonts w:ascii="Cambria Math" w:hAnsi="Cambria Math" w:cs="Arial"/>
                <w:lang w:val="en-GB"/>
              </w:rPr>
              <m:t>ij</m:t>
            </m:r>
          </m:sub>
        </m:sSub>
      </m:oMath>
      <w:r w:rsidRPr="0023073D">
        <w:rPr>
          <w:rFonts w:ascii="Arial" w:hAnsi="Arial" w:cs="Arial"/>
          <w:lang w:val="en-GB"/>
        </w:rPr>
        <w:t>)</w:t>
      </w:r>
    </w:p>
    <w:p w:rsidR="009A29B4" w:rsidRPr="0023073D" w:rsidP="009A29B4" w14:paraId="4B10C0A6" w14:textId="77777777">
      <w:pPr>
        <w:pStyle w:val="ListParagraph"/>
        <w:numPr>
          <w:ilvl w:val="0"/>
          <w:numId w:val="39"/>
        </w:numPr>
        <w:spacing w:before="360" w:after="80"/>
        <w:jc w:val="both"/>
        <w:rPr>
          <w:rFonts w:ascii="Arial" w:hAnsi="Arial" w:cs="Arial"/>
          <w:lang w:val="en-GB"/>
        </w:rPr>
      </w:pPr>
      <w:r w:rsidRPr="0023073D">
        <w:rPr>
          <w:rFonts w:ascii="Arial" w:hAnsi="Arial" w:cs="Arial"/>
          <w:b/>
          <w:bCs/>
          <w:lang w:val="en-GB"/>
        </w:rPr>
        <w:t xml:space="preserve">Age: </w:t>
      </w:r>
      <w:r w:rsidRPr="0023073D">
        <w:rPr>
          <w:rFonts w:ascii="Arial" w:hAnsi="Arial" w:cs="Arial"/>
          <w:lang w:val="en-GB"/>
        </w:rPr>
        <w:t>Patients aged 75+ are more likely to need post-acute care and thus face delays; the relationship may be non-linear.</w:t>
      </w:r>
    </w:p>
    <w:p w:rsidR="009A29B4" w:rsidRPr="0023073D" w:rsidP="009A29B4" w14:paraId="5CBB8AED" w14:textId="77777777">
      <w:pPr>
        <w:pStyle w:val="ListParagraph"/>
        <w:numPr>
          <w:ilvl w:val="0"/>
          <w:numId w:val="39"/>
        </w:numPr>
        <w:spacing w:before="360" w:after="80"/>
        <w:jc w:val="both"/>
        <w:rPr>
          <w:rFonts w:ascii="Arial" w:hAnsi="Arial" w:cs="Arial"/>
          <w:lang w:val="en-GB"/>
        </w:rPr>
      </w:pPr>
      <w:r w:rsidRPr="0023073D">
        <w:rPr>
          <w:rFonts w:ascii="Arial" w:hAnsi="Arial" w:cs="Arial"/>
          <w:b/>
          <w:bCs/>
          <w:lang w:val="en-GB"/>
        </w:rPr>
        <w:t xml:space="preserve">Sex: </w:t>
      </w:r>
      <w:r w:rsidRPr="0023073D">
        <w:rPr>
          <w:rFonts w:ascii="Arial" w:hAnsi="Arial" w:cs="Arial"/>
          <w:lang w:val="en-GB"/>
        </w:rPr>
        <w:t xml:space="preserve"> Some studies note social profile differences (women with stroke are often older and live alone).</w:t>
      </w:r>
    </w:p>
    <w:p w:rsidR="009A29B4" w:rsidRPr="0023073D" w:rsidP="009A29B4" w14:paraId="21CD9225" w14:textId="77777777">
      <w:pPr>
        <w:pStyle w:val="ListParagraph"/>
        <w:numPr>
          <w:ilvl w:val="0"/>
          <w:numId w:val="39"/>
        </w:numPr>
        <w:spacing w:before="360" w:after="80"/>
        <w:jc w:val="both"/>
        <w:rPr>
          <w:rFonts w:ascii="Arial" w:hAnsi="Arial" w:cs="Arial"/>
          <w:lang w:val="en-GB"/>
        </w:rPr>
      </w:pPr>
      <w:r w:rsidRPr="0023073D">
        <w:rPr>
          <w:rFonts w:ascii="Arial" w:hAnsi="Arial" w:cs="Arial"/>
          <w:b/>
          <w:bCs/>
          <w:lang w:val="en-GB"/>
        </w:rPr>
        <w:t>Stroke severity:</w:t>
      </w:r>
      <w:r w:rsidRPr="0023073D">
        <w:rPr>
          <w:rFonts w:ascii="Arial" w:hAnsi="Arial" w:cs="Arial"/>
          <w:lang w:val="en-GB"/>
        </w:rPr>
        <w:t xml:space="preserve"> Proxies such as DRG weight, ICU use or recorded deficits (e.g., hemiplegia; NIHSS if available). Haemorrhagic stroke usually causes greater disability and longer stays.</w:t>
      </w:r>
    </w:p>
    <w:p w:rsidR="009A29B4" w:rsidRPr="0023073D" w:rsidP="009A29B4" w14:paraId="666C6C6E" w14:textId="77777777">
      <w:pPr>
        <w:pStyle w:val="ListParagraph"/>
        <w:numPr>
          <w:ilvl w:val="0"/>
          <w:numId w:val="39"/>
        </w:numPr>
        <w:spacing w:before="360" w:after="80"/>
        <w:jc w:val="both"/>
        <w:rPr>
          <w:rFonts w:ascii="Arial" w:hAnsi="Arial" w:cs="Arial"/>
          <w:lang w:val="en-GB"/>
        </w:rPr>
      </w:pPr>
      <w:r w:rsidRPr="0023073D">
        <w:rPr>
          <w:rFonts w:ascii="Arial" w:hAnsi="Arial" w:cs="Arial"/>
          <w:b/>
          <w:bCs/>
          <w:lang w:val="en-GB"/>
        </w:rPr>
        <w:t>Pre-existing disability or cognition:</w:t>
      </w:r>
      <w:r w:rsidRPr="0023073D">
        <w:rPr>
          <w:rFonts w:ascii="Arial" w:hAnsi="Arial" w:cs="Arial"/>
          <w:lang w:val="en-GB"/>
        </w:rPr>
        <w:t xml:space="preserve"> Dementia, high comorbidity index or residence in a care home before admission.</w:t>
      </w:r>
    </w:p>
    <w:p w:rsidR="009A29B4" w:rsidRPr="0023073D" w:rsidP="009A29B4" w14:paraId="6888B3BE" w14:textId="77777777">
      <w:pPr>
        <w:pStyle w:val="ListParagraph"/>
        <w:numPr>
          <w:ilvl w:val="0"/>
          <w:numId w:val="39"/>
        </w:numPr>
        <w:spacing w:before="360" w:after="80"/>
        <w:jc w:val="both"/>
        <w:rPr>
          <w:rFonts w:ascii="Arial" w:hAnsi="Arial" w:cs="Arial"/>
          <w:lang w:val="en-GB"/>
        </w:rPr>
      </w:pPr>
      <w:r w:rsidRPr="0023073D">
        <w:rPr>
          <w:rFonts w:ascii="Arial" w:hAnsi="Arial" w:cs="Arial"/>
          <w:b/>
          <w:bCs/>
          <w:lang w:val="en-GB"/>
        </w:rPr>
        <w:t>Family or informal support:</w:t>
      </w:r>
      <w:r w:rsidRPr="0023073D">
        <w:rPr>
          <w:rFonts w:ascii="Arial" w:hAnsi="Arial" w:cs="Arial"/>
          <w:lang w:val="en-GB"/>
        </w:rPr>
        <w:t xml:space="preserve"> Living alone, marital status or presence of a recorded carer.</w:t>
      </w:r>
    </w:p>
    <w:p w:rsidR="009A29B4" w:rsidRPr="0023073D" w:rsidP="009A29B4" w14:paraId="5F645C8F" w14:textId="77777777">
      <w:pPr>
        <w:pStyle w:val="ListParagraph"/>
        <w:numPr>
          <w:ilvl w:val="0"/>
          <w:numId w:val="39"/>
        </w:numPr>
        <w:spacing w:before="360" w:after="80"/>
        <w:jc w:val="both"/>
        <w:rPr>
          <w:rFonts w:ascii="Arial" w:hAnsi="Arial" w:cs="Arial"/>
          <w:lang w:val="en-GB"/>
        </w:rPr>
      </w:pPr>
      <w:r w:rsidRPr="0023073D">
        <w:rPr>
          <w:rFonts w:ascii="Arial" w:hAnsi="Arial" w:cs="Arial"/>
          <w:b/>
          <w:bCs/>
          <w:lang w:val="en-GB"/>
        </w:rPr>
        <w:t>Previous readmissions:</w:t>
      </w:r>
      <w:r w:rsidRPr="0023073D">
        <w:rPr>
          <w:rFonts w:ascii="Arial" w:hAnsi="Arial" w:cs="Arial"/>
          <w:lang w:val="en-GB"/>
        </w:rPr>
        <w:t xml:space="preserve"> and arrival by ambulance, as proxies for vulnerability.</w:t>
      </w:r>
    </w:p>
    <w:p w:rsidR="009A29B4" w:rsidRPr="0023073D" w:rsidP="009A29B4" w14:paraId="283FC04E" w14:textId="77777777">
      <w:pPr>
        <w:pStyle w:val="ListParagraph"/>
        <w:numPr>
          <w:ilvl w:val="0"/>
          <w:numId w:val="39"/>
        </w:numPr>
        <w:spacing w:before="360" w:after="80"/>
        <w:jc w:val="both"/>
        <w:rPr>
          <w:rFonts w:ascii="Arial" w:hAnsi="Arial" w:cs="Arial"/>
          <w:lang w:val="en-GB"/>
        </w:rPr>
      </w:pPr>
      <w:r w:rsidRPr="0023073D">
        <w:rPr>
          <w:rFonts w:ascii="Arial" w:hAnsi="Arial" w:cs="Arial"/>
          <w:b/>
          <w:bCs/>
          <w:lang w:val="en-GB"/>
        </w:rPr>
        <w:t xml:space="preserve">Hospital fixed effects: </w:t>
      </w:r>
      <w:r w:rsidRPr="0023073D">
        <w:rPr>
          <w:rFonts w:ascii="Arial" w:hAnsi="Arial" w:cs="Arial"/>
          <w:lang w:val="en-GB"/>
        </w:rPr>
        <w:t>to capture unobserved differences in management and resources.</w:t>
      </w:r>
    </w:p>
    <w:p w:rsidR="009A29B4" w:rsidRPr="0023073D" w:rsidP="009A29B4" w14:paraId="30C12875" w14:textId="77777777">
      <w:pPr>
        <w:spacing w:before="360" w:after="80"/>
        <w:jc w:val="both"/>
        <w:rPr>
          <w:rFonts w:ascii="Arial" w:hAnsi="Arial" w:cs="Arial"/>
          <w:lang w:val="en-GB"/>
        </w:rPr>
      </w:pPr>
      <w:r w:rsidRPr="0023073D">
        <w:rPr>
          <w:rFonts w:ascii="Arial" w:hAnsi="Arial" w:cs="Arial"/>
          <w:i/>
          <w:iCs/>
          <w:lang w:val="en-GB"/>
        </w:rPr>
        <w:t xml:space="preserve">Context level – Level 2 </w:t>
      </w:r>
      <m:oMath>
        <m:sSub>
          <m:sSubPr>
            <m:ctrlPr>
              <w:rPr>
                <w:rFonts w:ascii="Cambria Math" w:hAnsi="Cambria Math" w:cs="Arial"/>
              </w:rPr>
            </m:ctrlPr>
          </m:sSubPr>
          <m:e>
            <m:r>
              <m:rPr>
                <m:sty m:val="p"/>
              </m:rPr>
              <w:rPr>
                <w:rFonts w:ascii="Cambria Math" w:hAnsi="Cambria Math" w:cs="Arial"/>
                <w:lang w:val="en-GB"/>
              </w:rPr>
              <m:t>(C</m:t>
            </m:r>
          </m:e>
          <m:sub>
            <m:r>
              <m:rPr>
                <m:sty m:val="p"/>
              </m:rPr>
              <w:rPr>
                <w:rFonts w:ascii="Cambria Math" w:hAnsi="Cambria Math" w:cs="Arial"/>
                <w:lang w:val="en-GB"/>
              </w:rPr>
              <m:t>j</m:t>
            </m:r>
          </m:sub>
        </m:sSub>
        <m:sSub>
          <m:sSubPr>
            <m:ctrlPr>
              <w:rPr>
                <w:rFonts w:ascii="Cambria Math" w:hAnsi="Cambria Math" w:cs="Arial"/>
              </w:rPr>
            </m:ctrlPr>
          </m:sSubPr>
          <m:e>
            <m:r>
              <m:rPr>
                <m:sty m:val="p"/>
              </m:rPr>
              <w:rPr>
                <w:rFonts w:ascii="Cambria Math" w:hAnsi="Cambria Math" w:cs="Arial"/>
                <w:lang w:val="en-GB"/>
              </w:rPr>
              <m:t>Z</m:t>
            </m:r>
          </m:e>
          <m:sub>
            <m:r>
              <m:rPr>
                <m:sty m:val="p"/>
              </m:rPr>
              <w:rPr>
                <w:rFonts w:ascii="Cambria Math" w:hAnsi="Cambria Math" w:cs="Arial"/>
                <w:lang w:val="en-GB"/>
              </w:rPr>
              <m:t>j</m:t>
            </m:r>
          </m:sub>
        </m:sSub>
      </m:oMath>
      <w:r w:rsidRPr="0023073D">
        <w:rPr>
          <w:rFonts w:ascii="Arial" w:hAnsi="Arial" w:cs="Arial"/>
          <w:i/>
          <w:lang w:val="en-GB"/>
        </w:rPr>
        <w:t>)</w:t>
      </w:r>
    </w:p>
    <w:p w:rsidR="009A29B4" w:rsidRPr="0023073D" w:rsidP="009A29B4" w14:paraId="7D39EC36" w14:textId="77777777">
      <w:pPr>
        <w:pStyle w:val="ListParagraph"/>
        <w:numPr>
          <w:ilvl w:val="0"/>
          <w:numId w:val="40"/>
        </w:numPr>
        <w:spacing w:before="360" w:after="80"/>
        <w:jc w:val="both"/>
        <w:rPr>
          <w:rFonts w:ascii="Arial" w:hAnsi="Arial" w:cs="Arial"/>
          <w:lang w:val="en-GB"/>
        </w:rPr>
      </w:pPr>
      <w:r w:rsidRPr="0023073D">
        <w:rPr>
          <w:rFonts w:ascii="Arial" w:hAnsi="Arial" w:cs="Arial"/>
          <w:b/>
          <w:bCs/>
          <w:lang w:val="en-GB"/>
        </w:rPr>
        <w:t>Care home capacity:</w:t>
      </w:r>
      <w:r w:rsidRPr="0023073D">
        <w:rPr>
          <w:rFonts w:ascii="Arial" w:hAnsi="Arial" w:cs="Arial"/>
          <w:lang w:val="en-GB"/>
        </w:rPr>
        <w:t xml:space="preserve"> Care home places per 100 residents aged 65+ in the patient’s area.</w:t>
      </w:r>
    </w:p>
    <w:p w:rsidR="009A29B4" w:rsidRPr="0023073D" w:rsidP="009A29B4" w14:paraId="3227E069" w14:textId="77777777">
      <w:pPr>
        <w:pStyle w:val="ListParagraph"/>
        <w:numPr>
          <w:ilvl w:val="0"/>
          <w:numId w:val="40"/>
        </w:numPr>
        <w:spacing w:before="360" w:after="80"/>
        <w:jc w:val="both"/>
        <w:rPr>
          <w:rFonts w:ascii="Arial" w:hAnsi="Arial" w:cs="Arial"/>
          <w:lang w:val="en-GB"/>
        </w:rPr>
      </w:pPr>
      <w:r w:rsidRPr="0023073D">
        <w:rPr>
          <w:rFonts w:ascii="Arial" w:hAnsi="Arial" w:cs="Arial"/>
          <w:b/>
          <w:bCs/>
          <w:lang w:val="en-GB"/>
        </w:rPr>
        <w:t>Home care market:</w:t>
      </w:r>
      <w:r w:rsidRPr="0023073D">
        <w:rPr>
          <w:rFonts w:ascii="Arial" w:hAnsi="Arial" w:cs="Arial"/>
          <w:lang w:val="en-GB"/>
        </w:rPr>
        <w:t xml:space="preserve"> Number of home care providers per area, adjusted by population or land area.</w:t>
      </w:r>
    </w:p>
    <w:p w:rsidR="009A29B4" w:rsidRPr="0023073D" w:rsidP="009A29B4" w14:paraId="3ED8DB4F" w14:textId="77777777">
      <w:pPr>
        <w:pStyle w:val="ListParagraph"/>
        <w:numPr>
          <w:ilvl w:val="0"/>
          <w:numId w:val="40"/>
        </w:numPr>
        <w:spacing w:before="360" w:after="80"/>
        <w:jc w:val="both"/>
        <w:rPr>
          <w:rFonts w:ascii="Arial" w:hAnsi="Arial" w:cs="Arial"/>
          <w:lang w:val="en-GB"/>
        </w:rPr>
      </w:pPr>
      <w:r w:rsidRPr="0023073D">
        <w:rPr>
          <w:rFonts w:ascii="Arial" w:hAnsi="Arial" w:cs="Arial"/>
          <w:b/>
          <w:bCs/>
          <w:lang w:val="en-GB"/>
        </w:rPr>
        <w:t xml:space="preserve">Stroke Early Supported Discharge (ESD): </w:t>
      </w:r>
      <w:r w:rsidRPr="0023073D">
        <w:rPr>
          <w:rFonts w:ascii="Arial" w:hAnsi="Arial" w:cs="Arial"/>
          <w:lang w:val="en-GB"/>
        </w:rPr>
        <w:t>Binary indicator for availability of an ESD programme providing home-based rehabilitation; expected to reduce delays.</w:t>
      </w:r>
    </w:p>
    <w:p w:rsidR="009A29B4" w:rsidRPr="0023073D" w:rsidP="009A29B4" w14:paraId="20624443" w14:textId="77777777">
      <w:pPr>
        <w:pStyle w:val="ListParagraph"/>
        <w:numPr>
          <w:ilvl w:val="0"/>
          <w:numId w:val="40"/>
        </w:numPr>
        <w:spacing w:before="360" w:after="80"/>
        <w:jc w:val="both"/>
        <w:rPr>
          <w:rFonts w:ascii="Arial" w:hAnsi="Arial" w:cs="Arial"/>
          <w:lang w:val="en-GB"/>
        </w:rPr>
      </w:pPr>
      <w:r w:rsidRPr="0023073D">
        <w:rPr>
          <w:rFonts w:ascii="Arial" w:hAnsi="Arial" w:cs="Arial"/>
          <w:b/>
          <w:bCs/>
          <w:lang w:val="en-GB"/>
        </w:rPr>
        <w:t>Rehabilitation and step-down capacity:</w:t>
      </w:r>
      <w:r w:rsidRPr="0023073D">
        <w:rPr>
          <w:rFonts w:ascii="Arial" w:hAnsi="Arial" w:cs="Arial"/>
          <w:lang w:val="en-GB"/>
        </w:rPr>
        <w:t xml:space="preserve"> Beds per capita in intermediate care or neurological rehabilitation units.</w:t>
      </w:r>
    </w:p>
    <w:p w:rsidR="009A29B4" w:rsidRPr="0023073D" w:rsidP="009A29B4" w14:paraId="74E17AA7" w14:textId="77777777">
      <w:pPr>
        <w:pStyle w:val="ListParagraph"/>
        <w:numPr>
          <w:ilvl w:val="0"/>
          <w:numId w:val="40"/>
        </w:numPr>
        <w:spacing w:before="360" w:after="80"/>
        <w:jc w:val="both"/>
        <w:rPr>
          <w:rFonts w:ascii="Arial" w:hAnsi="Arial" w:cs="Arial"/>
          <w:lang w:val="en-GB"/>
        </w:rPr>
      </w:pPr>
      <w:r w:rsidRPr="0023073D">
        <w:rPr>
          <w:rFonts w:ascii="Arial" w:hAnsi="Arial" w:cs="Arial"/>
          <w:b/>
          <w:bCs/>
          <w:lang w:val="en-GB"/>
        </w:rPr>
        <w:t>Care Market Contractual Structure:</w:t>
      </w:r>
      <w:r w:rsidRPr="0023073D">
        <w:rPr>
          <w:rFonts w:ascii="Arial" w:hAnsi="Arial" w:cs="Arial"/>
          <w:lang w:val="en-GB"/>
        </w:rPr>
        <w:t xml:space="preserve"> Proportion of local authority capacity commissioned through fixed </w:t>
      </w:r>
      <w:r w:rsidRPr="0023073D">
        <w:rPr>
          <w:rFonts w:ascii="Arial" w:hAnsi="Arial" w:cs="Arial"/>
          <w:b/>
          <w:bCs/>
          <w:lang w:val="en-GB"/>
        </w:rPr>
        <w:t>'block contracts'</w:t>
      </w:r>
      <w:r w:rsidRPr="0023073D">
        <w:rPr>
          <w:rFonts w:ascii="Arial" w:hAnsi="Arial" w:cs="Arial"/>
          <w:lang w:val="en-GB"/>
        </w:rPr>
        <w:t xml:space="preserve"> versus flexible 'spot purchasing'. High levels of block contracting may indicate systemic rigidity, potentially creating bottlenecks where resources are tied to specific settings (e.g., fixed care home beds) instead of following patient needs for home-based recovery.</w:t>
      </w:r>
    </w:p>
    <w:p w:rsidR="009A29B4" w:rsidRPr="0023073D" w:rsidP="009A29B4" w14:paraId="092B6157" w14:textId="77777777">
      <w:pPr>
        <w:pStyle w:val="ListParagraph"/>
        <w:numPr>
          <w:ilvl w:val="0"/>
          <w:numId w:val="40"/>
        </w:numPr>
        <w:spacing w:before="360" w:after="80"/>
        <w:jc w:val="both"/>
        <w:rPr>
          <w:rFonts w:ascii="Arial" w:hAnsi="Arial" w:cs="Arial"/>
          <w:lang w:val="en-GB"/>
        </w:rPr>
      </w:pPr>
      <w:r w:rsidRPr="0023073D">
        <w:rPr>
          <w:rFonts w:ascii="Arial" w:hAnsi="Arial" w:cs="Arial"/>
          <w:b/>
          <w:bCs/>
          <w:lang w:val="en-GB"/>
        </w:rPr>
        <w:t>Financial Sustainability &amp; Market Fragility:</w:t>
      </w:r>
      <w:r w:rsidRPr="0023073D">
        <w:rPr>
          <w:rFonts w:ascii="Arial" w:hAnsi="Arial" w:cs="Arial"/>
          <w:lang w:val="en-GB"/>
        </w:rPr>
        <w:t xml:space="preserve"> A proxy representing the gap between the local authority’s hourly care rate and the industry’s sustainable price benchmark (currently estimated between £32.14 and £35.00 per hour). This </w:t>
      </w:r>
      <w:r>
        <w:rPr>
          <w:rFonts w:ascii="Arial" w:hAnsi="Arial" w:cs="Arial"/>
          <w:lang w:val="en-GB"/>
        </w:rPr>
        <w:t xml:space="preserve">calculation </w:t>
      </w:r>
      <w:r w:rsidRPr="0023073D">
        <w:rPr>
          <w:rFonts w:ascii="Arial" w:hAnsi="Arial" w:cs="Arial"/>
          <w:lang w:val="en-GB"/>
        </w:rPr>
        <w:t>captures the risk of provider failure or workforce shortages, as approximately 29% of the sector currently operates below the minimum cost of care, hindering the ability to absorb new discharges.</w:t>
      </w:r>
    </w:p>
    <w:p w:rsidR="009A29B4" w:rsidRPr="0023073D" w:rsidP="009A29B4" w14:paraId="60420611" w14:textId="77777777">
      <w:pPr>
        <w:pStyle w:val="NormalWeb"/>
        <w:numPr>
          <w:ilvl w:val="0"/>
          <w:numId w:val="40"/>
        </w:numPr>
        <w:spacing w:before="0" w:beforeAutospacing="0" w:after="0" w:afterAutospacing="0"/>
        <w:jc w:val="both"/>
        <w:rPr>
          <w:rFonts w:ascii="Arial" w:hAnsi="Arial" w:cs="Arial"/>
        </w:rPr>
      </w:pPr>
      <w:r w:rsidRPr="0023073D">
        <w:rPr>
          <w:rFonts w:ascii="Arial" w:hAnsi="Arial" w:cs="Arial"/>
          <w:b/>
          <w:bCs/>
        </w:rPr>
        <w:t>Provider Fragmentation Metric:</w:t>
      </w:r>
      <w:r w:rsidRPr="0023073D">
        <w:rPr>
          <w:rFonts w:ascii="Arial" w:hAnsi="Arial" w:cs="Arial"/>
        </w:rPr>
        <w:t xml:space="preserve"> A measure of the density and diversity of providers in the patient’s area (e.g., using a Herfindahl-Hirschman Index for the local care market). High fragmentation, often combined with the use of incompatible software systems across different agencies, is expected to increase coordination costs and prolong the </w:t>
      </w:r>
      <w:r>
        <w:rPr>
          <w:rFonts w:ascii="Arial" w:hAnsi="Arial" w:cs="Arial"/>
        </w:rPr>
        <w:t>‘</w:t>
      </w:r>
      <w:r w:rsidRPr="0023073D">
        <w:rPr>
          <w:rFonts w:ascii="Arial" w:hAnsi="Arial" w:cs="Arial"/>
        </w:rPr>
        <w:t>medically fit to discharge</w:t>
      </w:r>
      <w:r>
        <w:rPr>
          <w:rFonts w:ascii="Arial" w:hAnsi="Arial" w:cs="Arial"/>
        </w:rPr>
        <w:t>’</w:t>
      </w:r>
      <w:r w:rsidRPr="0023073D">
        <w:rPr>
          <w:rFonts w:ascii="Arial" w:hAnsi="Arial" w:cs="Arial"/>
        </w:rPr>
        <w:t xml:space="preserve"> period.</w:t>
      </w:r>
    </w:p>
    <w:p w:rsidR="009A29B4" w:rsidRPr="0023073D" w:rsidP="009A29B4" w14:paraId="5FEFB49B" w14:textId="77777777">
      <w:pPr>
        <w:pStyle w:val="ListParagraph"/>
        <w:numPr>
          <w:ilvl w:val="0"/>
          <w:numId w:val="40"/>
        </w:numPr>
        <w:jc w:val="both"/>
        <w:rPr>
          <w:rFonts w:ascii="Arial" w:hAnsi="Arial" w:cs="Arial"/>
          <w:lang w:val="en-GB"/>
        </w:rPr>
      </w:pPr>
      <w:r w:rsidRPr="0023073D">
        <w:rPr>
          <w:rFonts w:ascii="Arial" w:hAnsi="Arial" w:cs="Arial"/>
          <w:b/>
          <w:bCs/>
          <w:lang w:val="en-GB"/>
        </w:rPr>
        <w:t>Health–social care coordination</w:t>
      </w:r>
      <w:r w:rsidRPr="0023073D">
        <w:rPr>
          <w:rFonts w:ascii="Arial" w:hAnsi="Arial" w:cs="Arial"/>
          <w:lang w:val="en-GB"/>
        </w:rPr>
        <w:t>: Presence of discharge coordinators, formal integration agreements or social care spend per capita.</w:t>
      </w:r>
    </w:p>
    <w:p w:rsidR="009A29B4" w:rsidRPr="0023073D" w:rsidP="009A29B4" w14:paraId="09F096DF" w14:textId="77777777">
      <w:pPr>
        <w:pStyle w:val="ListParagraph"/>
        <w:numPr>
          <w:ilvl w:val="0"/>
          <w:numId w:val="40"/>
        </w:numPr>
        <w:spacing w:before="360" w:after="80"/>
        <w:jc w:val="both"/>
        <w:rPr>
          <w:rFonts w:ascii="Arial" w:hAnsi="Arial" w:cs="Arial"/>
          <w:lang w:val="en-GB"/>
        </w:rPr>
      </w:pPr>
      <w:r w:rsidRPr="0023073D">
        <w:rPr>
          <w:rFonts w:ascii="Arial" w:hAnsi="Arial" w:cs="Arial"/>
          <w:b/>
          <w:bCs/>
          <w:lang w:val="en-GB"/>
        </w:rPr>
        <w:t>Rural vs urban area</w:t>
      </w:r>
      <w:r w:rsidRPr="0023073D">
        <w:rPr>
          <w:rFonts w:ascii="Arial" w:hAnsi="Arial" w:cs="Arial"/>
          <w:lang w:val="en-GB"/>
        </w:rPr>
        <w:t>: to capture service access.</w:t>
      </w:r>
    </w:p>
    <w:p w:rsidR="009A29B4" w:rsidRPr="0023073D" w:rsidP="009A29B4" w14:paraId="6DD8A673" w14:textId="77777777">
      <w:pPr>
        <w:spacing w:before="360" w:after="80"/>
        <w:jc w:val="both"/>
        <w:rPr>
          <w:rFonts w:ascii="Arial" w:hAnsi="Arial" w:cs="Arial"/>
          <w:b/>
          <w:bCs/>
          <w:lang w:val="en-GB"/>
        </w:rPr>
      </w:pPr>
      <w:r w:rsidRPr="0023073D">
        <w:rPr>
          <w:rFonts w:ascii="Arial" w:hAnsi="Arial" w:cs="Arial"/>
          <w:b/>
          <w:bCs/>
          <w:lang w:val="en-GB"/>
        </w:rPr>
        <w:t>Model structure</w:t>
      </w:r>
    </w:p>
    <w:p w:rsidR="009A29B4" w:rsidRPr="0023073D" w:rsidP="009A29B4" w14:paraId="2B7687E2" w14:textId="53EA3DC8">
      <w:pPr>
        <w:pStyle w:val="NormalWeb"/>
        <w:jc w:val="both"/>
        <w:rPr>
          <w:rFonts w:ascii="Arial" w:hAnsi="Arial" w:cs="Arial"/>
        </w:rPr>
      </w:pPr>
      <w:r w:rsidRPr="0023073D">
        <w:rPr>
          <w:rFonts w:ascii="Arial" w:hAnsi="Arial" w:cs="Arial"/>
        </w:rPr>
        <w:t xml:space="preserve">A multilevel (mixed effects) regression model is proposed, with patients </w:t>
      </w:r>
      <m:oMath>
        <m:r>
          <w:rPr>
            <w:rFonts w:ascii="Cambria Math" w:hAnsi="Cambria Math" w:cs="Arial"/>
          </w:rPr>
          <m:t>i</m:t>
        </m:r>
      </m:oMath>
      <w:r w:rsidRPr="0023073D">
        <w:rPr>
          <w:rFonts w:ascii="Arial" w:hAnsi="Arial" w:cs="Arial"/>
        </w:rPr>
        <w:t xml:space="preserve"> nested within their area of residence </w:t>
      </w:r>
      <m:oMath>
        <m:r>
          <w:rPr>
            <w:rFonts w:ascii="Cambria Math" w:hAnsi="Cambria Math" w:cs="Arial"/>
          </w:rPr>
          <m:t>j</m:t>
        </m:r>
      </m:oMath>
      <w:r w:rsidRPr="0023073D">
        <w:rPr>
          <w:rFonts w:ascii="Arial" w:hAnsi="Arial" w:cs="Arial"/>
        </w:rPr>
        <w:t xml:space="preserve"> (e.g., Local Authority or Integrated Care System). For the single-hospital pilot, this structure isolates how the specific characteristics of the </w:t>
      </w:r>
      <w:r>
        <w:rPr>
          <w:rFonts w:ascii="Arial" w:hAnsi="Arial" w:cs="Arial"/>
        </w:rPr>
        <w:t xml:space="preserve">adult </w:t>
      </w:r>
      <w:r w:rsidRPr="0023073D">
        <w:rPr>
          <w:rFonts w:ascii="Arial" w:hAnsi="Arial" w:cs="Arial"/>
        </w:rPr>
        <w:t xml:space="preserve">social care ecosystem where a </w:t>
      </w:r>
      <w:r w:rsidRPr="0023073D">
        <w:rPr>
          <w:rFonts w:ascii="Arial" w:hAnsi="Arial" w:cs="Arial"/>
        </w:rPr>
        <w:t>patient lives</w:t>
      </w:r>
      <w:r w:rsidRPr="0023073D">
        <w:rPr>
          <w:rFonts w:ascii="Arial" w:hAnsi="Arial" w:cs="Arial"/>
        </w:rPr>
        <w:t xml:space="preserve"> affect</w:t>
      </w:r>
      <w:r w:rsidR="002601B6">
        <w:rPr>
          <w:rFonts w:ascii="Arial" w:hAnsi="Arial" w:cs="Arial"/>
        </w:rPr>
        <w:t>s</w:t>
      </w:r>
      <w:r w:rsidRPr="0023073D">
        <w:rPr>
          <w:rFonts w:ascii="Arial" w:hAnsi="Arial" w:cs="Arial"/>
        </w:rPr>
        <w:t xml:space="preserve"> their discharge journey.</w:t>
      </w:r>
    </w:p>
    <w:p w:rsidR="00F80909" w14:paraId="73204A5D" w14:textId="77777777">
      <w:pPr>
        <w:rPr>
          <w:rFonts w:ascii="Arial" w:eastAsia="Times New Roman" w:hAnsi="Arial" w:cs="Arial"/>
          <w:lang w:val="en-GB" w:eastAsia="en-GB"/>
        </w:rPr>
      </w:pPr>
      <w:r>
        <w:rPr>
          <w:rFonts w:ascii="Arial" w:hAnsi="Arial" w:cs="Arial"/>
        </w:rPr>
        <w:br w:type="page"/>
      </w:r>
    </w:p>
    <w:p w:rsidR="009A29B4" w:rsidRPr="0023073D" w:rsidP="009A29B4" w14:paraId="7D47B78C" w14:textId="3770880E">
      <w:pPr>
        <w:pStyle w:val="NormalWeb"/>
        <w:spacing w:before="0" w:beforeAutospacing="0"/>
        <w:rPr>
          <w:rFonts w:ascii="Arial" w:hAnsi="Arial" w:cs="Arial"/>
          <w:i/>
        </w:rPr>
      </w:pPr>
      <w:r w:rsidRPr="001418AC">
        <w:rPr>
          <w:rFonts w:ascii="Arial" w:hAnsi="Arial" w:cs="Arial"/>
        </w:rPr>
        <w:t xml:space="preserve">Length of Stay: </w:t>
      </w:r>
      <w:r w:rsidRPr="001418AC">
        <w:rPr>
          <w:rFonts w:ascii="Arial" w:hAnsi="Arial" w:cs="Arial"/>
          <w:i/>
        </w:rPr>
        <w:br/>
      </w:r>
      <m:oMathPara>
        <m:oMath>
          <m:r>
            <w:rPr>
              <w:rFonts w:ascii="Cambria Math" w:hAnsi="Cambria Math" w:cs="Arial"/>
            </w:rPr>
            <m:t>LO</m:t>
          </m:r>
          <m:sSub>
            <m:sSubPr>
              <m:ctrlPr>
                <w:rPr>
                  <w:rFonts w:ascii="Cambria Math" w:hAnsi="Cambria Math" w:cs="Arial"/>
                  <w:i/>
                </w:rPr>
              </m:ctrlPr>
            </m:sSubPr>
            <m:e>
              <m:r>
                <w:rPr>
                  <w:rFonts w:ascii="Cambria Math" w:hAnsi="Cambria Math" w:cs="Arial"/>
                </w:rPr>
                <m:t>S</m:t>
              </m:r>
            </m:e>
            <m:sub>
              <m:d>
                <m:dPr>
                  <m:begChr m:val="{"/>
                  <m:endChr m:val="}"/>
                  <m:ctrlPr>
                    <w:rPr>
                      <w:rFonts w:ascii="Cambria Math" w:hAnsi="Cambria Math" w:cs="Arial"/>
                      <w:i/>
                    </w:rPr>
                  </m:ctrlPr>
                </m:dPr>
                <m:e>
                  <m:r>
                    <w:rPr>
                      <w:rFonts w:ascii="Cambria Math" w:hAnsi="Cambria Math" w:cs="Arial"/>
                    </w:rPr>
                    <m:t>ij</m:t>
                  </m:r>
                </m:e>
              </m:d>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β</m:t>
              </m:r>
            </m:e>
            <m:sub>
              <m:r>
                <w:rPr>
                  <w:rFonts w:ascii="Cambria Math" w:hAnsi="Cambria Math" w:cs="Arial"/>
                </w:rPr>
                <m:t>0</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β</m:t>
              </m:r>
            </m:e>
            <m:sub>
              <m:r>
                <w:rPr>
                  <w:rFonts w:ascii="Cambria Math" w:hAnsi="Cambria Math" w:cs="Arial"/>
                </w:rPr>
                <m:t>1</m:t>
              </m:r>
            </m:sub>
          </m:sSub>
          <m:sSub>
            <m:sSubPr>
              <m:ctrlPr>
                <w:rPr>
                  <w:rFonts w:ascii="Cambria Math" w:hAnsi="Cambria Math" w:cs="Arial"/>
                  <w:i/>
                </w:rPr>
              </m:ctrlPr>
            </m:sSubPr>
            <m:e>
              <m:r>
                <w:rPr>
                  <w:rFonts w:ascii="Cambria Math" w:hAnsi="Cambria Math" w:cs="Arial"/>
                </w:rPr>
                <m:t>X</m:t>
              </m:r>
            </m:e>
            <m:sub>
              <m:d>
                <m:dPr>
                  <m:begChr m:val="{"/>
                  <m:endChr m:val="}"/>
                  <m:ctrlPr>
                    <w:rPr>
                      <w:rFonts w:ascii="Cambria Math" w:hAnsi="Cambria Math" w:cs="Arial"/>
                      <w:i/>
                    </w:rPr>
                  </m:ctrlPr>
                </m:dPr>
                <m:e>
                  <m:r>
                    <w:rPr>
                      <w:rFonts w:ascii="Cambria Math" w:hAnsi="Cambria Math" w:cs="Arial"/>
                    </w:rPr>
                    <m:t>ij</m:t>
                  </m:r>
                </m:e>
              </m:d>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β</m:t>
              </m:r>
            </m:e>
            <m:sub>
              <m:r>
                <w:rPr>
                  <w:rFonts w:ascii="Cambria Math" w:hAnsi="Cambria Math" w:cs="Arial"/>
                </w:rPr>
                <m:t>2</m:t>
              </m:r>
            </m:sub>
          </m:sSub>
          <m:sSub>
            <m:sSubPr>
              <m:ctrlPr>
                <w:rPr>
                  <w:rFonts w:ascii="Cambria Math" w:hAnsi="Cambria Math" w:cs="Arial"/>
                  <w:i/>
                </w:rPr>
              </m:ctrlPr>
            </m:sSubPr>
            <m:e>
              <m:r>
                <w:rPr>
                  <w:rFonts w:ascii="Cambria Math" w:hAnsi="Cambria Math" w:cs="Arial"/>
                </w:rPr>
                <m:t>Z</m:t>
              </m:r>
            </m:e>
            <m:sub>
              <m:r>
                <w:rPr>
                  <w:rFonts w:ascii="Cambria Math" w:hAnsi="Cambria Math" w:cs="Arial"/>
                </w:rPr>
                <m:t>j</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β</m:t>
              </m:r>
            </m:e>
            <m:sub>
              <m:r>
                <w:rPr>
                  <w:rFonts w:ascii="Cambria Math" w:hAnsi="Cambria Math" w:cs="Arial"/>
                </w:rPr>
                <m:t>3</m:t>
              </m:r>
            </m:sub>
          </m:sSub>
          <m:sSub>
            <m:sSubPr>
              <m:ctrlPr>
                <w:rPr>
                  <w:rFonts w:ascii="Cambria Math" w:hAnsi="Cambria Math" w:cs="Arial"/>
                  <w:i/>
                </w:rPr>
              </m:ctrlPr>
            </m:sSubPr>
            <m:e>
              <m:r>
                <w:rPr>
                  <w:rFonts w:ascii="Cambria Math" w:hAnsi="Cambria Math" w:cs="Arial"/>
                </w:rPr>
                <m:t>C</m:t>
              </m:r>
            </m:e>
            <m:sub>
              <m:r>
                <w:rPr>
                  <w:rFonts w:ascii="Cambria Math" w:hAnsi="Cambria Math" w:cs="Arial"/>
                </w:rPr>
                <m:t>j</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u</m:t>
              </m:r>
            </m:e>
            <m:sub>
              <m:r>
                <w:rPr>
                  <w:rFonts w:ascii="Cambria Math" w:hAnsi="Cambria Math" w:cs="Arial"/>
                </w:rPr>
                <m:t>j</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ϵ</m:t>
              </m:r>
            </m:e>
            <m:sub>
              <m:d>
                <m:dPr>
                  <m:begChr m:val="{"/>
                  <m:endChr m:val="}"/>
                  <m:ctrlPr>
                    <w:rPr>
                      <w:rFonts w:ascii="Cambria Math" w:hAnsi="Cambria Math" w:cs="Arial"/>
                      <w:i/>
                    </w:rPr>
                  </m:ctrlPr>
                </m:dPr>
                <m:e>
                  <m:r>
                    <w:rPr>
                      <w:rFonts w:ascii="Cambria Math" w:hAnsi="Cambria Math" w:cs="Arial"/>
                    </w:rPr>
                    <m:t>ij</m:t>
                  </m:r>
                </m:e>
              </m:d>
            </m:sub>
          </m:sSub>
        </m:oMath>
      </m:oMathPara>
    </w:p>
    <w:p w:rsidR="009A29B4" w:rsidRPr="0023073D" w:rsidP="009A29B4" w14:paraId="43597CE1" w14:textId="77777777">
      <w:pPr>
        <w:pStyle w:val="NormalWeb"/>
        <w:spacing w:before="0" w:beforeAutospacing="0"/>
        <w:jc w:val="both"/>
        <w:rPr>
          <w:rFonts w:ascii="Arial" w:hAnsi="Arial" w:cs="Arial"/>
        </w:rPr>
      </w:pPr>
      <w:r w:rsidRPr="0023073D">
        <w:rPr>
          <w:rFonts w:ascii="Arial" w:hAnsi="Arial" w:cs="Arial"/>
        </w:rPr>
        <w:t>Delayed discharge:</w:t>
      </w:r>
      <w:r w:rsidRPr="0023073D">
        <w:rPr>
          <w:rFonts w:ascii="Arial" w:hAnsi="Arial" w:cs="Arial"/>
          <w:i/>
        </w:rPr>
        <w:br/>
      </w:r>
      <m:oMathPara>
        <m:oMath>
          <m:r>
            <w:rPr>
              <w:rFonts w:ascii="Cambria Math" w:hAnsi="Cambria Math" w:cs="Arial"/>
            </w:rPr>
            <m:t>logit</m:t>
          </m:r>
          <m:d>
            <m:dPr>
              <m:ctrlPr>
                <w:rPr>
                  <w:rFonts w:ascii="Cambria Math" w:hAnsi="Cambria Math" w:cs="Arial"/>
                  <w:i/>
                </w:rPr>
              </m:ctrlPr>
            </m:dPr>
            <m:e>
              <m:r>
                <m:rPr>
                  <m:nor/>
                </m:rPr>
                <w:rPr>
                  <w:rFonts w:ascii="Arial" w:hAnsi="Arial" w:cs="Arial"/>
                </w:rPr>
                <m:t>P</m:t>
              </m:r>
              <m:d>
                <m:dPr>
                  <m:ctrlPr>
                    <w:rPr>
                      <w:rFonts w:ascii="Cambria Math" w:hAnsi="Cambria Math" w:cs="Arial"/>
                      <w:i/>
                    </w:rPr>
                  </m:ctrlPr>
                </m:dPr>
                <m:e>
                  <m:sSub>
                    <m:sSubPr>
                      <m:ctrlPr>
                        <w:rPr>
                          <w:rFonts w:ascii="Cambria Math" w:hAnsi="Cambria Math" w:cs="Arial"/>
                          <w:i/>
                        </w:rPr>
                      </m:ctrlPr>
                    </m:sSubPr>
                    <m:e>
                      <m:r>
                        <m:rPr>
                          <m:nor/>
                        </m:rPr>
                        <w:rPr>
                          <w:rFonts w:ascii="Arial" w:hAnsi="Arial" w:cs="Arial"/>
                        </w:rPr>
                        <m:t>Y</m:t>
                      </m:r>
                    </m:e>
                    <m:sub>
                      <m:d>
                        <m:dPr>
                          <m:begChr m:val="{"/>
                          <m:endChr m:val="}"/>
                          <m:ctrlPr>
                            <w:rPr>
                              <w:rFonts w:ascii="Cambria Math" w:hAnsi="Cambria Math" w:cs="Arial"/>
                              <w:i/>
                            </w:rPr>
                          </m:ctrlPr>
                        </m:dPr>
                        <m:e>
                          <m:r>
                            <m:rPr>
                              <m:nor/>
                            </m:rPr>
                            <w:rPr>
                              <w:rFonts w:ascii="Arial" w:hAnsi="Arial" w:cs="Arial"/>
                            </w:rPr>
                            <m:t>ij</m:t>
                          </m:r>
                        </m:e>
                      </m:d>
                    </m:sub>
                  </m:sSub>
                  <m:r>
                    <m:rPr>
                      <m:nor/>
                    </m:rPr>
                    <w:rPr>
                      <w:rFonts w:ascii="Arial" w:hAnsi="Arial" w:cs="Arial"/>
                    </w:rPr>
                    <m:t>=1</m:t>
                  </m:r>
                </m:e>
              </m:d>
            </m:e>
          </m:d>
          <m:r>
            <m:rPr>
              <m:nor/>
            </m:rPr>
            <w:rPr>
              <w:rFonts w:ascii="Arial" w:hAnsi="Arial" w:cs="Arial"/>
            </w:rPr>
            <m:t xml:space="preserve">= </m:t>
          </m:r>
          <m:sSub>
            <m:sSubPr>
              <m:ctrlPr>
                <w:rPr>
                  <w:rFonts w:ascii="Cambria Math" w:hAnsi="Cambria Math" w:cs="Arial"/>
                  <w:i/>
                </w:rPr>
              </m:ctrlPr>
            </m:sSubPr>
            <m:e>
              <m:r>
                <m:rPr>
                  <m:nor/>
                </m:rPr>
                <w:rPr>
                  <w:rFonts w:ascii="Arial" w:hAnsi="Arial" w:cs="Arial"/>
                </w:rPr>
                <m:t>β</m:t>
              </m:r>
            </m:e>
            <m:sub>
              <m:r>
                <m:rPr>
                  <m:nor/>
                </m:rPr>
                <w:rPr>
                  <w:rFonts w:ascii="Arial" w:hAnsi="Arial" w:cs="Arial"/>
                </w:rPr>
                <m:t>0</m:t>
              </m:r>
            </m:sub>
          </m:sSub>
          <m:r>
            <m:rPr>
              <m:nor/>
            </m:rPr>
            <w:rPr>
              <w:rFonts w:ascii="Arial" w:hAnsi="Arial" w:cs="Arial"/>
            </w:rPr>
            <m:t xml:space="preserve">+ </m:t>
          </m:r>
          <m:sSub>
            <m:sSubPr>
              <m:ctrlPr>
                <w:rPr>
                  <w:rFonts w:ascii="Cambria Math" w:hAnsi="Cambria Math" w:cs="Arial"/>
                  <w:i/>
                </w:rPr>
              </m:ctrlPr>
            </m:sSubPr>
            <m:e>
              <m:r>
                <m:rPr>
                  <m:nor/>
                </m:rPr>
                <w:rPr>
                  <w:rFonts w:ascii="Arial" w:hAnsi="Arial" w:cs="Arial"/>
                </w:rPr>
                <m:t>β</m:t>
              </m:r>
            </m:e>
            <m:sub>
              <m:r>
                <m:rPr>
                  <m:nor/>
                </m:rPr>
                <w:rPr>
                  <w:rFonts w:ascii="Arial" w:hAnsi="Arial" w:cs="Arial"/>
                </w:rPr>
                <m:t>1</m:t>
              </m:r>
            </m:sub>
          </m:sSub>
          <m:sSub>
            <m:sSubPr>
              <m:ctrlPr>
                <w:rPr>
                  <w:rFonts w:ascii="Cambria Math" w:hAnsi="Cambria Math" w:cs="Arial"/>
                  <w:i/>
                </w:rPr>
              </m:ctrlPr>
            </m:sSubPr>
            <m:e>
              <m:r>
                <m:rPr>
                  <m:nor/>
                </m:rPr>
                <w:rPr>
                  <w:rFonts w:ascii="Arial" w:hAnsi="Arial" w:cs="Arial"/>
                </w:rPr>
                <m:t>X</m:t>
              </m:r>
            </m:e>
            <m:sub>
              <m:d>
                <m:dPr>
                  <m:begChr m:val="{"/>
                  <m:endChr m:val="}"/>
                  <m:ctrlPr>
                    <w:rPr>
                      <w:rFonts w:ascii="Cambria Math" w:hAnsi="Cambria Math" w:cs="Arial"/>
                      <w:i/>
                    </w:rPr>
                  </m:ctrlPr>
                </m:dPr>
                <m:e>
                  <m:r>
                    <m:rPr>
                      <m:nor/>
                    </m:rPr>
                    <w:rPr>
                      <w:rFonts w:ascii="Arial" w:hAnsi="Arial" w:cs="Arial"/>
                    </w:rPr>
                    <m:t>ij</m:t>
                  </m:r>
                </m:e>
              </m:d>
            </m:sub>
          </m:sSub>
          <m:r>
            <m:rPr>
              <m:nor/>
            </m:rPr>
            <w:rPr>
              <w:rFonts w:ascii="Arial" w:hAnsi="Arial" w:cs="Arial"/>
            </w:rPr>
            <m:t xml:space="preserve">+ </m:t>
          </m:r>
          <m:sSub>
            <m:sSubPr>
              <m:ctrlPr>
                <w:rPr>
                  <w:rFonts w:ascii="Cambria Math" w:hAnsi="Cambria Math" w:cs="Arial"/>
                  <w:i/>
                </w:rPr>
              </m:ctrlPr>
            </m:sSubPr>
            <m:e>
              <m:r>
                <m:rPr>
                  <m:nor/>
                </m:rPr>
                <w:rPr>
                  <w:rFonts w:ascii="Arial" w:hAnsi="Arial" w:cs="Arial"/>
                </w:rPr>
                <m:t>β</m:t>
              </m:r>
            </m:e>
            <m:sub>
              <m:r>
                <m:rPr>
                  <m:nor/>
                </m:rPr>
                <w:rPr>
                  <w:rFonts w:ascii="Arial" w:hAnsi="Arial" w:cs="Arial"/>
                </w:rPr>
                <m:t>2</m:t>
              </m:r>
            </m:sub>
          </m:sSub>
          <m:sSub>
            <m:sSubPr>
              <m:ctrlPr>
                <w:rPr>
                  <w:rFonts w:ascii="Cambria Math" w:hAnsi="Cambria Math" w:cs="Arial"/>
                  <w:i/>
                </w:rPr>
              </m:ctrlPr>
            </m:sSubPr>
            <m:e>
              <m:r>
                <m:rPr>
                  <m:nor/>
                </m:rPr>
                <w:rPr>
                  <w:rFonts w:ascii="Arial" w:hAnsi="Arial" w:cs="Arial"/>
                </w:rPr>
                <m:t>Z</m:t>
              </m:r>
            </m:e>
            <m:sub>
              <m:r>
                <m:rPr>
                  <m:nor/>
                </m:rPr>
                <w:rPr>
                  <w:rFonts w:ascii="Arial" w:hAnsi="Arial" w:cs="Arial"/>
                </w:rPr>
                <m:t>j</m:t>
              </m:r>
            </m:sub>
          </m:sSub>
          <m:r>
            <m:rPr>
              <m:nor/>
            </m:rPr>
            <w:rPr>
              <w:rFonts w:ascii="Arial" w:hAnsi="Arial" w:cs="Arial"/>
            </w:rPr>
            <m:t xml:space="preserve">+ </m:t>
          </m:r>
          <m:sSub>
            <m:sSubPr>
              <m:ctrlPr>
                <w:rPr>
                  <w:rFonts w:ascii="Cambria Math" w:hAnsi="Cambria Math" w:cs="Arial"/>
                  <w:i/>
                </w:rPr>
              </m:ctrlPr>
            </m:sSubPr>
            <m:e>
              <m:r>
                <m:rPr>
                  <m:nor/>
                </m:rPr>
                <w:rPr>
                  <w:rFonts w:ascii="Arial" w:hAnsi="Arial" w:cs="Arial"/>
                </w:rPr>
                <m:t>β</m:t>
              </m:r>
            </m:e>
            <m:sub>
              <m:r>
                <m:rPr>
                  <m:nor/>
                </m:rPr>
                <w:rPr>
                  <w:rFonts w:ascii="Arial" w:hAnsi="Arial" w:cs="Arial"/>
                </w:rPr>
                <m:t>3</m:t>
              </m:r>
            </m:sub>
          </m:sSub>
          <m:sSub>
            <m:sSubPr>
              <m:ctrlPr>
                <w:rPr>
                  <w:rFonts w:ascii="Cambria Math" w:hAnsi="Cambria Math" w:cs="Arial"/>
                  <w:i/>
                </w:rPr>
              </m:ctrlPr>
            </m:sSubPr>
            <m:e>
              <m:r>
                <m:rPr>
                  <m:nor/>
                </m:rPr>
                <w:rPr>
                  <w:rFonts w:ascii="Arial" w:hAnsi="Arial" w:cs="Arial"/>
                </w:rPr>
                <m:t>C</m:t>
              </m:r>
            </m:e>
            <m:sub>
              <m:r>
                <m:rPr>
                  <m:nor/>
                </m:rPr>
                <w:rPr>
                  <w:rFonts w:ascii="Arial" w:hAnsi="Arial" w:cs="Arial"/>
                </w:rPr>
                <m:t>j</m:t>
              </m:r>
            </m:sub>
          </m:sSub>
          <m:r>
            <m:rPr>
              <m:nor/>
            </m:rPr>
            <w:rPr>
              <w:rFonts w:ascii="Arial" w:hAnsi="Arial" w:cs="Arial"/>
            </w:rPr>
            <m:t xml:space="preserve">+ </m:t>
          </m:r>
          <m:sSub>
            <m:sSubPr>
              <m:ctrlPr>
                <w:rPr>
                  <w:rFonts w:ascii="Cambria Math" w:hAnsi="Cambria Math" w:cs="Arial"/>
                  <w:i/>
                </w:rPr>
              </m:ctrlPr>
            </m:sSubPr>
            <m:e>
              <m:r>
                <m:rPr>
                  <m:nor/>
                </m:rPr>
                <w:rPr>
                  <w:rFonts w:ascii="Arial" w:hAnsi="Arial" w:cs="Arial"/>
                </w:rPr>
                <m:t>u</m:t>
              </m:r>
            </m:e>
            <m:sub>
              <m:r>
                <m:rPr>
                  <m:nor/>
                </m:rPr>
                <w:rPr>
                  <w:rFonts w:ascii="Arial" w:hAnsi="Arial" w:cs="Arial"/>
                </w:rPr>
                <m:t>j</m:t>
              </m:r>
            </m:sub>
          </m:sSub>
        </m:oMath>
      </m:oMathPara>
    </w:p>
    <w:p w:rsidR="009A29B4" w:rsidRPr="0023073D" w:rsidP="009A29B4" w14:paraId="5B18A9DD" w14:textId="77777777">
      <w:pPr>
        <w:pStyle w:val="NormalWeb"/>
        <w:jc w:val="both"/>
        <w:rPr>
          <w:rFonts w:ascii="Arial" w:hAnsi="Arial" w:cs="Arial"/>
        </w:rPr>
      </w:pPr>
      <w:r w:rsidRPr="0023073D">
        <w:rPr>
          <w:rStyle w:val="Strong"/>
          <w:rFonts w:ascii="Arial" w:hAnsi="Arial" w:eastAsiaTheme="majorEastAsia" w:cs="Arial"/>
        </w:rPr>
        <w:t>Where:</w:t>
      </w:r>
    </w:p>
    <w:p w:rsidR="009A29B4" w:rsidRPr="0023073D" w:rsidP="009A29B4" w14:paraId="5C39733A" w14:textId="5C511499">
      <w:pPr>
        <w:pStyle w:val="NormalWeb"/>
        <w:numPr>
          <w:ilvl w:val="0"/>
          <w:numId w:val="41"/>
        </w:numPr>
        <w:jc w:val="both"/>
        <w:rPr>
          <w:rFonts w:ascii="Arial" w:hAnsi="Arial" w:cs="Arial"/>
        </w:rPr>
      </w:pPr>
      <m:oMath>
        <m:r>
          <m:rPr>
            <m:sty m:val="p"/>
          </m:rPr>
          <w:rPr>
            <w:rFonts w:ascii="Cambria Math" w:hAnsi="Cambria Math" w:cs="Arial"/>
          </w:rPr>
          <m:t>LO</m:t>
        </m:r>
        <m:sSub>
          <m:sSubPr>
            <m:ctrlPr>
              <w:rPr>
                <w:rFonts w:ascii="Cambria Math" w:hAnsi="Cambria Math" w:cs="Arial"/>
              </w:rPr>
            </m:ctrlPr>
          </m:sSubPr>
          <m:e>
            <m:r>
              <m:rPr>
                <m:sty m:val="p"/>
              </m:rPr>
              <w:rPr>
                <w:rFonts w:ascii="Cambria Math" w:hAnsi="Cambria Math" w:cs="Arial"/>
              </w:rPr>
              <m:t>S</m:t>
            </m:r>
          </m:e>
          <m:sub>
            <m:r>
              <m:rPr>
                <m:sty m:val="p"/>
              </m:rPr>
              <w:rPr>
                <w:rFonts w:ascii="Cambria Math" w:hAnsi="Cambria Math" w:cs="Arial"/>
              </w:rPr>
              <m:t>ij</m:t>
            </m:r>
          </m:sub>
        </m:sSub>
        <m:r>
          <w:rPr>
            <w:rFonts w:ascii="Cambria Math" w:hAnsi="Cambria Math" w:cs="Arial"/>
          </w:rPr>
          <m:t xml:space="preserve"> </m:t>
        </m:r>
      </m:oMath>
      <w:r w:rsidRPr="0023073D">
        <w:rPr>
          <w:rFonts w:ascii="Arial" w:hAnsi="Arial" w:cs="Arial"/>
        </w:rPr>
        <w:t>is</w:t>
      </w:r>
      <w:r w:rsidRPr="0023073D">
        <w:rPr>
          <w:rFonts w:ascii="Arial" w:hAnsi="Arial" w:cs="Arial"/>
        </w:rPr>
        <w:t xml:space="preserve"> the total length of hospital stay (in days) for patient </w:t>
      </w:r>
      <m:oMath>
        <m:r>
          <m:rPr>
            <m:sty m:val="p"/>
          </m:rPr>
          <w:rPr>
            <w:rFonts w:ascii="Cambria Math" w:hAnsi="Cambria Math" w:cs="Arial"/>
          </w:rPr>
          <m:t>i</m:t>
        </m:r>
      </m:oMath>
      <w:r w:rsidRPr="0023073D">
        <w:rPr>
          <w:rFonts w:ascii="Arial" w:hAnsi="Arial" w:cs="Arial"/>
        </w:rPr>
        <w:t xml:space="preserve">in geographical area or care system </w:t>
      </w:r>
      <m:oMath>
        <m:r>
          <m:rPr>
            <m:sty m:val="p"/>
          </m:rPr>
          <w:rPr>
            <w:rFonts w:ascii="Cambria Math" w:hAnsi="Cambria Math" w:cs="Arial"/>
          </w:rPr>
          <m:t>j</m:t>
        </m:r>
      </m:oMath>
      <w:r w:rsidRPr="0023073D">
        <w:rPr>
          <w:rFonts w:ascii="Arial" w:hAnsi="Arial" w:cs="Arial"/>
        </w:rPr>
        <w:t>. This is the dependent variable.</w:t>
      </w:r>
    </w:p>
    <w:p w:rsidR="009A29B4" w:rsidRPr="0023073D" w:rsidP="009A29B4" w14:paraId="23066026" w14:textId="77777777">
      <w:pPr>
        <w:pStyle w:val="NormalWeb"/>
        <w:numPr>
          <w:ilvl w:val="0"/>
          <w:numId w:val="41"/>
        </w:numPr>
        <w:jc w:val="both"/>
        <w:rPr>
          <w:rFonts w:ascii="Arial" w:hAnsi="Arial" w:cs="Arial"/>
        </w:rPr>
      </w:pPr>
      <m:oMath>
        <m:r>
          <w:rPr>
            <w:rFonts w:ascii="Cambria Math" w:hAnsi="Cambria Math" w:cs="Arial"/>
          </w:rPr>
          <m:t>Delaye</m:t>
        </m:r>
        <m:sSub>
          <m:sSubPr>
            <m:ctrlPr>
              <w:rPr>
                <w:rFonts w:ascii="Cambria Math" w:hAnsi="Cambria Math" w:cs="Arial"/>
              </w:rPr>
            </m:ctrlPr>
          </m:sSubPr>
          <m:e>
            <m:r>
              <w:rPr>
                <w:rFonts w:ascii="Cambria Math" w:hAnsi="Cambria Math" w:cs="Arial"/>
              </w:rPr>
              <m:t>d</m:t>
            </m:r>
          </m:e>
          <m:sub>
            <m:r>
              <w:rPr>
                <w:rFonts w:ascii="Cambria Math" w:hAnsi="Cambria Math" w:cs="Arial"/>
              </w:rPr>
              <m:t>ij</m:t>
            </m:r>
          </m:sub>
        </m:sSub>
      </m:oMath>
      <w:r w:rsidRPr="0023073D">
        <w:rPr>
          <w:rFonts w:ascii="Arial" w:hAnsi="Arial" w:cs="Arial"/>
        </w:rPr>
        <w:t xml:space="preserve">is a binary indicator equal to 1 if patient </w:t>
      </w:r>
      <m:oMath>
        <m:r>
          <w:rPr>
            <w:rFonts w:ascii="Cambria Math" w:hAnsi="Cambria Math" w:cs="Arial"/>
          </w:rPr>
          <m:t>i</m:t>
        </m:r>
      </m:oMath>
      <w:r w:rsidRPr="0023073D">
        <w:rPr>
          <w:rFonts w:ascii="Arial" w:hAnsi="Arial" w:cs="Arial"/>
        </w:rPr>
        <w:t xml:space="preserve">in area </w:t>
      </w:r>
      <m:oMath>
        <m:r>
          <w:rPr>
            <w:rFonts w:ascii="Cambria Math" w:hAnsi="Cambria Math" w:cs="Arial"/>
          </w:rPr>
          <m:t>j</m:t>
        </m:r>
      </m:oMath>
      <w:r w:rsidRPr="0023073D">
        <w:rPr>
          <w:rFonts w:ascii="Arial" w:hAnsi="Arial" w:cs="Arial"/>
        </w:rPr>
        <w:t>experiences a delayed discharge, and 0 otherwise. This is the dependent variable.</w:t>
      </w:r>
    </w:p>
    <w:p w:rsidR="009A29B4" w:rsidRPr="0023073D" w:rsidP="009A29B4" w14:paraId="46A350BF" w14:textId="77777777">
      <w:pPr>
        <w:pStyle w:val="NormalWeb"/>
        <w:numPr>
          <w:ilvl w:val="0"/>
          <w:numId w:val="41"/>
        </w:numPr>
        <w:jc w:val="both"/>
        <w:rPr>
          <w:rFonts w:ascii="Arial" w:hAnsi="Arial" w:cs="Arial"/>
        </w:rPr>
      </w:pPr>
      <m:oMath>
        <m:r>
          <w:rPr>
            <w:rFonts w:ascii="Cambria Math" w:hAnsi="Cambria Math" w:cs="Arial"/>
          </w:rPr>
          <m:t>P(Delaye</m:t>
        </m:r>
        <m:sSub>
          <m:sSubPr>
            <m:ctrlPr>
              <w:rPr>
                <w:rFonts w:ascii="Cambria Math" w:hAnsi="Cambria Math" w:cs="Arial"/>
              </w:rPr>
            </m:ctrlPr>
          </m:sSubPr>
          <m:e>
            <m:r>
              <w:rPr>
                <w:rFonts w:ascii="Cambria Math" w:hAnsi="Cambria Math" w:cs="Arial"/>
              </w:rPr>
              <m:t>d</m:t>
            </m:r>
          </m:e>
          <m:sub>
            <m:r>
              <w:rPr>
                <w:rFonts w:ascii="Cambria Math" w:hAnsi="Cambria Math" w:cs="Arial"/>
              </w:rPr>
              <m:t>ij</m:t>
            </m:r>
          </m:sub>
        </m:sSub>
        <m:r>
          <w:rPr>
            <w:rFonts w:ascii="Cambria Math" w:hAnsi="Cambria Math" w:cs="Arial"/>
          </w:rPr>
          <m:t>=1)</m:t>
        </m:r>
      </m:oMath>
      <w:r w:rsidRPr="0023073D">
        <w:rPr>
          <w:rFonts w:ascii="Arial" w:hAnsi="Arial" w:cs="Arial"/>
        </w:rPr>
        <w:t xml:space="preserve">is the probability that patient </w:t>
      </w:r>
      <m:oMath>
        <m:r>
          <w:rPr>
            <w:rFonts w:ascii="Cambria Math" w:hAnsi="Cambria Math" w:cs="Arial"/>
          </w:rPr>
          <m:t>i</m:t>
        </m:r>
      </m:oMath>
      <w:r w:rsidRPr="0023073D">
        <w:rPr>
          <w:rFonts w:ascii="Arial" w:hAnsi="Arial" w:cs="Arial"/>
        </w:rPr>
        <w:t>experiences a delayed discharge.</w:t>
      </w:r>
    </w:p>
    <w:p w:rsidR="009A29B4" w:rsidRPr="0023073D" w:rsidP="009A29B4" w14:paraId="025D790C" w14:textId="77777777">
      <w:pPr>
        <w:pStyle w:val="NormalWeb"/>
        <w:numPr>
          <w:ilvl w:val="0"/>
          <w:numId w:val="41"/>
        </w:numPr>
        <w:jc w:val="both"/>
        <w:rPr>
          <w:rFonts w:ascii="Arial" w:hAnsi="Arial" w:cs="Arial"/>
        </w:rPr>
      </w:pPr>
      <m:oMath>
        <m:sSub>
          <m:sSubPr>
            <m:ctrlPr>
              <w:rPr>
                <w:rFonts w:ascii="Cambria Math" w:hAnsi="Cambria Math" w:cs="Arial"/>
              </w:rPr>
            </m:ctrlPr>
          </m:sSubPr>
          <m:e>
            <m:r>
              <w:rPr>
                <w:rFonts w:ascii="Cambria Math" w:hAnsi="Cambria Math" w:cs="Arial"/>
              </w:rPr>
              <m:t>X</m:t>
            </m:r>
          </m:e>
          <m:sub>
            <m:r>
              <w:rPr>
                <w:rFonts w:ascii="Cambria Math" w:hAnsi="Cambria Math" w:cs="Arial"/>
              </w:rPr>
              <m:t>ij</m:t>
            </m:r>
          </m:sub>
        </m:sSub>
      </m:oMath>
      <w:r w:rsidRPr="0023073D">
        <w:rPr>
          <w:rFonts w:ascii="Arial" w:hAnsi="Arial" w:cs="Arial"/>
        </w:rPr>
        <w:t>: Vector of patient-level characteristics, including demographic, clinical, and case-mix factors affecting discharge outcomes.</w:t>
      </w:r>
    </w:p>
    <w:p w:rsidR="009A29B4" w:rsidRPr="0023073D" w:rsidP="009A29B4" w14:paraId="56F963AD" w14:textId="77777777">
      <w:pPr>
        <w:pStyle w:val="NormalWeb"/>
        <w:numPr>
          <w:ilvl w:val="0"/>
          <w:numId w:val="41"/>
        </w:numPr>
        <w:jc w:val="both"/>
        <w:rPr>
          <w:rFonts w:ascii="Arial" w:hAnsi="Arial" w:cs="Arial"/>
        </w:rPr>
      </w:pPr>
      <m:oMath>
        <m:sSub>
          <m:sSubPr>
            <m:ctrlPr>
              <w:rPr>
                <w:rFonts w:ascii="Cambria Math" w:hAnsi="Cambria Math" w:cs="Arial"/>
              </w:rPr>
            </m:ctrlPr>
          </m:sSubPr>
          <m:e>
            <m:r>
              <w:rPr>
                <w:rFonts w:ascii="Cambria Math" w:hAnsi="Cambria Math" w:cs="Arial"/>
              </w:rPr>
              <m:t>Z</m:t>
            </m:r>
          </m:e>
          <m:sub>
            <m:r>
              <w:rPr>
                <w:rFonts w:ascii="Cambria Math" w:hAnsi="Cambria Math" w:cs="Arial"/>
              </w:rPr>
              <m:t>j</m:t>
            </m:r>
          </m:sub>
        </m:sSub>
      </m:oMath>
      <w:r w:rsidRPr="0023073D">
        <w:rPr>
          <w:rFonts w:ascii="Arial" w:hAnsi="Arial" w:cs="Arial"/>
        </w:rPr>
        <w:t>: Vector of structural capacity variables at the ecosystem level, such as care home bed availability, intermediate care provision, and community care capacity.</w:t>
      </w:r>
    </w:p>
    <w:p w:rsidR="009A29B4" w:rsidRPr="0023073D" w:rsidP="009A29B4" w14:paraId="3871C508" w14:textId="77777777">
      <w:pPr>
        <w:pStyle w:val="NormalWeb"/>
        <w:numPr>
          <w:ilvl w:val="0"/>
          <w:numId w:val="41"/>
        </w:numPr>
        <w:jc w:val="both"/>
        <w:rPr>
          <w:rFonts w:ascii="Arial" w:hAnsi="Arial" w:cs="Arial"/>
        </w:rPr>
      </w:pPr>
      <m:oMath>
        <m:sSub>
          <m:sSubPr>
            <m:ctrlPr>
              <w:rPr>
                <w:rFonts w:ascii="Cambria Math" w:hAnsi="Cambria Math" w:cs="Arial"/>
              </w:rPr>
            </m:ctrlPr>
          </m:sSubPr>
          <m:e>
            <m:r>
              <w:rPr>
                <w:rFonts w:ascii="Cambria Math" w:hAnsi="Cambria Math" w:cs="Arial"/>
              </w:rPr>
              <m:t>C</m:t>
            </m:r>
          </m:e>
          <m:sub>
            <m:r>
              <w:rPr>
                <w:rFonts w:ascii="Cambria Math" w:hAnsi="Cambria Math" w:cs="Arial"/>
              </w:rPr>
              <m:t>j</m:t>
            </m:r>
          </m:sub>
        </m:sSub>
      </m:oMath>
      <w:r w:rsidRPr="0023073D">
        <w:rPr>
          <w:rFonts w:ascii="Arial" w:hAnsi="Arial" w:cs="Arial"/>
        </w:rPr>
        <w:t>: Vector of institutional and organisational constraints, including contractual rigidity, financial sustainability gaps, and system fragmentation affecting discharge processes.</w:t>
      </w:r>
    </w:p>
    <w:p w:rsidR="009A29B4" w:rsidRPr="0023073D" w:rsidP="009A29B4" w14:paraId="7FA0A4EF" w14:textId="77777777">
      <w:pPr>
        <w:pStyle w:val="NormalWeb"/>
        <w:numPr>
          <w:ilvl w:val="0"/>
          <w:numId w:val="41"/>
        </w:numPr>
        <w:jc w:val="both"/>
        <w:rPr>
          <w:rFonts w:ascii="Arial" w:hAnsi="Arial" w:cs="Arial"/>
        </w:rPr>
      </w:pPr>
      <m:oMath>
        <m:sSub>
          <m:sSubPr>
            <m:ctrlPr>
              <w:rPr>
                <w:rFonts w:ascii="Cambria Math" w:hAnsi="Cambria Math" w:cs="Arial"/>
              </w:rPr>
            </m:ctrlPr>
          </m:sSubPr>
          <m:e>
            <m:r>
              <w:rPr>
                <w:rFonts w:ascii="Cambria Math" w:hAnsi="Cambria Math" w:cs="Arial"/>
              </w:rPr>
              <m:t>u</m:t>
            </m:r>
          </m:e>
          <m:sub>
            <m:r>
              <w:rPr>
                <w:rFonts w:ascii="Cambria Math" w:hAnsi="Cambria Math" w:cs="Arial"/>
              </w:rPr>
              <m:t>j</m:t>
            </m:r>
          </m:sub>
        </m:sSub>
      </m:oMath>
      <w:r w:rsidRPr="0023073D">
        <w:rPr>
          <w:rFonts w:ascii="Arial" w:hAnsi="Arial" w:cs="Arial"/>
        </w:rPr>
        <w:t xml:space="preserve">: Area-level random effect, </w:t>
      </w:r>
      <m:oMath>
        <m:sSub>
          <m:sSubPr>
            <m:ctrlPr>
              <w:rPr>
                <w:rFonts w:ascii="Cambria Math" w:hAnsi="Cambria Math" w:cs="Arial"/>
              </w:rPr>
            </m:ctrlPr>
          </m:sSubPr>
          <m:e>
            <m:r>
              <w:rPr>
                <w:rFonts w:ascii="Cambria Math" w:hAnsi="Cambria Math" w:cs="Arial"/>
              </w:rPr>
              <m:t>u</m:t>
            </m:r>
          </m:e>
          <m:sub>
            <m:r>
              <w:rPr>
                <w:rFonts w:ascii="Cambria Math" w:hAnsi="Cambria Math" w:cs="Arial"/>
              </w:rPr>
              <m:t>j</m:t>
            </m:r>
          </m:sub>
        </m:sSub>
        <m:r>
          <w:rPr>
            <w:rFonts w:ascii="Cambria Math" w:hAnsi="Cambria Math" w:cs="Arial"/>
          </w:rPr>
          <m:t>∼N(0,</m:t>
        </m:r>
        <m:sSubSup>
          <m:sSubSupPr>
            <m:ctrlPr>
              <w:rPr>
                <w:rFonts w:ascii="Cambria Math" w:hAnsi="Cambria Math" w:cs="Arial"/>
              </w:rPr>
            </m:ctrlPr>
          </m:sSubSupPr>
          <m:e>
            <m:r>
              <w:rPr>
                <w:rFonts w:ascii="Cambria Math" w:hAnsi="Cambria Math" w:cs="Arial"/>
              </w:rPr>
              <m:t>σ</m:t>
            </m:r>
          </m:e>
          <m:sub>
            <m:r>
              <w:rPr>
                <w:rFonts w:ascii="Cambria Math" w:hAnsi="Cambria Math" w:cs="Arial"/>
              </w:rPr>
              <m:t>u</m:t>
            </m:r>
          </m:sub>
          <m:sup>
            <m:r>
              <w:rPr>
                <w:rFonts w:ascii="Cambria Math" w:hAnsi="Cambria Math" w:cs="Arial"/>
              </w:rPr>
              <m:t>2</m:t>
            </m:r>
          </m:sup>
        </m:sSubSup>
        <m:r>
          <w:rPr>
            <w:rFonts w:ascii="Cambria Math" w:hAnsi="Cambria Math" w:cs="Arial"/>
          </w:rPr>
          <m:t>)</m:t>
        </m:r>
      </m:oMath>
      <w:r w:rsidRPr="0023073D">
        <w:rPr>
          <w:rFonts w:ascii="Arial" w:hAnsi="Arial" w:cs="Arial"/>
        </w:rPr>
        <w:t>, capturing unobserved heterogeneity across geographical areas or care systems in discharge efficiency.</w:t>
      </w:r>
    </w:p>
    <w:p w:rsidR="009A29B4" w:rsidRPr="0023073D" w:rsidP="009A29B4" w14:paraId="50E46DA5" w14:textId="77777777">
      <w:pPr>
        <w:pStyle w:val="NormalWeb"/>
        <w:numPr>
          <w:ilvl w:val="0"/>
          <w:numId w:val="41"/>
        </w:numPr>
        <w:jc w:val="both"/>
        <w:rPr>
          <w:rFonts w:ascii="Arial" w:hAnsi="Arial" w:cs="Arial"/>
        </w:rPr>
      </w:pPr>
      <m:oMath>
        <m:sSub>
          <m:sSubPr>
            <m:ctrlPr>
              <w:rPr>
                <w:rFonts w:ascii="Cambria Math" w:hAnsi="Cambria Math" w:cs="Arial"/>
              </w:rPr>
            </m:ctrlPr>
          </m:sSubPr>
          <m:e>
            <m:r>
              <w:rPr>
                <w:rFonts w:ascii="Cambria Math" w:hAnsi="Cambria Math" w:cs="Arial"/>
              </w:rPr>
              <m:t>ϵ</m:t>
            </m:r>
          </m:e>
          <m:sub>
            <m:r>
              <w:rPr>
                <w:rFonts w:ascii="Cambria Math" w:hAnsi="Cambria Math" w:cs="Arial"/>
              </w:rPr>
              <m:t>ij</m:t>
            </m:r>
          </m:sub>
        </m:sSub>
      </m:oMath>
      <w:r w:rsidRPr="0023073D">
        <w:rPr>
          <w:rFonts w:ascii="Arial" w:hAnsi="Arial" w:cs="Arial"/>
        </w:rPr>
        <w:t xml:space="preserve">: Individual-level error term, </w:t>
      </w:r>
      <m:oMath>
        <m:sSub>
          <m:sSubPr>
            <m:ctrlPr>
              <w:rPr>
                <w:rFonts w:ascii="Cambria Math" w:hAnsi="Cambria Math" w:cs="Arial"/>
              </w:rPr>
            </m:ctrlPr>
          </m:sSubPr>
          <m:e>
            <m:r>
              <w:rPr>
                <w:rFonts w:ascii="Cambria Math" w:hAnsi="Cambria Math" w:cs="Arial"/>
              </w:rPr>
              <m:t>ϵ</m:t>
            </m:r>
          </m:e>
          <m:sub>
            <m:r>
              <w:rPr>
                <w:rFonts w:ascii="Cambria Math" w:hAnsi="Cambria Math" w:cs="Arial"/>
              </w:rPr>
              <m:t>ij</m:t>
            </m:r>
          </m:sub>
        </m:sSub>
        <m:r>
          <w:rPr>
            <w:rFonts w:ascii="Cambria Math" w:hAnsi="Cambria Math" w:cs="Arial"/>
          </w:rPr>
          <m:t>∼N(0,</m:t>
        </m:r>
        <m:sSubSup>
          <m:sSubSupPr>
            <m:ctrlPr>
              <w:rPr>
                <w:rFonts w:ascii="Cambria Math" w:hAnsi="Cambria Math" w:cs="Arial"/>
              </w:rPr>
            </m:ctrlPr>
          </m:sSubSupPr>
          <m:e>
            <m:r>
              <w:rPr>
                <w:rFonts w:ascii="Cambria Math" w:hAnsi="Cambria Math" w:cs="Arial"/>
              </w:rPr>
              <m:t>σ</m:t>
            </m:r>
          </m:e>
          <m:sub>
            <m:r>
              <w:rPr>
                <w:rFonts w:ascii="Cambria Math" w:hAnsi="Cambria Math" w:cs="Arial"/>
              </w:rPr>
              <m:t>ϵ</m:t>
            </m:r>
          </m:sub>
          <m:sup>
            <m:r>
              <w:rPr>
                <w:rFonts w:ascii="Cambria Math" w:hAnsi="Cambria Math" w:cs="Arial"/>
              </w:rPr>
              <m:t>2</m:t>
            </m:r>
          </m:sup>
        </m:sSubSup>
        <m:r>
          <w:rPr>
            <w:rFonts w:ascii="Cambria Math" w:hAnsi="Cambria Math" w:cs="Arial"/>
          </w:rPr>
          <m:t>)</m:t>
        </m:r>
      </m:oMath>
      <w:r w:rsidRPr="0023073D">
        <w:rPr>
          <w:rFonts w:ascii="Arial" w:hAnsi="Arial" w:cs="Arial"/>
        </w:rPr>
        <w:t>, capturing unobserved patient-specific factors affecting length of stay.</w:t>
      </w:r>
    </w:p>
    <w:p w:rsidR="009A29B4" w:rsidRPr="0023073D" w:rsidP="009A29B4" w14:paraId="664F207D" w14:textId="77777777">
      <w:pPr>
        <w:pStyle w:val="NormalWeb"/>
        <w:numPr>
          <w:ilvl w:val="0"/>
          <w:numId w:val="41"/>
        </w:numPr>
        <w:jc w:val="both"/>
        <w:rPr>
          <w:rFonts w:ascii="Arial" w:hAnsi="Arial" w:cs="Arial"/>
        </w:rPr>
      </w:pPr>
      <m:oMath>
        <m:r>
          <w:rPr>
            <w:rFonts w:ascii="Cambria Math" w:hAnsi="Cambria Math" w:cs="Arial"/>
          </w:rPr>
          <m:t>i</m:t>
        </m:r>
      </m:oMath>
      <w:r w:rsidRPr="0023073D">
        <w:rPr>
          <w:rFonts w:ascii="Arial" w:hAnsi="Arial" w:cs="Arial"/>
        </w:rPr>
        <w:t>: Index for individual patients.</w:t>
      </w:r>
    </w:p>
    <w:p w:rsidR="009A29B4" w:rsidRPr="0023073D" w:rsidP="009A29B4" w14:paraId="049E5B8B" w14:textId="77777777">
      <w:pPr>
        <w:pStyle w:val="NormalWeb"/>
        <w:numPr>
          <w:ilvl w:val="0"/>
          <w:numId w:val="41"/>
        </w:numPr>
        <w:jc w:val="both"/>
        <w:rPr>
          <w:rFonts w:ascii="Arial" w:hAnsi="Arial" w:cs="Arial"/>
        </w:rPr>
      </w:pPr>
      <m:oMath>
        <m:r>
          <w:rPr>
            <w:rFonts w:ascii="Cambria Math" w:hAnsi="Cambria Math" w:cs="Arial"/>
          </w:rPr>
          <m:t>j</m:t>
        </m:r>
      </m:oMath>
      <w:r w:rsidRPr="0023073D">
        <w:rPr>
          <w:rFonts w:ascii="Arial" w:hAnsi="Arial" w:cs="Arial"/>
        </w:rPr>
        <w:t>: Index for geographical areas, discharge ecosystems or care systems.</w:t>
      </w:r>
    </w:p>
    <w:p w:rsidR="009A29B4" w:rsidRPr="0023073D" w:rsidP="009A29B4" w14:paraId="4A2A87D6" w14:textId="77777777">
      <w:pPr>
        <w:spacing w:before="360" w:after="80"/>
        <w:jc w:val="both"/>
        <w:rPr>
          <w:rFonts w:ascii="Arial" w:hAnsi="Arial" w:cs="Arial"/>
          <w:lang w:val="en-GB"/>
        </w:rPr>
      </w:pPr>
      <w:r w:rsidRPr="0023073D">
        <w:rPr>
          <w:rFonts w:ascii="Arial" w:hAnsi="Arial" w:cs="Arial"/>
          <w:lang w:val="en-GB"/>
        </w:rPr>
        <w:t>To address endogeneity (</w:t>
      </w:r>
      <w:r>
        <w:rPr>
          <w:rFonts w:ascii="Arial" w:hAnsi="Arial" w:cs="Arial"/>
          <w:lang w:val="en-GB"/>
        </w:rPr>
        <w:t>e.g.</w:t>
      </w:r>
      <w:r w:rsidRPr="0023073D">
        <w:rPr>
          <w:rFonts w:ascii="Arial" w:hAnsi="Arial" w:cs="Arial"/>
          <w:lang w:val="en-GB"/>
        </w:rPr>
        <w:t xml:space="preserve"> areas with more blocking may have invested more in care), instrumental variables can be used. These </w:t>
      </w:r>
      <w:r>
        <w:rPr>
          <w:rFonts w:ascii="Arial" w:hAnsi="Arial" w:cs="Arial"/>
          <w:lang w:val="en-GB"/>
        </w:rPr>
        <w:t xml:space="preserve">variables </w:t>
      </w:r>
      <w:r w:rsidRPr="0023073D">
        <w:rPr>
          <w:rFonts w:ascii="Arial" w:hAnsi="Arial" w:cs="Arial"/>
          <w:lang w:val="en-GB"/>
        </w:rPr>
        <w:t>may include lagged values of bed supply or historical instruments, such as the presence of foundations or subsidies that created care homes in the past. The availability of Early Supported Discharge teams could be instrumented with hospital participation in national pilot projects.</w:t>
      </w:r>
    </w:p>
    <w:p w:rsidR="009A29B4" w:rsidP="009A29B4" w14:paraId="5CA9FA40" w14:textId="77777777">
      <w:pPr>
        <w:spacing w:before="360" w:after="80"/>
        <w:jc w:val="both"/>
        <w:rPr>
          <w:rFonts w:ascii="Arial" w:hAnsi="Arial" w:cs="Arial"/>
          <w:lang w:val="en-GB"/>
        </w:rPr>
      </w:pPr>
      <w:r w:rsidRPr="0023073D">
        <w:rPr>
          <w:rFonts w:ascii="Arial" w:hAnsi="Arial" w:cs="Arial"/>
          <w:lang w:val="en-GB"/>
        </w:rPr>
        <w:t xml:space="preserve">New variables and assumptions: </w:t>
      </w:r>
      <w:r>
        <w:rPr>
          <w:rFonts w:ascii="Arial" w:hAnsi="Arial" w:cs="Arial"/>
          <w:lang w:val="en-GB"/>
        </w:rPr>
        <w:t>t</w:t>
      </w:r>
      <w:r w:rsidRPr="0023073D">
        <w:rPr>
          <w:rFonts w:ascii="Arial" w:hAnsi="Arial" w:cs="Arial"/>
          <w:lang w:val="en-GB"/>
        </w:rPr>
        <w:t xml:space="preserve">he inclusion of variables such as quality of care (e.g., regulatory scores of care homes or the implementation of Comprehensive Geriatric Assessment, which has been shown to significantly reduce nursing home admissions; Veronese et al., 2022), the presence of early rehabilitation programmes, and the level of health–social care coordination will depend on data availability. These elements may improve explanatory power, but if reliable measures are lacking, they should be </w:t>
      </w:r>
      <w:r w:rsidRPr="0023073D">
        <w:rPr>
          <w:rFonts w:ascii="Arial" w:hAnsi="Arial" w:cs="Arial"/>
          <w:lang w:val="en-GB"/>
        </w:rPr>
        <w:t>treated as proxies or left for qualitative analysis. Where data are absent, the limitation will be stated explicitly, and alternative variables considered.</w:t>
      </w:r>
    </w:p>
    <w:p w:rsidR="009A29B4" w:rsidRPr="0023073D" w:rsidP="009A29B4" w14:paraId="7FF25D76" w14:textId="2FB9B0E2">
      <w:pPr>
        <w:pStyle w:val="Heading2"/>
        <w:jc w:val="both"/>
        <w:rPr>
          <w:rFonts w:ascii="Arial" w:hAnsi="Arial" w:cs="Arial"/>
          <w:lang w:val="en-GB"/>
        </w:rPr>
      </w:pPr>
      <w:r w:rsidRPr="0023073D">
        <w:rPr>
          <w:rFonts w:ascii="Arial" w:hAnsi="Arial" w:cs="Arial"/>
          <w:lang w:val="en-GB"/>
        </w:rPr>
        <w:t>5. Policy implications and conclusion</w:t>
      </w:r>
      <w:r w:rsidR="002601B6">
        <w:rPr>
          <w:rFonts w:ascii="Arial" w:hAnsi="Arial" w:cs="Arial"/>
          <w:lang w:val="en-GB"/>
        </w:rPr>
        <w:t>s</w:t>
      </w:r>
    </w:p>
    <w:p w:rsidR="009A29B4" w:rsidRPr="0023073D" w:rsidP="009A29B4" w14:paraId="0FF86D82" w14:textId="77777777">
      <w:pPr>
        <w:spacing w:before="360" w:after="80"/>
        <w:jc w:val="both"/>
        <w:rPr>
          <w:rFonts w:ascii="Arial" w:hAnsi="Arial" w:cs="Arial"/>
          <w:lang w:val="en-GB"/>
        </w:rPr>
      </w:pPr>
      <w:r w:rsidRPr="0023073D">
        <w:rPr>
          <w:rFonts w:ascii="Arial" w:hAnsi="Arial" w:cs="Arial"/>
          <w:lang w:val="en-GB"/>
        </w:rPr>
        <w:t xml:space="preserve">The proposed econometric model </w:t>
      </w:r>
      <w:r>
        <w:rPr>
          <w:rFonts w:ascii="Arial" w:hAnsi="Arial" w:cs="Arial"/>
          <w:lang w:val="en-GB"/>
        </w:rPr>
        <w:t xml:space="preserve">outlined above </w:t>
      </w:r>
      <w:r w:rsidRPr="0023073D">
        <w:rPr>
          <w:rFonts w:ascii="Arial" w:hAnsi="Arial" w:cs="Arial"/>
          <w:lang w:val="en-GB"/>
        </w:rPr>
        <w:t xml:space="preserve">provides a robust framework for understanding delayed discharge not merely as a clinical or capacity-driven issue but as a systemic failure of the hospital–social care interface. By integrating patient-level data with ecosystem-level constraints, this research directly supports the UK </w:t>
      </w:r>
      <w:r>
        <w:rPr>
          <w:rFonts w:ascii="Arial" w:hAnsi="Arial" w:cs="Arial"/>
          <w:lang w:val="en-GB"/>
        </w:rPr>
        <w:t>G</w:t>
      </w:r>
      <w:r w:rsidRPr="0023073D">
        <w:rPr>
          <w:rFonts w:ascii="Arial" w:hAnsi="Arial" w:cs="Arial"/>
          <w:lang w:val="en-GB"/>
        </w:rPr>
        <w:t xml:space="preserve">overnment’s current </w:t>
      </w:r>
      <w:r>
        <w:rPr>
          <w:rFonts w:ascii="Arial" w:hAnsi="Arial" w:cs="Arial"/>
          <w:lang w:val="en-GB"/>
        </w:rPr>
        <w:t>‘</w:t>
      </w:r>
      <w:r w:rsidRPr="0023073D">
        <w:rPr>
          <w:rFonts w:ascii="Arial" w:hAnsi="Arial" w:cs="Arial"/>
          <w:lang w:val="en-GB"/>
        </w:rPr>
        <w:t>three shifts</w:t>
      </w:r>
      <w:r>
        <w:rPr>
          <w:rFonts w:ascii="Arial" w:hAnsi="Arial" w:cs="Arial"/>
          <w:lang w:val="en-GB"/>
        </w:rPr>
        <w:t>’</w:t>
      </w:r>
      <w:r w:rsidRPr="0023073D">
        <w:rPr>
          <w:rFonts w:ascii="Arial" w:hAnsi="Arial" w:cs="Arial"/>
          <w:lang w:val="en-GB"/>
        </w:rPr>
        <w:t xml:space="preserve"> strategy</w:t>
      </w:r>
      <w:r>
        <w:rPr>
          <w:rFonts w:ascii="Arial" w:hAnsi="Arial" w:cs="Arial"/>
          <w:lang w:val="en-GB"/>
        </w:rPr>
        <w:t xml:space="preserve"> for the NHS</w:t>
      </w:r>
      <w:r w:rsidRPr="0023073D">
        <w:rPr>
          <w:rFonts w:ascii="Arial" w:hAnsi="Arial" w:cs="Arial"/>
          <w:lang w:val="en-GB"/>
        </w:rPr>
        <w:t>, providing the evidence base needed to successfully transition care from acute hospital settings to the community</w:t>
      </w:r>
      <w:r>
        <w:rPr>
          <w:rFonts w:ascii="Arial" w:hAnsi="Arial" w:cs="Arial"/>
          <w:lang w:val="en-GB"/>
        </w:rPr>
        <w:t xml:space="preserve"> (</w:t>
      </w:r>
      <w:r w:rsidRPr="00C362FA">
        <w:rPr>
          <w:rFonts w:ascii="Arial" w:hAnsi="Arial" w:cs="Arial"/>
          <w:lang w:val="en-GB"/>
        </w:rPr>
        <w:t>DHSC</w:t>
      </w:r>
      <w:r>
        <w:rPr>
          <w:rFonts w:ascii="Arial" w:hAnsi="Arial" w:cs="Arial"/>
          <w:lang w:val="en-GB"/>
        </w:rPr>
        <w:t xml:space="preserve"> et al., 2025)</w:t>
      </w:r>
      <w:r w:rsidRPr="0023073D">
        <w:rPr>
          <w:rFonts w:ascii="Arial" w:hAnsi="Arial" w:cs="Arial"/>
          <w:lang w:val="en-GB"/>
        </w:rPr>
        <w:t xml:space="preserve">. Specifically, the model moves beyond the traditional focus on bed numbers to address the </w:t>
      </w:r>
      <w:r>
        <w:rPr>
          <w:rFonts w:ascii="Arial" w:hAnsi="Arial" w:cs="Arial"/>
          <w:lang w:val="en-GB"/>
        </w:rPr>
        <w:t>‘</w:t>
      </w:r>
      <w:r w:rsidRPr="0023073D">
        <w:rPr>
          <w:rFonts w:ascii="Arial" w:hAnsi="Arial" w:cs="Arial"/>
          <w:lang w:val="en-GB"/>
        </w:rPr>
        <w:t>market fragility</w:t>
      </w:r>
      <w:r>
        <w:rPr>
          <w:rFonts w:ascii="Arial" w:hAnsi="Arial" w:cs="Arial"/>
          <w:lang w:val="en-GB"/>
        </w:rPr>
        <w:t>’</w:t>
      </w:r>
      <w:r w:rsidRPr="0023073D">
        <w:rPr>
          <w:rFonts w:ascii="Arial" w:hAnsi="Arial" w:cs="Arial"/>
          <w:lang w:val="en-GB"/>
        </w:rPr>
        <w:t xml:space="preserve"> identified by stakeholders. By quantifying the impact of contractual rigidities</w:t>
      </w:r>
      <w:r>
        <w:rPr>
          <w:rFonts w:ascii="Arial" w:hAnsi="Arial" w:cs="Arial"/>
          <w:lang w:val="en-GB"/>
        </w:rPr>
        <w:t xml:space="preserve"> – </w:t>
      </w:r>
      <w:r w:rsidRPr="0023073D">
        <w:rPr>
          <w:rFonts w:ascii="Arial" w:hAnsi="Arial" w:cs="Arial"/>
          <w:lang w:val="en-GB"/>
        </w:rPr>
        <w:t>such as the widespread use of block contracts</w:t>
      </w:r>
      <w:r>
        <w:rPr>
          <w:rFonts w:ascii="Arial" w:hAnsi="Arial" w:cs="Arial"/>
          <w:lang w:val="en-GB"/>
        </w:rPr>
        <w:t xml:space="preserve"> – and </w:t>
      </w:r>
      <w:r w:rsidRPr="0023073D">
        <w:rPr>
          <w:rFonts w:ascii="Arial" w:hAnsi="Arial" w:cs="Arial"/>
          <w:lang w:val="en-GB"/>
        </w:rPr>
        <w:t xml:space="preserve">the financial gap between local authority fees and sustainable care costs, the model allows Integrated Care Boards (ICBs) to identify exactly where system friction occurs. This </w:t>
      </w:r>
      <w:r>
        <w:rPr>
          <w:rFonts w:ascii="Arial" w:hAnsi="Arial" w:cs="Arial"/>
          <w:lang w:val="en-GB"/>
        </w:rPr>
        <w:t xml:space="preserve">approach </w:t>
      </w:r>
      <w:r w:rsidRPr="0023073D">
        <w:rPr>
          <w:rFonts w:ascii="Arial" w:hAnsi="Arial" w:cs="Arial"/>
          <w:lang w:val="en-GB"/>
        </w:rPr>
        <w:t xml:space="preserve">is particularly critical for stroke pathways, where reducing the </w:t>
      </w:r>
      <w:r>
        <w:rPr>
          <w:rFonts w:ascii="Arial" w:hAnsi="Arial" w:cs="Arial"/>
          <w:lang w:val="en-GB"/>
        </w:rPr>
        <w:t>‘</w:t>
      </w:r>
      <w:r w:rsidRPr="0023073D">
        <w:rPr>
          <w:rFonts w:ascii="Arial" w:hAnsi="Arial" w:cs="Arial"/>
          <w:lang w:val="en-GB"/>
        </w:rPr>
        <w:t>no longer meeting criteria to reside</w:t>
      </w:r>
      <w:r>
        <w:rPr>
          <w:rFonts w:ascii="Arial" w:hAnsi="Arial" w:cs="Arial"/>
          <w:lang w:val="en-GB"/>
        </w:rPr>
        <w:t>’</w:t>
      </w:r>
      <w:r w:rsidRPr="0023073D">
        <w:rPr>
          <w:rFonts w:ascii="Arial" w:hAnsi="Arial" w:cs="Arial"/>
          <w:lang w:val="en-GB"/>
        </w:rPr>
        <w:t xml:space="preserve"> period not only protects elective recovery but also prevents the functional deconditioning that threatens long-term patient independence.</w:t>
      </w:r>
    </w:p>
    <w:p w:rsidR="009A29B4" w:rsidP="009A29B4" w14:paraId="488DCE98" w14:textId="77777777">
      <w:pPr>
        <w:spacing w:before="360" w:after="80"/>
        <w:jc w:val="both"/>
        <w:rPr>
          <w:rFonts w:ascii="Arial" w:hAnsi="Arial" w:cs="Arial"/>
          <w:lang w:val="en-GB"/>
        </w:rPr>
      </w:pPr>
      <w:r w:rsidRPr="0023073D">
        <w:rPr>
          <w:rFonts w:ascii="Arial" w:hAnsi="Arial" w:cs="Arial"/>
          <w:lang w:val="en-GB"/>
        </w:rPr>
        <w:t>Furthermore, this work demonstrates a clear path toward significant cost</w:t>
      </w:r>
      <w:r>
        <w:rPr>
          <w:rFonts w:ascii="Arial" w:hAnsi="Arial" w:cs="Arial"/>
          <w:lang w:val="en-GB"/>
        </w:rPr>
        <w:t xml:space="preserve"> </w:t>
      </w:r>
      <w:r w:rsidRPr="0023073D">
        <w:rPr>
          <w:rFonts w:ascii="Arial" w:hAnsi="Arial" w:cs="Arial"/>
          <w:lang w:val="en-GB"/>
        </w:rPr>
        <w:t xml:space="preserve">savings and operational efficiency. By proving which configurations of social care and coordination hubs are most effective, the model offers the </w:t>
      </w:r>
      <w:r>
        <w:rPr>
          <w:rFonts w:ascii="Arial" w:hAnsi="Arial" w:cs="Arial"/>
          <w:lang w:val="en-GB"/>
        </w:rPr>
        <w:t xml:space="preserve">UK </w:t>
      </w:r>
      <w:r w:rsidRPr="0023073D">
        <w:rPr>
          <w:rFonts w:ascii="Arial" w:hAnsi="Arial" w:cs="Arial"/>
          <w:lang w:val="en-GB"/>
        </w:rPr>
        <w:t>Treasury and the NHS a tool to optimise resource allocation in a way that prioritises both fiscal responsibility and patient safety. These insights form the core of our planned application</w:t>
      </w:r>
      <w:r>
        <w:rPr>
          <w:rFonts w:ascii="Arial" w:hAnsi="Arial" w:cs="Arial"/>
          <w:lang w:val="en-GB"/>
        </w:rPr>
        <w:t xml:space="preserve"> for further funding</w:t>
      </w:r>
      <w:r w:rsidRPr="0023073D">
        <w:rPr>
          <w:rFonts w:ascii="Arial" w:hAnsi="Arial" w:cs="Arial"/>
          <w:lang w:val="en-GB"/>
        </w:rPr>
        <w:t xml:space="preserve">, which will use pilot data to validate these findings. Through close collaboration with partners </w:t>
      </w:r>
      <w:r>
        <w:rPr>
          <w:rFonts w:ascii="Arial" w:hAnsi="Arial" w:cs="Arial"/>
          <w:lang w:val="en-GB"/>
        </w:rPr>
        <w:t>such as</w:t>
      </w:r>
      <w:r w:rsidRPr="0023073D">
        <w:rPr>
          <w:rFonts w:ascii="Arial" w:hAnsi="Arial" w:cs="Arial"/>
          <w:lang w:val="en-GB"/>
        </w:rPr>
        <w:t xml:space="preserve"> Care England</w:t>
      </w:r>
      <w:r>
        <w:rPr>
          <w:rFonts w:ascii="Arial" w:hAnsi="Arial" w:cs="Arial"/>
          <w:lang w:val="en-GB"/>
        </w:rPr>
        <w:t xml:space="preserve">, Scottish Care </w:t>
      </w:r>
      <w:r w:rsidRPr="0023073D">
        <w:rPr>
          <w:rFonts w:ascii="Arial" w:hAnsi="Arial" w:cs="Arial"/>
          <w:lang w:val="en-GB"/>
        </w:rPr>
        <w:t xml:space="preserve">and the Homecare Association, we ensure that the resulting recommendations are grounded in the practical realities of the </w:t>
      </w:r>
      <w:r>
        <w:rPr>
          <w:rFonts w:ascii="Arial" w:hAnsi="Arial" w:cs="Arial"/>
          <w:lang w:val="en-GB"/>
        </w:rPr>
        <w:t>adult social care</w:t>
      </w:r>
      <w:r w:rsidRPr="0023073D">
        <w:rPr>
          <w:rFonts w:ascii="Arial" w:hAnsi="Arial" w:cs="Arial"/>
          <w:lang w:val="en-GB"/>
        </w:rPr>
        <w:t xml:space="preserve"> market. Ultimately, the ability to deconstruct the complex drivers of </w:t>
      </w:r>
      <w:r>
        <w:rPr>
          <w:rFonts w:ascii="Arial" w:hAnsi="Arial" w:cs="Arial"/>
          <w:lang w:val="en-GB"/>
        </w:rPr>
        <w:t>‘</w:t>
      </w:r>
      <w:r w:rsidRPr="0023073D">
        <w:rPr>
          <w:rFonts w:ascii="Arial" w:hAnsi="Arial" w:cs="Arial"/>
          <w:lang w:val="en-GB"/>
        </w:rPr>
        <w:t>bed blocking</w:t>
      </w:r>
      <w:r>
        <w:rPr>
          <w:rFonts w:ascii="Arial" w:hAnsi="Arial" w:cs="Arial"/>
          <w:lang w:val="en-GB"/>
        </w:rPr>
        <w:t>’</w:t>
      </w:r>
      <w:r w:rsidRPr="0023073D">
        <w:rPr>
          <w:rFonts w:ascii="Arial" w:hAnsi="Arial" w:cs="Arial"/>
          <w:lang w:val="en-GB"/>
        </w:rPr>
        <w:t xml:space="preserve"> through this multilevel approach remains the most critical lever for creating a resilient, integrated health and care system that meets the needs of an ageing population.</w:t>
      </w:r>
    </w:p>
    <w:p w:rsidR="009A29B4" w:rsidRPr="00A3146B" w:rsidP="009A29B4" w14:paraId="033B8A2B" w14:textId="77777777">
      <w:pPr>
        <w:pStyle w:val="Heading2"/>
        <w:jc w:val="both"/>
        <w:rPr>
          <w:rFonts w:ascii="Arial" w:hAnsi="Arial" w:cs="Arial"/>
          <w:lang w:val="en-GB"/>
        </w:rPr>
      </w:pPr>
      <w:r w:rsidRPr="00A3146B">
        <w:rPr>
          <w:rFonts w:ascii="Arial" w:hAnsi="Arial" w:cs="Arial"/>
          <w:lang w:val="en-GB"/>
        </w:rPr>
        <w:t>6. Next steps</w:t>
      </w:r>
    </w:p>
    <w:p w:rsidR="009A29B4" w:rsidP="009A29B4" w14:paraId="1E304B25" w14:textId="77777777">
      <w:pPr>
        <w:spacing w:before="360" w:after="80"/>
        <w:jc w:val="both"/>
        <w:rPr>
          <w:rFonts w:ascii="Arial" w:hAnsi="Arial" w:cs="Arial"/>
          <w:lang w:val="en-GB"/>
        </w:rPr>
      </w:pPr>
      <w:r>
        <w:rPr>
          <w:rFonts w:ascii="Arial" w:hAnsi="Arial" w:cs="Arial"/>
          <w:lang w:val="en-GB"/>
        </w:rPr>
        <w:t xml:space="preserve">This project has delivered its stated aim of developing a </w:t>
      </w:r>
      <w:r w:rsidRPr="002A749E">
        <w:rPr>
          <w:rFonts w:ascii="Arial" w:hAnsi="Arial" w:cs="Arial"/>
          <w:lang w:val="en-GB"/>
        </w:rPr>
        <w:t>novel multi</w:t>
      </w:r>
      <w:r>
        <w:rPr>
          <w:rFonts w:ascii="Arial" w:hAnsi="Arial" w:cs="Arial"/>
          <w:lang w:val="en-GB"/>
        </w:rPr>
        <w:t>-</w:t>
      </w:r>
      <w:r w:rsidRPr="002A749E">
        <w:rPr>
          <w:rFonts w:ascii="Arial" w:hAnsi="Arial" w:cs="Arial"/>
          <w:lang w:val="en-GB"/>
        </w:rPr>
        <w:t>level econometric model to quantify the drivers of delay in patient bed blocking</w:t>
      </w:r>
      <w:r>
        <w:rPr>
          <w:rFonts w:ascii="Arial" w:hAnsi="Arial" w:cs="Arial"/>
          <w:lang w:val="en-GB"/>
        </w:rPr>
        <w:t xml:space="preserve">. Its purpose is to analytically operationalise and help improve the flow of patients from </w:t>
      </w:r>
      <w:r w:rsidRPr="002A749E">
        <w:rPr>
          <w:rFonts w:ascii="Arial" w:hAnsi="Arial" w:cs="Arial"/>
          <w:lang w:val="en-GB"/>
        </w:rPr>
        <w:t>hospital into adult social care, using stroke pathways as a critical test case</w:t>
      </w:r>
      <w:r>
        <w:rPr>
          <w:rFonts w:ascii="Arial" w:hAnsi="Arial" w:cs="Arial"/>
          <w:lang w:val="en-GB"/>
        </w:rPr>
        <w:t xml:space="preserve"> model.</w:t>
      </w:r>
      <w:r w:rsidRPr="002A749E">
        <w:rPr>
          <w:rFonts w:ascii="Arial" w:hAnsi="Arial" w:cs="Arial"/>
          <w:lang w:val="en-GB"/>
        </w:rPr>
        <w:t xml:space="preserve"> </w:t>
      </w:r>
      <w:r>
        <w:rPr>
          <w:rFonts w:ascii="Arial" w:hAnsi="Arial" w:cs="Arial"/>
          <w:lang w:val="en-GB"/>
        </w:rPr>
        <w:t>There are two obvious possible next steps.</w:t>
      </w:r>
    </w:p>
    <w:p w:rsidR="009A29B4" w:rsidP="009A29B4" w14:paraId="3DBF94C6" w14:textId="77777777">
      <w:pPr>
        <w:spacing w:before="360" w:after="80"/>
        <w:jc w:val="both"/>
        <w:rPr>
          <w:rFonts w:ascii="Arial" w:hAnsi="Arial" w:cs="Arial"/>
          <w:lang w:val="en-GB"/>
        </w:rPr>
      </w:pPr>
      <w:r>
        <w:rPr>
          <w:rFonts w:ascii="Arial" w:hAnsi="Arial" w:cs="Arial"/>
          <w:lang w:val="en-GB"/>
        </w:rPr>
        <w:t xml:space="preserve">First a new, reasonably small and short ‘next phase’ research project is now required to test the model using real hospital and adult social care data. A stroke ward within a hospital and its surrounding adult social care provider ecosystem have been identified in Scotland for this purpose and, after discussions, participation in this suggested next </w:t>
      </w:r>
      <w:r>
        <w:rPr>
          <w:rFonts w:ascii="Arial" w:hAnsi="Arial" w:cs="Arial"/>
          <w:lang w:val="en-GB"/>
        </w:rPr>
        <w:t>phase of the research is anticipated. Further, but not large, funding is required to support this next-phase project, and which would involve the current research team.</w:t>
      </w:r>
    </w:p>
    <w:p w:rsidR="009A29B4" w:rsidP="009A29B4" w14:paraId="79BB4199" w14:textId="77777777">
      <w:pPr>
        <w:spacing w:before="360" w:after="80"/>
        <w:jc w:val="both"/>
        <w:rPr>
          <w:rFonts w:ascii="Arial" w:hAnsi="Arial" w:cs="Arial"/>
          <w:lang w:val="en-GB"/>
        </w:rPr>
      </w:pPr>
      <w:r>
        <w:rPr>
          <w:rFonts w:ascii="Arial" w:hAnsi="Arial" w:cs="Arial"/>
          <w:lang w:val="en-GB"/>
        </w:rPr>
        <w:t>Second, if the test demonstrates the utility of the model, the obvious further phase would be to the develop and run a pilot based in its implementation. This pilot would require co-development, co-implementation and co-evaluation involving all stakeholders: patients, medical and adult social care providers and commissioners, a health board/trust (depending on location) and government support. This pilot would require expansion of the current research team to augment it with implementation science and practice experts etc. The funding need would therefore be larger than for the first two phases.</w:t>
      </w:r>
    </w:p>
    <w:p w:rsidR="009A29B4" w:rsidRPr="00A3146B" w:rsidP="009A29B4" w14:paraId="1E57D38B" w14:textId="77777777">
      <w:pPr>
        <w:pStyle w:val="Heading2"/>
        <w:jc w:val="both"/>
        <w:rPr>
          <w:rFonts w:ascii="Arial" w:hAnsi="Arial" w:cs="Arial"/>
          <w:lang w:val="en-GB"/>
        </w:rPr>
      </w:pPr>
      <w:r w:rsidRPr="00A3146B">
        <w:rPr>
          <w:rFonts w:ascii="Arial" w:hAnsi="Arial" w:cs="Arial"/>
          <w:lang w:val="en-GB"/>
        </w:rPr>
        <w:t>7. References</w:t>
      </w:r>
    </w:p>
    <w:p w:rsidR="009A29B4" w:rsidRPr="0023073D" w:rsidP="009A29B4" w14:paraId="2A5B4E38" w14:textId="77777777">
      <w:pPr>
        <w:spacing w:before="100" w:beforeAutospacing="1" w:after="100" w:afterAutospacing="1"/>
        <w:jc w:val="both"/>
        <w:rPr>
          <w:rFonts w:ascii="Arial" w:hAnsi="Arial" w:cs="Arial"/>
          <w:lang w:val="en-GB"/>
        </w:rPr>
      </w:pPr>
      <w:r w:rsidRPr="00A3146B">
        <w:rPr>
          <w:rFonts w:ascii="Arial" w:hAnsi="Arial" w:cs="Arial"/>
          <w:lang w:val="en-GB"/>
        </w:rPr>
        <w:t xml:space="preserve">Allan, S., Roland, D., </w:t>
      </w:r>
      <w:r w:rsidRPr="00A3146B">
        <w:rPr>
          <w:rFonts w:ascii="Arial" w:hAnsi="Arial" w:cs="Arial"/>
          <w:lang w:val="en-GB"/>
        </w:rPr>
        <w:t>Malisauskaite</w:t>
      </w:r>
      <w:r w:rsidRPr="00A3146B">
        <w:rPr>
          <w:rFonts w:ascii="Arial" w:hAnsi="Arial" w:cs="Arial"/>
          <w:lang w:val="en-GB"/>
        </w:rPr>
        <w:t xml:space="preserve">, G., Jones, K., Baxter, K., Gridley, K., &amp; Birks, Y. (2021). </w:t>
      </w:r>
      <w:r w:rsidRPr="0023073D">
        <w:rPr>
          <w:rFonts w:ascii="Arial" w:hAnsi="Arial" w:cs="Arial"/>
          <w:lang w:val="en-GB"/>
        </w:rPr>
        <w:t xml:space="preserve">The influence of home care supply on delayed discharges from hospital in England. </w:t>
      </w:r>
      <w:r w:rsidRPr="0023073D">
        <w:rPr>
          <w:rFonts w:ascii="Arial" w:hAnsi="Arial" w:cs="Arial"/>
          <w:i/>
          <w:iCs/>
          <w:lang w:val="en-GB"/>
        </w:rPr>
        <w:t>BMC Health Services Research, 21</w:t>
      </w:r>
      <w:r w:rsidRPr="0023073D">
        <w:rPr>
          <w:rFonts w:ascii="Arial" w:hAnsi="Arial" w:cs="Arial"/>
          <w:lang w:val="en-GB"/>
        </w:rPr>
        <w:t xml:space="preserve">(1), 1297. </w:t>
      </w:r>
      <w:hyperlink r:id="rId5" w:tgtFrame="_new" w:history="1">
        <w:r w:rsidRPr="0023073D">
          <w:rPr>
            <w:rFonts w:ascii="Arial" w:hAnsi="Arial" w:cs="Arial"/>
            <w:color w:val="0000FF"/>
            <w:u w:val="single"/>
            <w:lang w:val="en-GB"/>
          </w:rPr>
          <w:t>https://doi.org/10.1186/s12913-021-07206-5</w:t>
        </w:r>
      </w:hyperlink>
    </w:p>
    <w:p w:rsidR="009A29B4" w:rsidRPr="0002741C" w:rsidP="009A29B4" w14:paraId="0BD48234" w14:textId="77777777">
      <w:pPr>
        <w:spacing w:before="100" w:beforeAutospacing="1" w:after="100" w:afterAutospacing="1"/>
        <w:rPr>
          <w:rFonts w:ascii="Arial" w:hAnsi="Arial" w:cs="Arial"/>
        </w:rPr>
      </w:pPr>
      <w:r w:rsidRPr="008709C4">
        <w:rPr>
          <w:rFonts w:ascii="Arial" w:hAnsi="Arial" w:cs="Arial"/>
          <w:lang w:val="en-GB"/>
        </w:rPr>
        <w:t xml:space="preserve">Care Quality Commission. (2025). </w:t>
      </w:r>
      <w:r w:rsidRPr="008709C4">
        <w:rPr>
          <w:rFonts w:ascii="Arial" w:hAnsi="Arial" w:cs="Arial"/>
          <w:i/>
          <w:iCs/>
          <w:lang w:val="en-GB"/>
        </w:rPr>
        <w:t>The state of health care and adult social care in England 2024/2</w:t>
      </w:r>
      <w:r>
        <w:rPr>
          <w:rFonts w:ascii="Arial" w:hAnsi="Arial" w:cs="Arial"/>
          <w:i/>
          <w:iCs/>
          <w:lang w:val="en-GB"/>
        </w:rPr>
        <w:t>5</w:t>
      </w:r>
      <w:r w:rsidRPr="008709C4">
        <w:rPr>
          <w:rFonts w:ascii="Arial" w:hAnsi="Arial" w:cs="Arial"/>
          <w:lang w:val="en-GB"/>
        </w:rPr>
        <w:t xml:space="preserve">. </w:t>
      </w:r>
      <w:hyperlink r:id="rId6" w:tgtFrame="_new" w:history="1">
        <w:r w:rsidRPr="0002741C">
          <w:rPr>
            <w:rStyle w:val="Hyperlink"/>
            <w:rFonts w:ascii="Arial" w:hAnsi="Arial" w:cs="Arial"/>
          </w:rPr>
          <w:t>https://assets.publishing.service.gov.uk/media/68fa3b4fe200d653d8b63735/care-quality-commission-state-of-health-care-and-adult-social-care-England-2024-2025.pdf</w:t>
        </w:r>
      </w:hyperlink>
    </w:p>
    <w:p w:rsidR="009A29B4" w:rsidRPr="0023073D" w:rsidP="009A29B4" w14:paraId="7293BFC8" w14:textId="77777777">
      <w:pPr>
        <w:spacing w:before="100" w:beforeAutospacing="1" w:after="100" w:afterAutospacing="1"/>
        <w:jc w:val="both"/>
        <w:rPr>
          <w:rFonts w:ascii="Arial" w:hAnsi="Arial" w:cs="Arial"/>
        </w:rPr>
      </w:pPr>
      <w:r w:rsidRPr="0023073D">
        <w:rPr>
          <w:rFonts w:ascii="Arial" w:hAnsi="Arial" w:cs="Arial"/>
          <w:lang w:val="en-GB"/>
        </w:rPr>
        <w:t xml:space="preserve">Cheshire and Merseyside Integrated Care System. (2024). </w:t>
      </w:r>
      <w:r w:rsidRPr="0023073D">
        <w:rPr>
          <w:rFonts w:ascii="Arial" w:hAnsi="Arial" w:cs="Arial"/>
          <w:i/>
          <w:iCs/>
          <w:lang w:val="en-GB"/>
        </w:rPr>
        <w:t>A person-centred, partnership approach to hospital discharge in Sefton</w:t>
      </w:r>
      <w:r w:rsidRPr="0023073D">
        <w:rPr>
          <w:rFonts w:ascii="Arial" w:hAnsi="Arial" w:cs="Arial"/>
          <w:lang w:val="en-GB"/>
        </w:rPr>
        <w:t xml:space="preserve">. </w:t>
      </w:r>
      <w:hyperlink r:id="rId7" w:tgtFrame="_new" w:history="1">
        <w:r w:rsidRPr="0023073D">
          <w:rPr>
            <w:rFonts w:ascii="Arial" w:hAnsi="Arial" w:cs="Arial"/>
            <w:color w:val="0000FF"/>
            <w:u w:val="single"/>
          </w:rPr>
          <w:t>https://www.cheshireandmerseyside.nhs.uk/posts/a-person-centred-partnership-approach-to-hospital-discharge-in-sefton/</w:t>
        </w:r>
      </w:hyperlink>
    </w:p>
    <w:p w:rsidR="009A29B4" w:rsidRPr="0023073D" w:rsidP="009A29B4" w14:paraId="29315305"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Coleman, E. A., Parry, C., Chalmers, S., &amp; Min, S.-J. (2006). The care transitions intervention: Results of a randomised controlled trial. </w:t>
      </w:r>
      <w:r w:rsidRPr="0023073D">
        <w:rPr>
          <w:rFonts w:ascii="Arial" w:hAnsi="Arial" w:cs="Arial"/>
          <w:i/>
          <w:iCs/>
          <w:lang w:val="en-GB"/>
        </w:rPr>
        <w:t>Archives of Internal Medicine, 166</w:t>
      </w:r>
      <w:r w:rsidRPr="0023073D">
        <w:rPr>
          <w:rFonts w:ascii="Arial" w:hAnsi="Arial" w:cs="Arial"/>
          <w:lang w:val="en-GB"/>
        </w:rPr>
        <w:t xml:space="preserve">(17), 1822–1828. </w:t>
      </w:r>
      <w:hyperlink r:id="rId8" w:tgtFrame="_new" w:history="1">
        <w:r w:rsidRPr="0023073D">
          <w:rPr>
            <w:rFonts w:ascii="Arial" w:hAnsi="Arial" w:cs="Arial"/>
            <w:color w:val="0000FF"/>
            <w:u w:val="single"/>
            <w:lang w:val="en-GB"/>
          </w:rPr>
          <w:t>https://doi.org/10.1001/archinte.166.17.1822</w:t>
        </w:r>
      </w:hyperlink>
    </w:p>
    <w:p w:rsidR="009A29B4" w:rsidRPr="0023073D" w:rsidP="009A29B4" w14:paraId="644AA7ED" w14:textId="77777777">
      <w:pPr>
        <w:spacing w:before="360" w:after="80"/>
        <w:jc w:val="both"/>
        <w:rPr>
          <w:rFonts w:ascii="Arial" w:hAnsi="Arial" w:cs="Arial"/>
          <w:lang w:val="en-GB"/>
        </w:rPr>
      </w:pPr>
      <w:r w:rsidRPr="00A3146B">
        <w:rPr>
          <w:rFonts w:ascii="Arial" w:hAnsi="Arial" w:cs="Arial"/>
          <w:lang w:val="en-GB"/>
        </w:rPr>
        <w:t xml:space="preserve">Corona-Lobos, Y., &amp; </w:t>
      </w:r>
      <w:r w:rsidRPr="00A3146B">
        <w:rPr>
          <w:rFonts w:ascii="Arial" w:hAnsi="Arial" w:cs="Arial"/>
          <w:lang w:val="en-GB"/>
        </w:rPr>
        <w:t>Bugarín</w:t>
      </w:r>
      <w:r w:rsidRPr="00A3146B">
        <w:rPr>
          <w:rFonts w:ascii="Arial" w:hAnsi="Arial" w:cs="Arial"/>
          <w:lang w:val="en-GB"/>
        </w:rPr>
        <w:t xml:space="preserve">-González, R. (2018). </w:t>
      </w:r>
      <w:r w:rsidRPr="0023073D">
        <w:rPr>
          <w:rFonts w:ascii="Arial" w:hAnsi="Arial" w:cs="Arial"/>
          <w:lang w:val="en-GB"/>
        </w:rPr>
        <w:t xml:space="preserve">Psychosocial factors associated with hospital-to-home transitions of older adults: An integrative review. </w:t>
      </w:r>
      <w:r w:rsidRPr="0023073D">
        <w:rPr>
          <w:rFonts w:ascii="Arial" w:hAnsi="Arial" w:cs="Arial"/>
          <w:i/>
          <w:iCs/>
          <w:lang w:val="en-GB"/>
        </w:rPr>
        <w:t>Journal of Nursing &amp; Care, 7</w:t>
      </w:r>
      <w:r w:rsidRPr="0023073D">
        <w:rPr>
          <w:rFonts w:ascii="Arial" w:hAnsi="Arial" w:cs="Arial"/>
          <w:lang w:val="en-GB"/>
        </w:rPr>
        <w:t xml:space="preserve">(1), 1000456. </w:t>
      </w:r>
      <w:hyperlink r:id="rId9" w:tgtFrame="_new" w:history="1">
        <w:r w:rsidRPr="0023073D">
          <w:rPr>
            <w:rStyle w:val="Hyperlink"/>
            <w:rFonts w:ascii="Arial" w:hAnsi="Arial" w:cs="Arial"/>
            <w:lang w:val="en-GB"/>
          </w:rPr>
          <w:t>https://pdfs.semanticscholar.org/ecbd/77df5f2ca0d4074f5e5a5a5d318b04e5d177.pdf</w:t>
        </w:r>
      </w:hyperlink>
    </w:p>
    <w:p w:rsidR="009A29B4" w:rsidP="009A29B4" w14:paraId="1F192962" w14:textId="77777777">
      <w:pPr>
        <w:spacing w:before="100" w:beforeAutospacing="1" w:after="100" w:afterAutospacing="1"/>
        <w:jc w:val="both"/>
      </w:pPr>
      <w:r w:rsidRPr="0023073D">
        <w:rPr>
          <w:rFonts w:ascii="Arial" w:hAnsi="Arial" w:cs="Arial"/>
          <w:lang w:val="en-GB"/>
        </w:rPr>
        <w:t>Department of Health and Social Care</w:t>
      </w:r>
      <w:r>
        <w:rPr>
          <w:rFonts w:ascii="Arial" w:hAnsi="Arial" w:cs="Arial"/>
          <w:lang w:val="en-GB"/>
        </w:rPr>
        <w:t xml:space="preserve"> (DHSC)</w:t>
      </w:r>
      <w:r w:rsidRPr="0023073D">
        <w:rPr>
          <w:rFonts w:ascii="Arial" w:hAnsi="Arial" w:cs="Arial"/>
          <w:lang w:val="en-GB"/>
        </w:rPr>
        <w:t xml:space="preserve">, &amp; NHS England. (2024). </w:t>
      </w:r>
      <w:r w:rsidRPr="0023073D">
        <w:rPr>
          <w:rFonts w:ascii="Arial" w:hAnsi="Arial" w:cs="Arial"/>
          <w:i/>
          <w:iCs/>
          <w:lang w:val="en-GB"/>
        </w:rPr>
        <w:t>Hospital discharge and community support guidance</w:t>
      </w:r>
      <w:r w:rsidRPr="0023073D">
        <w:rPr>
          <w:rFonts w:ascii="Arial" w:hAnsi="Arial" w:cs="Arial"/>
          <w:lang w:val="en-GB"/>
        </w:rPr>
        <w:t xml:space="preserve">. </w:t>
      </w:r>
      <w:r w:rsidRPr="0002741C">
        <w:rPr>
          <w:rFonts w:ascii="Arial" w:hAnsi="Arial" w:cs="Arial"/>
          <w:lang w:val="en-GB"/>
        </w:rPr>
        <w:t xml:space="preserve"> </w:t>
      </w:r>
      <w:hyperlink r:id="rId10" w:tgtFrame="_new" w:history="1">
        <w:r w:rsidRPr="0002741C">
          <w:rPr>
            <w:rFonts w:ascii="Arial" w:hAnsi="Arial" w:cs="Arial"/>
            <w:color w:val="0000FF"/>
            <w:u w:val="single"/>
          </w:rPr>
          <w:t>https://www.gov.uk/government/publications/hospital-discharge-and-community-support-guidance</w:t>
        </w:r>
      </w:hyperlink>
    </w:p>
    <w:p w:rsidR="009A29B4" w:rsidRPr="0002741C" w:rsidP="009A29B4" w14:paraId="235558DD" w14:textId="77777777">
      <w:pPr>
        <w:spacing w:before="100" w:beforeAutospacing="1" w:after="100" w:afterAutospacing="1"/>
        <w:jc w:val="both"/>
        <w:rPr>
          <w:rFonts w:ascii="Arial" w:hAnsi="Arial" w:cs="Arial"/>
          <w:lang w:val="en-GB"/>
        </w:rPr>
      </w:pPr>
      <w:r w:rsidRPr="008709C4">
        <w:rPr>
          <w:rFonts w:ascii="Arial" w:hAnsi="Arial" w:cs="Arial"/>
          <w:lang w:val="en-GB"/>
        </w:rPr>
        <w:t>Department of Health and Social Care</w:t>
      </w:r>
      <w:r>
        <w:rPr>
          <w:rFonts w:ascii="Arial" w:hAnsi="Arial" w:cs="Arial"/>
          <w:lang w:val="en-GB"/>
        </w:rPr>
        <w:t xml:space="preserve"> (DHSC)</w:t>
      </w:r>
      <w:r w:rsidRPr="008709C4">
        <w:rPr>
          <w:rFonts w:ascii="Arial" w:hAnsi="Arial" w:cs="Arial"/>
          <w:lang w:val="en-GB"/>
        </w:rPr>
        <w:t xml:space="preserve">, Prime Minister’s Office, 10 Downing Street, Rt Hon Sir Keir Starmer KCB KC MP &amp; Rt Hon Wes Streeting MP. (2025). </w:t>
      </w:r>
      <w:r w:rsidRPr="008709C4">
        <w:rPr>
          <w:rFonts w:ascii="Arial" w:hAnsi="Arial" w:cs="Arial"/>
          <w:i/>
          <w:iCs/>
          <w:lang w:val="en-GB"/>
        </w:rPr>
        <w:t>10 Year Health Plan for England: fit for the future</w:t>
      </w:r>
      <w:r w:rsidRPr="008709C4">
        <w:rPr>
          <w:rFonts w:ascii="Arial" w:hAnsi="Arial" w:cs="Arial"/>
          <w:lang w:val="en-GB"/>
        </w:rPr>
        <w:t>).</w:t>
      </w:r>
      <w:r>
        <w:rPr>
          <w:rFonts w:ascii="Arial" w:hAnsi="Arial" w:cs="Arial"/>
          <w:lang w:val="en-GB"/>
        </w:rPr>
        <w:t xml:space="preserve"> </w:t>
      </w:r>
      <w:hyperlink r:id="rId11" w:tgtFrame="_new" w:history="1">
        <w:r w:rsidRPr="008709C4">
          <w:rPr>
            <w:rStyle w:val="Hyperlink"/>
            <w:rFonts w:ascii="Arial" w:hAnsi="Arial" w:cs="Arial"/>
            <w:lang w:val="en-GB"/>
          </w:rPr>
          <w:t>https://www.gov.uk/government/publications/10-year-health-plan-for-england-fit-for-the-future</w:t>
        </w:r>
      </w:hyperlink>
    </w:p>
    <w:p w:rsidR="009A29B4" w:rsidRPr="00A3146B" w:rsidP="009A29B4" w14:paraId="1C3EDBF9"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Edgar, K., Iliffe, S., Doll, H. A., Clarke, M. J., Gonçalves-Bradley, D. C., Wong, E., &amp; Shepperd, S. (2024). Admission avoidance hospital at home. </w:t>
      </w:r>
      <w:r w:rsidRPr="0023073D">
        <w:rPr>
          <w:rFonts w:ascii="Arial" w:hAnsi="Arial" w:cs="Arial"/>
          <w:i/>
          <w:iCs/>
          <w:lang w:val="en-GB"/>
        </w:rPr>
        <w:t>Cochrane Database of Systematic Reviews, 2024</w:t>
      </w:r>
      <w:r w:rsidRPr="0023073D">
        <w:rPr>
          <w:rFonts w:ascii="Arial" w:hAnsi="Arial" w:cs="Arial"/>
          <w:lang w:val="en-GB"/>
        </w:rPr>
        <w:t xml:space="preserve">(3), Article CD007491. </w:t>
      </w:r>
      <w:hyperlink r:id="rId12" w:tgtFrame="_new" w:history="1">
        <w:r w:rsidRPr="00A3146B">
          <w:rPr>
            <w:rFonts w:ascii="Arial" w:hAnsi="Arial" w:cs="Arial"/>
            <w:color w:val="0000FF"/>
            <w:u w:val="single"/>
            <w:lang w:val="en-GB"/>
          </w:rPr>
          <w:t>https://doi.org/10.1002/14651858.CD007491.pub3</w:t>
        </w:r>
      </w:hyperlink>
    </w:p>
    <w:p w:rsidR="009A29B4" w:rsidRPr="0023073D" w:rsidP="009A29B4" w14:paraId="32899016"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Feinmann, J. (2025). Corridor care crisis: One in five A&amp;E patients treated in trolleys or chairs. </w:t>
      </w:r>
      <w:r w:rsidRPr="0023073D">
        <w:rPr>
          <w:rFonts w:ascii="Arial" w:hAnsi="Arial" w:cs="Arial"/>
          <w:i/>
          <w:iCs/>
          <w:lang w:val="en-GB"/>
        </w:rPr>
        <w:t>BMJ, 391</w:t>
      </w:r>
      <w:r w:rsidRPr="0023073D">
        <w:rPr>
          <w:rFonts w:ascii="Arial" w:hAnsi="Arial" w:cs="Arial"/>
          <w:lang w:val="en-GB"/>
        </w:rPr>
        <w:t xml:space="preserve">, r2381. </w:t>
      </w:r>
      <w:hyperlink r:id="rId13" w:tgtFrame="_new" w:history="1">
        <w:r w:rsidRPr="0023073D">
          <w:rPr>
            <w:rFonts w:ascii="Arial" w:hAnsi="Arial" w:cs="Arial"/>
            <w:color w:val="0000FF"/>
            <w:u w:val="single"/>
            <w:lang w:val="en-GB"/>
          </w:rPr>
          <w:t>https://doi.org/10.1136/bmj.r2381</w:t>
        </w:r>
      </w:hyperlink>
    </w:p>
    <w:p w:rsidR="009A29B4" w:rsidRPr="0002741C" w:rsidP="009A29B4" w14:paraId="62697169" w14:textId="77777777">
      <w:pPr>
        <w:spacing w:before="100" w:beforeAutospacing="1" w:after="100" w:afterAutospacing="1"/>
        <w:jc w:val="both"/>
        <w:rPr>
          <w:rFonts w:ascii="Arial" w:hAnsi="Arial" w:cs="Arial"/>
          <w:lang w:val="it-IT"/>
        </w:rPr>
      </w:pPr>
      <w:r w:rsidRPr="0023073D">
        <w:rPr>
          <w:rFonts w:ascii="Arial" w:hAnsi="Arial" w:cs="Arial"/>
          <w:lang w:val="en-GB"/>
        </w:rPr>
        <w:t xml:space="preserve">Financial Times. (2024). UK health minister says NHS needs to make ‘three big shifts’ to survive. </w:t>
      </w:r>
      <w:hyperlink r:id="rId14" w:history="1">
        <w:r w:rsidRPr="0002741C">
          <w:rPr>
            <w:rStyle w:val="Hyperlink"/>
            <w:rFonts w:ascii="Arial" w:hAnsi="Arial" w:cs="Arial"/>
            <w:lang w:val="it-IT"/>
          </w:rPr>
          <w:t>https://www.ft.com/content/1e71c913-4dea-4088-878e-4d3e2889b875</w:t>
        </w:r>
      </w:hyperlink>
      <w:r w:rsidRPr="0002741C">
        <w:rPr>
          <w:rFonts w:ascii="Arial" w:hAnsi="Arial" w:cs="Arial"/>
          <w:lang w:val="it-IT"/>
        </w:rPr>
        <w:t xml:space="preserve"> </w:t>
      </w:r>
    </w:p>
    <w:p w:rsidR="009A29B4" w:rsidRPr="0023073D" w:rsidP="009A29B4" w14:paraId="0230A5AF" w14:textId="77777777">
      <w:pPr>
        <w:spacing w:before="100" w:beforeAutospacing="1" w:after="100" w:afterAutospacing="1"/>
        <w:jc w:val="both"/>
        <w:rPr>
          <w:rFonts w:ascii="Arial" w:hAnsi="Arial" w:cs="Arial"/>
          <w:lang w:val="en-GB"/>
        </w:rPr>
      </w:pPr>
      <w:r w:rsidRPr="00A3146B">
        <w:rPr>
          <w:rFonts w:ascii="Arial" w:hAnsi="Arial" w:cs="Arial"/>
          <w:lang w:val="it-IT"/>
        </w:rPr>
        <w:t xml:space="preserve">Gaughan, J., Gravelle, H., &amp; Siciliani, L. (2015). </w:t>
      </w:r>
      <w:r w:rsidRPr="0023073D">
        <w:rPr>
          <w:rFonts w:ascii="Arial" w:hAnsi="Arial" w:cs="Arial"/>
          <w:lang w:val="en-GB"/>
        </w:rPr>
        <w:t xml:space="preserve">Testing the bed-blocking hypothesis: Does nursing and care home supply reduce delayed hospital discharges? </w:t>
      </w:r>
      <w:r w:rsidRPr="0023073D">
        <w:rPr>
          <w:rFonts w:ascii="Arial" w:hAnsi="Arial" w:cs="Arial"/>
          <w:i/>
          <w:iCs/>
          <w:lang w:val="en-GB"/>
        </w:rPr>
        <w:t>Health Economics, 24</w:t>
      </w:r>
      <w:r w:rsidRPr="0023073D">
        <w:rPr>
          <w:rFonts w:ascii="Arial" w:hAnsi="Arial" w:cs="Arial"/>
          <w:lang w:val="en-GB"/>
        </w:rPr>
        <w:t xml:space="preserve">(S1), 32–44. </w:t>
      </w:r>
      <w:hyperlink r:id="rId15" w:tgtFrame="_new" w:history="1">
        <w:r w:rsidRPr="0023073D">
          <w:rPr>
            <w:rFonts w:ascii="Arial" w:hAnsi="Arial" w:cs="Arial"/>
            <w:color w:val="0000FF"/>
            <w:u w:val="single"/>
            <w:lang w:val="en-GB"/>
          </w:rPr>
          <w:t>https://doi.org/10.1002/hec.3150</w:t>
        </w:r>
      </w:hyperlink>
    </w:p>
    <w:p w:rsidR="009A29B4" w:rsidRPr="0023073D" w:rsidP="009A29B4" w14:paraId="1F50EA91"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Gaughan, J., Gravelle, H., Santos, R., &amp; Siciliani, L. (2017). Long-term care provision, hospital bed blocking, and discharge destination for hip fracture and stroke patients. </w:t>
      </w:r>
      <w:r w:rsidRPr="0023073D">
        <w:rPr>
          <w:rFonts w:ascii="Arial" w:hAnsi="Arial" w:cs="Arial"/>
          <w:i/>
          <w:iCs/>
          <w:lang w:val="en-GB"/>
        </w:rPr>
        <w:t>International Journal of Health Economics and Management, 17</w:t>
      </w:r>
      <w:r w:rsidRPr="0023073D">
        <w:rPr>
          <w:rFonts w:ascii="Arial" w:hAnsi="Arial" w:cs="Arial"/>
          <w:lang w:val="en-GB"/>
        </w:rPr>
        <w:t xml:space="preserve">(3), 311–331. </w:t>
      </w:r>
      <w:hyperlink r:id="rId16" w:tgtFrame="_new" w:history="1">
        <w:r w:rsidRPr="0023073D">
          <w:rPr>
            <w:rFonts w:ascii="Arial" w:hAnsi="Arial" w:cs="Arial"/>
            <w:color w:val="0000FF"/>
            <w:u w:val="single"/>
            <w:lang w:val="en-GB"/>
          </w:rPr>
          <w:t>https://doi.org/10.1007/s10754-017-9214-z</w:t>
        </w:r>
      </w:hyperlink>
    </w:p>
    <w:p w:rsidR="002601B6" w:rsidRPr="0023073D" w:rsidP="002601B6" w14:paraId="27AA7CC0" w14:textId="77777777">
      <w:pPr>
        <w:spacing w:before="360" w:after="80"/>
        <w:jc w:val="both"/>
        <w:rPr>
          <w:rFonts w:ascii="Arial" w:hAnsi="Arial" w:cs="Arial"/>
        </w:rPr>
      </w:pPr>
      <w:r w:rsidRPr="0023073D">
        <w:rPr>
          <w:rFonts w:ascii="Arial" w:hAnsi="Arial" w:cs="Arial"/>
          <w:lang w:val="en-GB"/>
        </w:rPr>
        <w:t xml:space="preserve">Health Foundation. (2024). </w:t>
      </w:r>
      <w:r w:rsidRPr="0023073D">
        <w:rPr>
          <w:rFonts w:ascii="Arial" w:hAnsi="Arial" w:cs="Arial"/>
          <w:i/>
          <w:iCs/>
          <w:lang w:val="en-GB"/>
        </w:rPr>
        <w:t>What do virtual wards look like in England?</w:t>
      </w:r>
      <w:r w:rsidRPr="0023073D">
        <w:rPr>
          <w:rFonts w:ascii="Arial" w:hAnsi="Arial" w:cs="Arial"/>
          <w:lang w:val="en-GB"/>
        </w:rPr>
        <w:t xml:space="preserve"> </w:t>
      </w:r>
      <w:hyperlink r:id="rId17" w:tgtFrame="_new" w:history="1">
        <w:r w:rsidRPr="0023073D">
          <w:rPr>
            <w:rStyle w:val="Hyperlink"/>
            <w:rFonts w:ascii="Arial" w:hAnsi="Arial" w:cs="Arial"/>
          </w:rPr>
          <w:t>https://www.health.org.uk/sites/default/files/upload/publications/2024/What%20do%20virtual%20wards%20look%20like%20in%20England_0.pdf</w:t>
        </w:r>
      </w:hyperlink>
    </w:p>
    <w:p w:rsidR="009A29B4" w:rsidRPr="0023073D" w:rsidP="009A29B4" w14:paraId="7E4374CC" w14:textId="161CD165">
      <w:pPr>
        <w:spacing w:before="100" w:beforeAutospacing="1" w:after="100" w:afterAutospacing="1"/>
        <w:jc w:val="both"/>
        <w:rPr>
          <w:rFonts w:ascii="Arial" w:hAnsi="Arial" w:cs="Arial"/>
        </w:rPr>
      </w:pPr>
      <w:r w:rsidRPr="0023073D">
        <w:rPr>
          <w:rFonts w:ascii="Arial" w:hAnsi="Arial" w:cs="Arial"/>
          <w:lang w:val="en-GB"/>
        </w:rPr>
        <w:t xml:space="preserve">Homecare Association. (2025a). </w:t>
      </w:r>
      <w:r w:rsidRPr="0023073D">
        <w:rPr>
          <w:rFonts w:ascii="Arial" w:hAnsi="Arial" w:cs="Arial"/>
          <w:i/>
          <w:iCs/>
          <w:lang w:val="en-GB"/>
        </w:rPr>
        <w:t>Minimum price exposes England’s homecare funding gap as new employment law takes effect</w:t>
      </w:r>
      <w:r w:rsidRPr="0023073D">
        <w:rPr>
          <w:rFonts w:ascii="Arial" w:hAnsi="Arial" w:cs="Arial"/>
          <w:lang w:val="en-GB"/>
        </w:rPr>
        <w:t xml:space="preserve">. </w:t>
      </w:r>
      <w:hyperlink r:id="rId18" w:tgtFrame="_new" w:history="1">
        <w:r w:rsidRPr="0023073D">
          <w:rPr>
            <w:rFonts w:ascii="Arial" w:hAnsi="Arial" w:cs="Arial"/>
            <w:color w:val="0000FF"/>
            <w:u w:val="single"/>
          </w:rPr>
          <w:t>https://www.homecareassociation.org.uk/resource/homecare-association-minimum-price-exposes-england-s-homecare-funding-gap-as-new-employment-law-takes-effect.html</w:t>
        </w:r>
      </w:hyperlink>
    </w:p>
    <w:p w:rsidR="009A29B4" w:rsidRPr="00A3146B" w:rsidP="009A29B4" w14:paraId="7CE4A8D2" w14:textId="77777777">
      <w:pPr>
        <w:spacing w:before="100" w:beforeAutospacing="1" w:after="100" w:afterAutospacing="1"/>
        <w:jc w:val="both"/>
        <w:rPr>
          <w:rFonts w:ascii="Arial" w:hAnsi="Arial" w:cs="Arial"/>
          <w:i/>
          <w:iCs/>
          <w:color w:val="000000" w:themeColor="text1"/>
        </w:rPr>
      </w:pPr>
      <w:r w:rsidRPr="0023073D">
        <w:rPr>
          <w:rFonts w:ascii="Arial" w:hAnsi="Arial" w:cs="Arial"/>
          <w:color w:val="000000" w:themeColor="text1"/>
          <w:lang w:val="en-GB"/>
        </w:rPr>
        <w:t xml:space="preserve">Homecare Association. (2025b). </w:t>
      </w:r>
      <w:r w:rsidRPr="0023073D">
        <w:rPr>
          <w:rFonts w:ascii="Arial" w:hAnsi="Arial" w:cs="Arial"/>
          <w:i/>
          <w:iCs/>
          <w:color w:val="000000" w:themeColor="text1"/>
          <w:lang w:val="en-GB"/>
        </w:rPr>
        <w:t>Why Labour's Employment Rights Bill Won't Improve Employment Conditions in Homecare</w:t>
      </w:r>
      <w:r w:rsidRPr="0023073D">
        <w:rPr>
          <w:rFonts w:ascii="Arial" w:hAnsi="Arial" w:cs="Arial"/>
          <w:color w:val="000000" w:themeColor="text1"/>
          <w:lang w:val="en-GB"/>
        </w:rPr>
        <w:t xml:space="preserve">. </w:t>
      </w:r>
      <w:hyperlink r:id="rId19" w:tgtFrame="_new" w:history="1">
        <w:r w:rsidRPr="0023073D">
          <w:rPr>
            <w:rFonts w:ascii="Arial" w:hAnsi="Arial" w:cs="Arial"/>
            <w:color w:val="000000" w:themeColor="text1"/>
            <w:u w:val="single"/>
          </w:rPr>
          <w:t>https://www.homecareassociation.org.uk/resource/funding-employment-rights-bill.html</w:t>
        </w:r>
      </w:hyperlink>
    </w:p>
    <w:p w:rsidR="009A29B4" w:rsidRPr="00A3146B" w:rsidP="009A29B4" w14:paraId="6B2D8416" w14:textId="77777777">
      <w:pPr>
        <w:spacing w:before="100" w:beforeAutospacing="1" w:after="100" w:afterAutospacing="1"/>
        <w:jc w:val="both"/>
        <w:rPr>
          <w:rFonts w:ascii="Arial" w:hAnsi="Arial" w:cs="Arial"/>
          <w:lang w:val="en-GB"/>
        </w:rPr>
      </w:pPr>
      <w:r w:rsidRPr="009A29B4">
        <w:rPr>
          <w:rFonts w:ascii="Arial" w:hAnsi="Arial" w:cs="Arial"/>
          <w:lang w:val="nl-NL"/>
        </w:rPr>
        <w:t xml:space="preserve">Janssens, J. M. F., van der Ham, A., Ruwaard, D., &amp; van Merode, F. (2025). </w:t>
      </w:r>
      <w:r w:rsidRPr="0023073D">
        <w:rPr>
          <w:rFonts w:ascii="Arial" w:hAnsi="Arial" w:cs="Arial"/>
          <w:lang w:val="en-GB"/>
        </w:rPr>
        <w:t xml:space="preserve">Bed blocking by hospitalised patients awaiting admission to intramural aftercare: A case study on transfer coordination. </w:t>
      </w:r>
      <w:r w:rsidRPr="00A3146B">
        <w:rPr>
          <w:rStyle w:val="Emphasis"/>
          <w:rFonts w:ascii="Arial" w:hAnsi="Arial" w:eastAsiaTheme="majorEastAsia" w:cs="Arial"/>
          <w:lang w:val="en-GB"/>
        </w:rPr>
        <w:t>Healthcare, 13</w:t>
      </w:r>
      <w:r w:rsidRPr="00A3146B">
        <w:rPr>
          <w:rFonts w:ascii="Arial" w:hAnsi="Arial" w:cs="Arial"/>
          <w:lang w:val="en-GB"/>
        </w:rPr>
        <w:t xml:space="preserve">(16), 2038. </w:t>
      </w:r>
      <w:hyperlink r:id="rId20" w:history="1">
        <w:r w:rsidRPr="00A3146B">
          <w:rPr>
            <w:rStyle w:val="Hyperlink"/>
            <w:rFonts w:ascii="Arial" w:hAnsi="Arial" w:cs="Arial"/>
            <w:lang w:val="en-GB"/>
          </w:rPr>
          <w:t>https://doi.org/10.3390/healthcare13162038</w:t>
        </w:r>
      </w:hyperlink>
      <w:r w:rsidRPr="00A3146B">
        <w:rPr>
          <w:rFonts w:ascii="Arial" w:hAnsi="Arial" w:cs="Arial"/>
          <w:lang w:val="en-GB"/>
        </w:rPr>
        <w:t xml:space="preserve"> </w:t>
      </w:r>
    </w:p>
    <w:p w:rsidR="009A29B4" w:rsidRPr="0023073D" w:rsidP="009A29B4" w14:paraId="4C312D50"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Le Berre, M., Maimon, G., </w:t>
      </w:r>
      <w:r w:rsidRPr="0023073D">
        <w:rPr>
          <w:rFonts w:ascii="Arial" w:hAnsi="Arial" w:cs="Arial"/>
          <w:lang w:val="en-GB"/>
        </w:rPr>
        <w:t>Sourial</w:t>
      </w:r>
      <w:r w:rsidRPr="0023073D">
        <w:rPr>
          <w:rFonts w:ascii="Arial" w:hAnsi="Arial" w:cs="Arial"/>
          <w:lang w:val="en-GB"/>
        </w:rPr>
        <w:t xml:space="preserve">, N., </w:t>
      </w:r>
      <w:r w:rsidRPr="0023073D">
        <w:rPr>
          <w:rFonts w:ascii="Arial" w:hAnsi="Arial" w:cs="Arial"/>
          <w:lang w:val="en-GB"/>
        </w:rPr>
        <w:t>Guériton</w:t>
      </w:r>
      <w:r w:rsidRPr="0023073D">
        <w:rPr>
          <w:rFonts w:ascii="Arial" w:hAnsi="Arial" w:cs="Arial"/>
          <w:lang w:val="en-GB"/>
        </w:rPr>
        <w:t xml:space="preserve">, M., &amp; Vedel, I. (2017). Impact of transitional care services for chronically ill older patients: A systematic evidence review. </w:t>
      </w:r>
      <w:r w:rsidRPr="0023073D">
        <w:rPr>
          <w:rFonts w:ascii="Arial" w:hAnsi="Arial" w:cs="Arial"/>
          <w:i/>
          <w:iCs/>
          <w:lang w:val="en-GB"/>
        </w:rPr>
        <w:t>Journal of the American Geriatrics Society, 65</w:t>
      </w:r>
      <w:r w:rsidRPr="0023073D">
        <w:rPr>
          <w:rFonts w:ascii="Arial" w:hAnsi="Arial" w:cs="Arial"/>
          <w:lang w:val="en-GB"/>
        </w:rPr>
        <w:t xml:space="preserve">(7), 1597–1608. </w:t>
      </w:r>
      <w:hyperlink r:id="rId21" w:tgtFrame="_new" w:history="1">
        <w:r w:rsidRPr="0023073D">
          <w:rPr>
            <w:rFonts w:ascii="Arial" w:hAnsi="Arial" w:cs="Arial"/>
            <w:color w:val="0000FF"/>
            <w:u w:val="single"/>
            <w:lang w:val="en-GB"/>
          </w:rPr>
          <w:t>https://doi.org/10.1111/jgs.14828</w:t>
        </w:r>
      </w:hyperlink>
    </w:p>
    <w:p w:rsidR="009A29B4" w:rsidRPr="0023073D" w:rsidP="009A29B4" w14:paraId="15A43081"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Moura, A. (2022). Do subsidised nursing homes and home care teams reduce hospital bed blocking? Evidence from Portugal. </w:t>
      </w:r>
      <w:r w:rsidRPr="0023073D">
        <w:rPr>
          <w:rFonts w:ascii="Arial" w:hAnsi="Arial" w:cs="Arial"/>
          <w:i/>
          <w:iCs/>
          <w:lang w:val="en-GB"/>
        </w:rPr>
        <w:t>Journal of Health Economics, 84</w:t>
      </w:r>
      <w:r w:rsidRPr="0023073D">
        <w:rPr>
          <w:rFonts w:ascii="Arial" w:hAnsi="Arial" w:cs="Arial"/>
          <w:lang w:val="en-GB"/>
        </w:rPr>
        <w:t xml:space="preserve">, 102640. </w:t>
      </w:r>
      <w:hyperlink r:id="rId22" w:tgtFrame="_new" w:history="1">
        <w:r w:rsidRPr="0023073D">
          <w:rPr>
            <w:rFonts w:ascii="Arial" w:hAnsi="Arial" w:cs="Arial"/>
            <w:color w:val="0000FF"/>
            <w:u w:val="single"/>
            <w:lang w:val="en-GB"/>
          </w:rPr>
          <w:t>https://doi.org/10.1016/j.jhealeco.2022.102640</w:t>
        </w:r>
      </w:hyperlink>
    </w:p>
    <w:p w:rsidR="009A29B4" w:rsidP="009A29B4" w14:paraId="56E5818E" w14:textId="77777777">
      <w:pPr>
        <w:spacing w:before="360" w:after="80"/>
        <w:jc w:val="both"/>
      </w:pPr>
      <w:r w:rsidRPr="0023073D">
        <w:rPr>
          <w:rFonts w:ascii="Arial" w:hAnsi="Arial" w:cs="Arial"/>
          <w:color w:val="000000" w:themeColor="text1"/>
          <w:lang w:val="en-GB"/>
        </w:rPr>
        <w:t xml:space="preserve">Murray, J., Baird, K., Brealey, S., </w:t>
      </w:r>
      <w:r w:rsidRPr="0023073D">
        <w:rPr>
          <w:rFonts w:ascii="Arial" w:hAnsi="Arial" w:cs="Arial"/>
          <w:color w:val="000000" w:themeColor="text1"/>
          <w:lang w:val="en-GB"/>
        </w:rPr>
        <w:t>Mandefield</w:t>
      </w:r>
      <w:r w:rsidRPr="0023073D">
        <w:rPr>
          <w:rFonts w:ascii="Arial" w:hAnsi="Arial" w:cs="Arial"/>
          <w:color w:val="000000" w:themeColor="text1"/>
          <w:lang w:val="en-GB"/>
        </w:rPr>
        <w:t xml:space="preserve">, L., Richardson, G., O’Hara, J., Foy, R., Sheard, L., Cracknell, A., Palacios, A., Walker, S., Breckin, E., Mirza, L., Baxter, R., Hewitt, C., &amp; Lawton, R. (2025). Improving the safety and experience of transitions from hospital to home: A cluster randomised controlled trial of an intervention to involve older people in their care (Your Care Needs You). </w:t>
      </w:r>
      <w:hyperlink r:id="rId23" w:tgtFrame="_new" w:history="1">
        <w:r w:rsidRPr="0002741C">
          <w:rPr>
            <w:rStyle w:val="Hyperlink"/>
            <w:rFonts w:ascii="Arial" w:hAnsi="Arial" w:cs="Arial"/>
            <w:color w:val="000000" w:themeColor="text1"/>
          </w:rPr>
          <w:t>https://pmc.ncbi.nlm.nih.gov/articles/PMC12123408/</w:t>
        </w:r>
      </w:hyperlink>
    </w:p>
    <w:p w:rsidR="009A29B4" w:rsidRPr="0023073D" w:rsidP="009A29B4" w14:paraId="3DA8035F" w14:textId="77777777">
      <w:pPr>
        <w:spacing w:before="360" w:after="80"/>
        <w:jc w:val="both"/>
        <w:rPr>
          <w:rFonts w:ascii="Arial" w:hAnsi="Arial" w:cs="Arial"/>
          <w:lang w:val="en-GB"/>
        </w:rPr>
      </w:pPr>
      <w:r w:rsidRPr="0002741C">
        <w:rPr>
          <w:rFonts w:ascii="Arial" w:hAnsi="Arial" w:cs="Arial"/>
        </w:rPr>
        <w:t xml:space="preserve">Naylor, M. D., Brooten, D. A., Campbell, R. L., </w:t>
      </w:r>
      <w:r w:rsidRPr="0002741C">
        <w:rPr>
          <w:rFonts w:ascii="Arial" w:hAnsi="Arial" w:cs="Arial"/>
        </w:rPr>
        <w:t>Maislin</w:t>
      </w:r>
      <w:r w:rsidRPr="0002741C">
        <w:rPr>
          <w:rFonts w:ascii="Arial" w:hAnsi="Arial" w:cs="Arial"/>
        </w:rPr>
        <w:t xml:space="preserve">, G., McCauley, K. M., &amp; Schwartz, J. S. (2004). </w:t>
      </w:r>
      <w:r w:rsidRPr="0023073D">
        <w:rPr>
          <w:rFonts w:ascii="Arial" w:hAnsi="Arial" w:cs="Arial"/>
          <w:lang w:val="en-GB"/>
        </w:rPr>
        <w:t xml:space="preserve">Transitional care of older adults hospitalized with heart failure: A randomized, controlled trial. </w:t>
      </w:r>
      <w:r w:rsidRPr="0023073D">
        <w:rPr>
          <w:rFonts w:ascii="Arial" w:hAnsi="Arial" w:cs="Arial"/>
          <w:i/>
          <w:iCs/>
          <w:lang w:val="en-GB"/>
        </w:rPr>
        <w:t>Journal of the American Geriatrics Society, 52</w:t>
      </w:r>
      <w:r w:rsidRPr="0023073D">
        <w:rPr>
          <w:rFonts w:ascii="Arial" w:hAnsi="Arial" w:cs="Arial"/>
          <w:lang w:val="en-GB"/>
        </w:rPr>
        <w:t xml:space="preserve">(5), 675–684. </w:t>
      </w:r>
      <w:hyperlink r:id="rId24" w:tgtFrame="_new" w:history="1">
        <w:r w:rsidRPr="0023073D">
          <w:rPr>
            <w:rStyle w:val="Hyperlink"/>
            <w:rFonts w:ascii="Arial" w:hAnsi="Arial" w:cs="Arial"/>
            <w:lang w:val="en-GB"/>
          </w:rPr>
          <w:t>https://agsjournals.onlinelibrary.wiley.com/doi/epdf/10.1111/j.1532-5415.2004.52202.x</w:t>
        </w:r>
      </w:hyperlink>
    </w:p>
    <w:p w:rsidR="009A29B4" w:rsidRPr="0023073D" w:rsidP="009A29B4" w14:paraId="719624BB"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Naylor, M. D., Hirschman, K. B., Toles, M. P., Jarrín, O. F., Shaid, E., &amp; Pauly, M. V. (2018). Adaptations of the evidence-based transitional care model in the U.S. </w:t>
      </w:r>
      <w:r w:rsidRPr="0023073D">
        <w:rPr>
          <w:rFonts w:ascii="Arial" w:hAnsi="Arial" w:cs="Arial"/>
          <w:i/>
          <w:iCs/>
          <w:lang w:val="en-GB"/>
        </w:rPr>
        <w:t>Social Science &amp; Medicine, 213</w:t>
      </w:r>
      <w:r w:rsidRPr="0023073D">
        <w:rPr>
          <w:rFonts w:ascii="Arial" w:hAnsi="Arial" w:cs="Arial"/>
          <w:lang w:val="en-GB"/>
        </w:rPr>
        <w:t xml:space="preserve">, 28–36. </w:t>
      </w:r>
      <w:hyperlink r:id="rId25" w:history="1">
        <w:r w:rsidRPr="0023073D">
          <w:rPr>
            <w:rStyle w:val="Hyperlink"/>
            <w:rFonts w:ascii="Arial" w:hAnsi="Arial" w:cs="Arial"/>
            <w:lang w:val="en-GB"/>
          </w:rPr>
          <w:t>https://pubmed.ncbi.nlm.nih.gov/30055423/</w:t>
        </w:r>
      </w:hyperlink>
      <w:r w:rsidRPr="0023073D">
        <w:rPr>
          <w:rFonts w:ascii="Arial" w:hAnsi="Arial" w:cs="Arial"/>
          <w:lang w:val="en-GB"/>
        </w:rPr>
        <w:t xml:space="preserve"> </w:t>
      </w:r>
    </w:p>
    <w:p w:rsidR="009A29B4" w:rsidRPr="00A3146B" w:rsidP="009A29B4" w14:paraId="280C163E" w14:textId="77777777">
      <w:pPr>
        <w:spacing w:before="360" w:after="80"/>
        <w:jc w:val="both"/>
        <w:rPr>
          <w:rFonts w:ascii="Arial" w:hAnsi="Arial" w:cs="Arial"/>
          <w:color w:val="000000" w:themeColor="text1"/>
        </w:rPr>
      </w:pPr>
      <w:r w:rsidRPr="0023073D">
        <w:rPr>
          <w:rFonts w:ascii="Arial" w:hAnsi="Arial" w:cs="Arial"/>
          <w:color w:val="000000" w:themeColor="text1"/>
          <w:lang w:val="en-GB"/>
        </w:rPr>
        <w:t xml:space="preserve">NHS England. (2023). </w:t>
      </w:r>
      <w:r w:rsidRPr="0023073D">
        <w:rPr>
          <w:rFonts w:ascii="Arial" w:hAnsi="Arial" w:cs="Arial"/>
          <w:i/>
          <w:iCs/>
          <w:color w:val="000000" w:themeColor="text1"/>
          <w:lang w:val="en-GB"/>
        </w:rPr>
        <w:t>Hospital discharge fund guidance</w:t>
      </w:r>
      <w:r w:rsidRPr="0023073D">
        <w:rPr>
          <w:rFonts w:ascii="Arial" w:hAnsi="Arial" w:cs="Arial"/>
          <w:color w:val="000000" w:themeColor="text1"/>
          <w:lang w:val="en-GB"/>
        </w:rPr>
        <w:t xml:space="preserve">. </w:t>
      </w:r>
      <w:hyperlink r:id="rId26" w:tgtFrame="_blank" w:history="1">
        <w:r w:rsidRPr="00A3146B">
          <w:rPr>
            <w:rStyle w:val="Hyperlink"/>
            <w:rFonts w:ascii="Arial" w:hAnsi="Arial" w:cs="Arial"/>
            <w:color w:val="000000" w:themeColor="text1"/>
          </w:rPr>
          <w:t>https://www.england.nhs.uk/long-read/hospital-discharge-fund-guidance/</w:t>
        </w:r>
      </w:hyperlink>
    </w:p>
    <w:p w:rsidR="009A29B4" w:rsidRPr="0023073D" w:rsidP="009A29B4" w14:paraId="72BE092F" w14:textId="77777777">
      <w:pPr>
        <w:spacing w:before="360" w:after="80"/>
        <w:jc w:val="both"/>
        <w:rPr>
          <w:rFonts w:ascii="Arial" w:hAnsi="Arial" w:cs="Arial"/>
        </w:rPr>
      </w:pPr>
      <w:r w:rsidRPr="0023073D">
        <w:rPr>
          <w:rFonts w:ascii="Arial" w:hAnsi="Arial" w:cs="Arial"/>
          <w:lang w:val="en-GB"/>
        </w:rPr>
        <w:t xml:space="preserve">NHS England. (2024a). </w:t>
      </w:r>
      <w:r w:rsidRPr="0023073D">
        <w:rPr>
          <w:rFonts w:ascii="Arial" w:hAnsi="Arial" w:cs="Arial"/>
          <w:i/>
          <w:iCs/>
          <w:lang w:val="en-GB"/>
        </w:rPr>
        <w:t>2024/25 priorities and operational planning guidance</w:t>
      </w:r>
      <w:r w:rsidRPr="0023073D">
        <w:rPr>
          <w:rFonts w:ascii="Arial" w:hAnsi="Arial" w:cs="Arial"/>
          <w:lang w:val="en-GB"/>
        </w:rPr>
        <w:t xml:space="preserve">. </w:t>
      </w:r>
      <w:hyperlink r:id="rId27" w:tgtFrame="_new" w:history="1">
        <w:r w:rsidRPr="0023073D">
          <w:rPr>
            <w:rStyle w:val="Hyperlink"/>
            <w:rFonts w:ascii="Arial" w:hAnsi="Arial" w:cs="Arial"/>
          </w:rPr>
          <w:t>https://www.england.nhs.uk/wp-content/uploads/2024/03/2024-25-priorities-and-operational-planning-guidance-v1.1.pdf</w:t>
        </w:r>
      </w:hyperlink>
    </w:p>
    <w:p w:rsidR="009A29B4" w:rsidRPr="0023073D" w:rsidP="009A29B4" w14:paraId="7F7346E8" w14:textId="77777777">
      <w:pPr>
        <w:spacing w:before="360" w:after="80"/>
        <w:jc w:val="both"/>
        <w:rPr>
          <w:rFonts w:ascii="Arial" w:hAnsi="Arial" w:cs="Arial"/>
        </w:rPr>
      </w:pPr>
      <w:r w:rsidRPr="0002741C">
        <w:rPr>
          <w:rFonts w:ascii="Arial" w:hAnsi="Arial" w:cs="Arial"/>
        </w:rPr>
        <w:t xml:space="preserve">NHS England. (2024b). </w:t>
      </w:r>
      <w:r w:rsidRPr="0002741C">
        <w:rPr>
          <w:rFonts w:ascii="Arial" w:hAnsi="Arial" w:cs="Arial"/>
          <w:i/>
          <w:iCs/>
        </w:rPr>
        <w:t>Acute discharge situation report: Technical specification</w:t>
      </w:r>
      <w:r w:rsidRPr="0002741C">
        <w:rPr>
          <w:rFonts w:ascii="Arial" w:hAnsi="Arial" w:cs="Arial"/>
        </w:rPr>
        <w:t xml:space="preserve">. </w:t>
      </w:r>
      <w:hyperlink r:id="rId28" w:tgtFrame="_new" w:history="1">
        <w:r w:rsidRPr="0023073D">
          <w:rPr>
            <w:rStyle w:val="Hyperlink"/>
            <w:rFonts w:ascii="Arial" w:hAnsi="Arial" w:cs="Arial"/>
          </w:rPr>
          <w:t>https://www.england.nhs.uk/long-read/acute-discharge-situation-report-technical-specification/</w:t>
        </w:r>
      </w:hyperlink>
    </w:p>
    <w:p w:rsidR="009A29B4" w:rsidRPr="0023073D" w:rsidP="009A29B4" w14:paraId="047435C9" w14:textId="77777777">
      <w:pPr>
        <w:spacing w:before="360" w:after="80"/>
        <w:jc w:val="both"/>
        <w:rPr>
          <w:rFonts w:ascii="Arial" w:hAnsi="Arial" w:cs="Arial"/>
        </w:rPr>
      </w:pPr>
      <w:r w:rsidRPr="0023073D">
        <w:rPr>
          <w:rFonts w:ascii="Arial" w:hAnsi="Arial" w:cs="Arial"/>
          <w:lang w:val="en-GB"/>
        </w:rPr>
        <w:t xml:space="preserve">NHS England. (2024c). </w:t>
      </w:r>
      <w:r w:rsidRPr="0023073D">
        <w:rPr>
          <w:rFonts w:ascii="Arial" w:hAnsi="Arial" w:cs="Arial"/>
          <w:i/>
          <w:iCs/>
          <w:lang w:val="en-GB"/>
        </w:rPr>
        <w:t xml:space="preserve">How partnership working in Sefton is creating a </w:t>
      </w:r>
      <w:r w:rsidRPr="0023073D">
        <w:rPr>
          <w:rFonts w:ascii="Arial" w:hAnsi="Arial" w:cs="Arial"/>
          <w:i/>
          <w:iCs/>
          <w:lang w:val="en-GB"/>
        </w:rPr>
        <w:t>person centred</w:t>
      </w:r>
      <w:r w:rsidRPr="0023073D">
        <w:rPr>
          <w:rFonts w:ascii="Arial" w:hAnsi="Arial" w:cs="Arial"/>
          <w:i/>
          <w:iCs/>
          <w:lang w:val="en-GB"/>
        </w:rPr>
        <w:t xml:space="preserve"> approach to hospital discharge</w:t>
      </w:r>
      <w:r w:rsidRPr="0023073D">
        <w:rPr>
          <w:rFonts w:ascii="Arial" w:hAnsi="Arial" w:cs="Arial"/>
          <w:lang w:val="en-GB"/>
        </w:rPr>
        <w:t xml:space="preserve">. </w:t>
      </w:r>
      <w:hyperlink r:id="rId29" w:tgtFrame="_new" w:history="1">
        <w:r w:rsidRPr="0023073D">
          <w:rPr>
            <w:rStyle w:val="Hyperlink"/>
            <w:rFonts w:ascii="Arial" w:hAnsi="Arial" w:cs="Arial"/>
          </w:rPr>
          <w:t>https://www.england.nhs.uk/long-read/person-centred-approach-to-hospital-discharge/</w:t>
        </w:r>
      </w:hyperlink>
    </w:p>
    <w:p w:rsidR="009A29B4" w:rsidRPr="0023073D" w:rsidP="009A29B4" w14:paraId="79400B1A" w14:textId="77777777">
      <w:pPr>
        <w:spacing w:before="360" w:after="80"/>
        <w:jc w:val="both"/>
        <w:rPr>
          <w:rFonts w:ascii="Arial" w:hAnsi="Arial" w:cs="Arial"/>
        </w:rPr>
      </w:pPr>
      <w:r w:rsidRPr="0023073D">
        <w:rPr>
          <w:rFonts w:ascii="Arial" w:hAnsi="Arial" w:cs="Arial"/>
          <w:lang w:val="en-GB"/>
        </w:rPr>
        <w:t xml:space="preserve">NHS England. (2024d). </w:t>
      </w:r>
      <w:r w:rsidRPr="0023073D">
        <w:rPr>
          <w:rFonts w:ascii="Arial" w:hAnsi="Arial" w:cs="Arial"/>
          <w:i/>
          <w:iCs/>
          <w:lang w:val="en-GB"/>
        </w:rPr>
        <w:t>Virtual wards operational framework</w:t>
      </w:r>
      <w:r w:rsidRPr="0023073D">
        <w:rPr>
          <w:rFonts w:ascii="Arial" w:hAnsi="Arial" w:cs="Arial"/>
          <w:lang w:val="en-GB"/>
        </w:rPr>
        <w:t xml:space="preserve">. </w:t>
      </w:r>
      <w:hyperlink r:id="rId30" w:tgtFrame="_new" w:history="1">
        <w:r w:rsidRPr="0023073D">
          <w:rPr>
            <w:rStyle w:val="Hyperlink"/>
            <w:rFonts w:ascii="Arial" w:hAnsi="Arial" w:cs="Arial"/>
          </w:rPr>
          <w:t>https://www.england.nhs.uk/long-read/virtual-wards-operational-framework/</w:t>
        </w:r>
      </w:hyperlink>
    </w:p>
    <w:p w:rsidR="009A29B4" w:rsidRPr="0023073D" w:rsidP="009A29B4" w14:paraId="28F6CF4B" w14:textId="77777777">
      <w:pPr>
        <w:spacing w:before="360" w:after="80"/>
        <w:jc w:val="both"/>
        <w:rPr>
          <w:rFonts w:ascii="Arial" w:hAnsi="Arial" w:cs="Arial"/>
        </w:rPr>
      </w:pPr>
      <w:r w:rsidRPr="0023073D">
        <w:rPr>
          <w:rFonts w:ascii="Arial" w:hAnsi="Arial" w:cs="Arial"/>
          <w:lang w:val="en-GB"/>
        </w:rPr>
        <w:t xml:space="preserve">NHS England. (2025). </w:t>
      </w:r>
      <w:r w:rsidRPr="0023073D">
        <w:rPr>
          <w:rFonts w:ascii="Arial" w:hAnsi="Arial" w:cs="Arial"/>
          <w:i/>
          <w:iCs/>
          <w:lang w:val="en-GB"/>
        </w:rPr>
        <w:t>Monthly operational statistics – February 2025: Elective recovery and RTT waiting lists</w:t>
      </w:r>
      <w:r w:rsidRPr="0023073D">
        <w:rPr>
          <w:rFonts w:ascii="Arial" w:hAnsi="Arial" w:cs="Arial"/>
          <w:lang w:val="en-GB"/>
        </w:rPr>
        <w:t xml:space="preserve">. </w:t>
      </w:r>
      <w:hyperlink r:id="rId31" w:tgtFrame="_blank" w:history="1">
        <w:r w:rsidRPr="0023073D">
          <w:rPr>
            <w:rStyle w:val="Hyperlink"/>
            <w:rFonts w:ascii="Arial" w:hAnsi="Arial" w:cs="Arial"/>
          </w:rPr>
          <w:t>https://www.england.nhs.uk/long-read/monthly-operational-statistics-february-2025/</w:t>
        </w:r>
      </w:hyperlink>
    </w:p>
    <w:p w:rsidR="009A29B4" w:rsidRPr="0023073D" w:rsidP="009A29B4" w14:paraId="1F7B4AFD" w14:textId="77777777">
      <w:pPr>
        <w:spacing w:before="100" w:beforeAutospacing="1" w:after="100" w:afterAutospacing="1"/>
        <w:jc w:val="both"/>
        <w:rPr>
          <w:rFonts w:ascii="Arial" w:hAnsi="Arial" w:cs="Arial"/>
        </w:rPr>
      </w:pPr>
      <w:r w:rsidRPr="0023073D">
        <w:rPr>
          <w:rFonts w:ascii="Arial" w:hAnsi="Arial" w:cs="Arial"/>
          <w:lang w:val="en-GB"/>
        </w:rPr>
        <w:t xml:space="preserve">NHS Providers. (2023a). </w:t>
      </w:r>
      <w:r w:rsidRPr="0023073D">
        <w:rPr>
          <w:rFonts w:ascii="Arial" w:hAnsi="Arial" w:cs="Arial"/>
          <w:i/>
          <w:iCs/>
          <w:lang w:val="en-GB"/>
        </w:rPr>
        <w:t>Early learnings from NHS England’s discharge frontrunner sites – Coventry and Warwickshire ICS.</w:t>
      </w:r>
      <w:r w:rsidRPr="0023073D">
        <w:rPr>
          <w:rFonts w:ascii="Arial" w:hAnsi="Arial" w:cs="Arial"/>
          <w:lang w:val="en-GB"/>
        </w:rPr>
        <w:t xml:space="preserve"> </w:t>
      </w:r>
      <w:hyperlink r:id="rId32" w:tgtFrame="_blank" w:history="1">
        <w:r w:rsidRPr="0023073D">
          <w:rPr>
            <w:rStyle w:val="Hyperlink"/>
            <w:rFonts w:ascii="Arial" w:hAnsi="Arial" w:cs="Arial"/>
          </w:rPr>
          <w:t>https://nhsproviders.org/resources/innovation-is-key-early-learnings-from-nhs-englands-discharge-frontrunner-sites/coventry-and-warwickshire-ics</w:t>
        </w:r>
      </w:hyperlink>
    </w:p>
    <w:p w:rsidR="009A29B4" w:rsidRPr="0023073D" w:rsidP="009A29B4" w14:paraId="57F87E1C" w14:textId="77777777">
      <w:pPr>
        <w:spacing w:before="100" w:beforeAutospacing="1" w:after="100" w:afterAutospacing="1"/>
        <w:jc w:val="both"/>
        <w:rPr>
          <w:rFonts w:ascii="Arial" w:hAnsi="Arial" w:cs="Arial"/>
        </w:rPr>
      </w:pPr>
      <w:r w:rsidRPr="0023073D">
        <w:rPr>
          <w:rFonts w:ascii="Arial" w:hAnsi="Arial" w:cs="Arial"/>
          <w:lang w:val="en-GB"/>
        </w:rPr>
        <w:t xml:space="preserve">NHS Providers. (2023b). </w:t>
      </w:r>
      <w:r w:rsidRPr="0023073D">
        <w:rPr>
          <w:rFonts w:ascii="Arial" w:hAnsi="Arial" w:cs="Arial"/>
          <w:i/>
          <w:iCs/>
          <w:lang w:val="en-GB"/>
        </w:rPr>
        <w:t>Early learnings from NHS England’s discharge frontrunner sites – Leeds Health and Care Partnership.</w:t>
      </w:r>
      <w:r w:rsidRPr="0023073D">
        <w:rPr>
          <w:rFonts w:ascii="Arial" w:hAnsi="Arial" w:cs="Arial"/>
          <w:lang w:val="en-GB"/>
        </w:rPr>
        <w:t xml:space="preserve"> </w:t>
      </w:r>
      <w:hyperlink r:id="rId33" w:tgtFrame="_blank" w:history="1">
        <w:r w:rsidRPr="0023073D">
          <w:rPr>
            <w:rStyle w:val="Hyperlink"/>
            <w:rFonts w:ascii="Arial" w:hAnsi="Arial" w:cs="Arial"/>
          </w:rPr>
          <w:t>https://nhsproviders.org/resources/innovation-is-key-early-learnings-from-nhs-englands-discharge-frontrunner-sites/leeds-health-and-care-partnership</w:t>
        </w:r>
      </w:hyperlink>
    </w:p>
    <w:p w:rsidR="009A29B4" w:rsidRPr="0023073D" w:rsidP="009A29B4" w14:paraId="730AECD5" w14:textId="77777777">
      <w:pPr>
        <w:spacing w:before="360" w:after="80"/>
        <w:jc w:val="both"/>
        <w:rPr>
          <w:rFonts w:ascii="Arial" w:hAnsi="Arial" w:cs="Arial"/>
        </w:rPr>
      </w:pPr>
      <w:r w:rsidRPr="0023073D">
        <w:rPr>
          <w:rFonts w:ascii="Arial" w:hAnsi="Arial" w:cs="Arial"/>
          <w:lang w:val="en-GB"/>
        </w:rPr>
        <w:t xml:space="preserve">NHS Providers. (2025). </w:t>
      </w:r>
      <w:r w:rsidRPr="0023073D">
        <w:rPr>
          <w:rFonts w:ascii="Arial" w:hAnsi="Arial" w:cs="Arial"/>
          <w:i/>
          <w:iCs/>
          <w:lang w:val="en-GB"/>
        </w:rPr>
        <w:t>Delivering the shift to prevention: Structural reforms for the NHS community sector</w:t>
      </w:r>
      <w:r w:rsidRPr="0023073D">
        <w:rPr>
          <w:rFonts w:ascii="Arial" w:hAnsi="Arial" w:cs="Arial"/>
          <w:lang w:val="en-GB"/>
        </w:rPr>
        <w:t xml:space="preserve">. </w:t>
      </w:r>
      <w:hyperlink r:id="rId34" w:tgtFrame="_blank" w:history="1">
        <w:r w:rsidRPr="0023073D">
          <w:rPr>
            <w:rStyle w:val="Hyperlink"/>
            <w:rFonts w:ascii="Arial" w:hAnsi="Arial" w:cs="Arial"/>
          </w:rPr>
          <w:t>https://nhsproviders.org/resources/delivering-the-shift-to-prevention</w:t>
        </w:r>
      </w:hyperlink>
    </w:p>
    <w:p w:rsidR="009A29B4" w:rsidRPr="0023073D" w:rsidP="009A29B4" w14:paraId="052CA078" w14:textId="77777777">
      <w:pPr>
        <w:spacing w:before="360" w:after="80"/>
        <w:jc w:val="both"/>
        <w:rPr>
          <w:rFonts w:ascii="Arial" w:hAnsi="Arial" w:cs="Arial"/>
          <w:lang w:val="en-GB"/>
        </w:rPr>
      </w:pPr>
      <w:r w:rsidRPr="0023073D">
        <w:rPr>
          <w:rFonts w:ascii="Arial" w:hAnsi="Arial" w:cs="Arial"/>
        </w:rPr>
        <w:t xml:space="preserve">Pellico-López, A., Fernández-Feito, A., Cantarero, D., Herrero-Montes, M., </w:t>
      </w:r>
      <w:r w:rsidRPr="0023073D">
        <w:rPr>
          <w:rFonts w:ascii="Arial" w:hAnsi="Arial" w:cs="Arial"/>
        </w:rPr>
        <w:t>Cayón</w:t>
      </w:r>
      <w:r w:rsidRPr="0023073D">
        <w:rPr>
          <w:rFonts w:ascii="Arial" w:hAnsi="Arial" w:cs="Arial"/>
        </w:rPr>
        <w:t xml:space="preserve">-de las Cuevas, J., </w:t>
      </w:r>
      <w:r w:rsidRPr="0023073D">
        <w:rPr>
          <w:rFonts w:ascii="Arial" w:hAnsi="Arial" w:cs="Arial"/>
        </w:rPr>
        <w:t>Parás</w:t>
      </w:r>
      <w:r w:rsidRPr="0023073D">
        <w:rPr>
          <w:rFonts w:ascii="Arial" w:hAnsi="Arial" w:cs="Arial"/>
        </w:rPr>
        <w:t xml:space="preserve">-Bravo, P., &amp; Paz-Zulueta, M. (2022). </w:t>
      </w:r>
      <w:r w:rsidRPr="0023073D">
        <w:rPr>
          <w:rFonts w:ascii="Arial" w:hAnsi="Arial" w:cs="Arial"/>
          <w:lang w:val="en-GB"/>
        </w:rPr>
        <w:t xml:space="preserve">Cost of stay and characteristics of patients with stroke and delayed discharge for non-clinical reasons. </w:t>
      </w:r>
      <w:r w:rsidRPr="0023073D">
        <w:rPr>
          <w:rFonts w:ascii="Arial" w:hAnsi="Arial" w:cs="Arial"/>
          <w:i/>
          <w:iCs/>
          <w:lang w:val="en-GB"/>
        </w:rPr>
        <w:t>Scientific Reports, 12</w:t>
      </w:r>
      <w:r w:rsidRPr="0023073D">
        <w:rPr>
          <w:rFonts w:ascii="Arial" w:hAnsi="Arial" w:cs="Arial"/>
          <w:lang w:val="en-GB"/>
        </w:rPr>
        <w:t xml:space="preserve">, 10854. </w:t>
      </w:r>
      <w:hyperlink r:id="rId35" w:tgtFrame="_new" w:history="1">
        <w:r w:rsidRPr="0023073D">
          <w:rPr>
            <w:rStyle w:val="Hyperlink"/>
            <w:rFonts w:ascii="Arial" w:hAnsi="Arial" w:cs="Arial"/>
            <w:lang w:val="en-GB"/>
          </w:rPr>
          <w:t>https://doi.org/10.1038/s41598-022-14502-5</w:t>
        </w:r>
      </w:hyperlink>
    </w:p>
    <w:p w:rsidR="009A29B4" w:rsidRPr="0023073D" w:rsidP="009A29B4" w14:paraId="62A6D63F" w14:textId="77777777">
      <w:pPr>
        <w:spacing w:before="360" w:after="80"/>
        <w:jc w:val="both"/>
        <w:rPr>
          <w:rFonts w:ascii="Arial" w:hAnsi="Arial" w:cs="Arial"/>
          <w:lang w:val="en-GB"/>
        </w:rPr>
      </w:pPr>
      <w:r w:rsidRPr="0023073D">
        <w:rPr>
          <w:rFonts w:ascii="Arial" w:hAnsi="Arial" w:cs="Arial"/>
        </w:rPr>
        <w:t xml:space="preserve">Veronese, N., </w:t>
      </w:r>
      <w:r w:rsidRPr="0023073D">
        <w:rPr>
          <w:rFonts w:ascii="Arial" w:hAnsi="Arial" w:cs="Arial"/>
        </w:rPr>
        <w:t>Custodero</w:t>
      </w:r>
      <w:r w:rsidRPr="0023073D">
        <w:rPr>
          <w:rFonts w:ascii="Arial" w:hAnsi="Arial" w:cs="Arial"/>
        </w:rPr>
        <w:t xml:space="preserve">, C., </w:t>
      </w:r>
      <w:r w:rsidRPr="0023073D">
        <w:rPr>
          <w:rFonts w:ascii="Arial" w:hAnsi="Arial" w:cs="Arial"/>
        </w:rPr>
        <w:t>Demurtas</w:t>
      </w:r>
      <w:r w:rsidRPr="0023073D">
        <w:rPr>
          <w:rFonts w:ascii="Arial" w:hAnsi="Arial" w:cs="Arial"/>
        </w:rPr>
        <w:t xml:space="preserve">, J., Smith, L., Barbagallo, M., Maggi, S., Cella, A., Vanacore, N., Lora Aprile, P., Ferrucci, L., &amp; </w:t>
      </w:r>
      <w:r w:rsidRPr="0023073D">
        <w:rPr>
          <w:rFonts w:ascii="Arial" w:hAnsi="Arial" w:cs="Arial"/>
        </w:rPr>
        <w:t>Pilotto</w:t>
      </w:r>
      <w:r w:rsidRPr="0023073D">
        <w:rPr>
          <w:rFonts w:ascii="Arial" w:hAnsi="Arial" w:cs="Arial"/>
        </w:rPr>
        <w:t xml:space="preserve">, A. (2022). </w:t>
      </w:r>
      <w:r w:rsidRPr="0023073D">
        <w:rPr>
          <w:rFonts w:ascii="Arial" w:hAnsi="Arial" w:cs="Arial"/>
          <w:lang w:val="en-GB"/>
        </w:rPr>
        <w:t xml:space="preserve">Comprehensive geriatric assessment in older people: An umbrella review of health outcomes. </w:t>
      </w:r>
      <w:r w:rsidRPr="0023073D">
        <w:rPr>
          <w:rStyle w:val="Emphasis"/>
          <w:rFonts w:ascii="Arial" w:hAnsi="Arial" w:eastAsiaTheme="majorEastAsia" w:cs="Arial"/>
          <w:lang w:val="en-GB"/>
        </w:rPr>
        <w:t>Age and Ageing, 51</w:t>
      </w:r>
      <w:r w:rsidRPr="0023073D">
        <w:rPr>
          <w:rFonts w:ascii="Arial" w:hAnsi="Arial" w:cs="Arial"/>
          <w:lang w:val="en-GB"/>
        </w:rPr>
        <w:t xml:space="preserve">(5), afac104. </w:t>
      </w:r>
      <w:hyperlink r:id="rId36" w:history="1">
        <w:r w:rsidRPr="0023073D">
          <w:rPr>
            <w:rStyle w:val="Hyperlink"/>
            <w:rFonts w:ascii="Arial" w:hAnsi="Arial" w:cs="Arial"/>
            <w:lang w:val="en-GB"/>
          </w:rPr>
          <w:t>https://doi.org/10.1093/ageing/afac104</w:t>
        </w:r>
      </w:hyperlink>
      <w:r w:rsidRPr="0023073D">
        <w:rPr>
          <w:rFonts w:ascii="Arial" w:hAnsi="Arial" w:cs="Arial"/>
          <w:lang w:val="en-GB"/>
        </w:rPr>
        <w:t xml:space="preserve"> </w:t>
      </w:r>
    </w:p>
    <w:p w:rsidR="009A29B4" w:rsidRPr="0023073D" w:rsidP="009A29B4" w14:paraId="35762640" w14:textId="77777777">
      <w:pPr>
        <w:spacing w:before="360" w:after="80"/>
        <w:jc w:val="both"/>
        <w:rPr>
          <w:rFonts w:ascii="Arial" w:hAnsi="Arial" w:cs="Arial"/>
          <w:lang w:val="en-GB"/>
        </w:rPr>
      </w:pPr>
      <w:r w:rsidRPr="0023073D">
        <w:rPr>
          <w:rFonts w:ascii="Arial" w:hAnsi="Arial" w:cs="Arial"/>
          <w:lang w:val="en-GB"/>
        </w:rPr>
        <w:t xml:space="preserve">Voss, R., Gardner, R., Baier, R., Butterfield, K., Lehrman, S., &amp; Gravenstein, S. (2011). The Care Transitions Intervention: Translating from efficacy to effectiveness. </w:t>
      </w:r>
      <w:r w:rsidRPr="0023073D">
        <w:rPr>
          <w:rFonts w:ascii="Arial" w:hAnsi="Arial" w:cs="Arial"/>
          <w:i/>
          <w:iCs/>
          <w:lang w:val="en-GB"/>
        </w:rPr>
        <w:t>Archives of Internal Medicine, 171</w:t>
      </w:r>
      <w:r w:rsidRPr="0023073D">
        <w:rPr>
          <w:rFonts w:ascii="Arial" w:hAnsi="Arial" w:cs="Arial"/>
          <w:lang w:val="en-GB"/>
        </w:rPr>
        <w:t xml:space="preserve">(14), 1232–1237. </w:t>
      </w:r>
      <w:hyperlink r:id="rId37" w:tgtFrame="_new" w:history="1">
        <w:r w:rsidRPr="0023073D">
          <w:rPr>
            <w:rStyle w:val="Hyperlink"/>
            <w:rFonts w:ascii="Arial" w:hAnsi="Arial" w:cs="Arial"/>
            <w:lang w:val="en-GB"/>
          </w:rPr>
          <w:t>https://pubmed.ncbi.nlm.nih.gov/21788540/</w:t>
        </w:r>
      </w:hyperlink>
    </w:p>
    <w:p w:rsidR="009A29B4" w:rsidRPr="00A3146B" w:rsidP="009A29B4" w14:paraId="10A6264A" w14:textId="77777777">
      <w:pPr>
        <w:spacing w:before="100" w:beforeAutospacing="1" w:after="100" w:afterAutospacing="1"/>
        <w:jc w:val="both"/>
        <w:rPr>
          <w:rFonts w:ascii="Arial" w:hAnsi="Arial" w:cs="Arial"/>
          <w:lang w:val="en-GB"/>
        </w:rPr>
      </w:pPr>
      <w:r w:rsidRPr="0023073D">
        <w:rPr>
          <w:rFonts w:ascii="Arial" w:hAnsi="Arial" w:cs="Arial"/>
          <w:lang w:val="en-GB"/>
        </w:rPr>
        <w:t xml:space="preserve">Palacios, A., Walker, S., Woods, B., Hewitt, C., Cracknell, A., Murray, J., Lawton, R., &amp; Richardson, G. (2024). The economic value of empowering older patients transitioning from hospital to home: Evidence from the Your Care Needs </w:t>
      </w:r>
      <w:r w:rsidRPr="0023073D">
        <w:rPr>
          <w:rFonts w:ascii="Arial" w:hAnsi="Arial" w:cs="Arial"/>
          <w:lang w:val="en-GB"/>
        </w:rPr>
        <w:t>You</w:t>
      </w:r>
      <w:r w:rsidRPr="0023073D">
        <w:rPr>
          <w:rFonts w:ascii="Arial" w:hAnsi="Arial" w:cs="Arial"/>
          <w:lang w:val="en-GB"/>
        </w:rPr>
        <w:t xml:space="preserve"> intervention. </w:t>
      </w:r>
      <w:r w:rsidRPr="0023073D">
        <w:rPr>
          <w:rFonts w:ascii="Arial" w:hAnsi="Arial" w:cs="Arial"/>
          <w:i/>
          <w:iCs/>
          <w:lang w:val="en-GB"/>
        </w:rPr>
        <w:t xml:space="preserve">White Rose Research Online. </w:t>
      </w:r>
      <w:hyperlink r:id="rId38" w:history="1">
        <w:r w:rsidRPr="00A3146B">
          <w:rPr>
            <w:rStyle w:val="Hyperlink"/>
            <w:rFonts w:ascii="Arial" w:hAnsi="Arial" w:cs="Arial"/>
            <w:lang w:val="en-GB"/>
          </w:rPr>
          <w:t>https://eprints.whiterose.ac.uk/id/eprint/221137/1/2411.04339v2.pdf</w:t>
        </w:r>
      </w:hyperlink>
      <w:r w:rsidRPr="00A3146B">
        <w:rPr>
          <w:rFonts w:ascii="Arial" w:hAnsi="Arial" w:cs="Arial"/>
          <w:lang w:val="en-GB"/>
        </w:rPr>
        <w:t xml:space="preserve"> </w:t>
      </w:r>
    </w:p>
    <w:p w:rsidR="009A29B4" w:rsidRPr="0023073D" w:rsidP="009A29B4" w14:paraId="5117B1D5" w14:textId="77777777">
      <w:pPr>
        <w:spacing w:before="360" w:after="80"/>
        <w:jc w:val="both"/>
        <w:rPr>
          <w:rFonts w:ascii="Arial" w:hAnsi="Arial" w:cs="Arial"/>
          <w:lang w:val="en-GB"/>
        </w:rPr>
      </w:pPr>
      <w:r w:rsidRPr="00A3146B">
        <w:rPr>
          <w:rFonts w:ascii="Arial" w:hAnsi="Arial" w:cs="Arial"/>
          <w:lang w:val="sv-SE"/>
        </w:rPr>
        <w:t xml:space="preserve">Wood, R. M., Harper, A. L., Onen-Dumlu, Z., Forte, P. G., Pitt, M., &amp; Vasilakis, C. (2023). </w:t>
      </w:r>
      <w:r w:rsidRPr="0023073D">
        <w:rPr>
          <w:rFonts w:ascii="Arial" w:hAnsi="Arial" w:cs="Arial"/>
          <w:lang w:val="en-GB"/>
        </w:rPr>
        <w:t xml:space="preserve">The false economy of seeking to eliminate delayed transfers of care: Some lessons from queueing theory. </w:t>
      </w:r>
      <w:r w:rsidRPr="0023073D">
        <w:rPr>
          <w:rFonts w:ascii="Arial" w:hAnsi="Arial" w:cs="Arial"/>
          <w:i/>
          <w:iCs/>
          <w:lang w:val="en-GB"/>
        </w:rPr>
        <w:t>Applied Health Economics and Health Policy, 21</w:t>
      </w:r>
      <w:r w:rsidRPr="0023073D">
        <w:rPr>
          <w:rFonts w:ascii="Arial" w:hAnsi="Arial" w:cs="Arial"/>
          <w:lang w:val="en-GB"/>
        </w:rPr>
        <w:t xml:space="preserve">(2), 243–251. </w:t>
      </w:r>
      <w:hyperlink r:id="rId39" w:tgtFrame="_new" w:history="1">
        <w:r w:rsidRPr="0023073D">
          <w:rPr>
            <w:rStyle w:val="Hyperlink"/>
            <w:rFonts w:ascii="Arial" w:hAnsi="Arial" w:cs="Arial"/>
            <w:lang w:val="en-GB"/>
          </w:rPr>
          <w:t>https://doi.org/10.1007/s40258-022-00777-2</w:t>
        </w:r>
      </w:hyperlink>
    </w:p>
    <w:p w:rsidR="009A29B4" w:rsidRPr="0023073D" w:rsidP="009A29B4" w14:paraId="150E2720" w14:textId="77777777">
      <w:pPr>
        <w:spacing w:before="360" w:after="80"/>
        <w:jc w:val="both"/>
        <w:rPr>
          <w:rFonts w:ascii="Arial" w:hAnsi="Arial" w:cs="Arial"/>
          <w:lang w:val="en-GB"/>
        </w:rPr>
      </w:pPr>
      <w:r w:rsidRPr="00A3146B">
        <w:rPr>
          <w:rFonts w:ascii="Arial" w:hAnsi="Arial" w:cs="Arial"/>
          <w:lang w:val="de-DE"/>
        </w:rPr>
        <w:t xml:space="preserve">Zychlinski, N., Mandelbaum, A., Momčilović, P., &amp; Cohen, I. (2020). </w:t>
      </w:r>
      <w:r w:rsidRPr="0023073D">
        <w:rPr>
          <w:rFonts w:ascii="Arial" w:hAnsi="Arial" w:cs="Arial"/>
          <w:lang w:val="en-GB"/>
        </w:rPr>
        <w:t xml:space="preserve">Bed blocking in hospitals due to scarce capacity in geriatric institutions—Cost minimization via fluid models. </w:t>
      </w:r>
      <w:r w:rsidRPr="0023073D">
        <w:rPr>
          <w:rFonts w:ascii="Arial" w:hAnsi="Arial" w:cs="Arial"/>
          <w:i/>
          <w:iCs/>
          <w:lang w:val="en-GB"/>
        </w:rPr>
        <w:t>Manufacturing &amp; Service Operations Management, 22</w:t>
      </w:r>
      <w:r w:rsidRPr="0023073D">
        <w:rPr>
          <w:rFonts w:ascii="Arial" w:hAnsi="Arial" w:cs="Arial"/>
          <w:lang w:val="en-GB"/>
        </w:rPr>
        <w:t xml:space="preserve">(2), 396–411. </w:t>
      </w:r>
      <w:hyperlink r:id="rId40" w:tgtFrame="_new" w:history="1">
        <w:r w:rsidRPr="0023073D">
          <w:rPr>
            <w:rStyle w:val="Hyperlink"/>
            <w:rFonts w:ascii="Arial" w:hAnsi="Arial" w:cs="Arial"/>
            <w:lang w:val="en-GB"/>
          </w:rPr>
          <w:t>https://doi.org/10.1287/msom.2018.0745</w:t>
        </w:r>
      </w:hyperlink>
    </w:p>
    <w:p w:rsidR="009A29B4" w:rsidRPr="0023073D" w:rsidP="009A29B4" w14:paraId="5AFFBBEF" w14:textId="77777777">
      <w:pPr>
        <w:spacing w:before="360" w:after="80"/>
        <w:jc w:val="both"/>
        <w:rPr>
          <w:rFonts w:ascii="Arial" w:hAnsi="Arial" w:cs="Arial"/>
          <w:lang w:val="en-GB"/>
        </w:rPr>
      </w:pPr>
    </w:p>
    <w:sectPr w:rsidSect="00F80909">
      <w:headerReference w:type="default" r:id="rId41"/>
      <w:footerReference w:type="default" r:id="rId42"/>
      <w:headerReference w:type="first" r:id="rId43"/>
      <w:footerReference w:type="first" r:id="rId44"/>
      <w:pgSz w:w="11901" w:h="16817"/>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1011113317"/>
      <w:docPartObj>
        <w:docPartGallery w:val="Page Numbers (Bottom of Page)"/>
        <w:docPartUnique/>
      </w:docPartObj>
    </w:sdtPr>
    <w:sdtEndPr>
      <w:rPr>
        <w:rFonts w:ascii="Arial" w:hAnsi="Arial" w:cs="Arial"/>
        <w:sz w:val="18"/>
        <w:szCs w:val="18"/>
      </w:rPr>
    </w:sdtEndPr>
    <w:sdtContent>
      <w:p w:rsidR="00F80909" w:rsidRPr="00F80909" w14:paraId="176B267A" w14:textId="774145E0">
        <w:pPr>
          <w:pStyle w:val="Footer"/>
          <w:jc w:val="center"/>
          <w:rPr>
            <w:rFonts w:ascii="Arial" w:hAnsi="Arial" w:cs="Arial"/>
            <w:sz w:val="18"/>
            <w:szCs w:val="18"/>
          </w:rPr>
        </w:pPr>
        <w:r w:rsidRPr="00F80909">
          <w:rPr>
            <w:rFonts w:ascii="Arial" w:hAnsi="Arial" w:cs="Arial"/>
            <w:sz w:val="18"/>
            <w:szCs w:val="18"/>
          </w:rPr>
          <w:fldChar w:fldCharType="begin"/>
        </w:r>
        <w:r w:rsidRPr="00F80909">
          <w:rPr>
            <w:rFonts w:ascii="Arial" w:hAnsi="Arial" w:cs="Arial"/>
            <w:sz w:val="18"/>
            <w:szCs w:val="18"/>
          </w:rPr>
          <w:instrText>PAGE   \* MERGEFORMAT</w:instrText>
        </w:r>
        <w:r w:rsidRPr="00F80909">
          <w:rPr>
            <w:rFonts w:ascii="Arial" w:hAnsi="Arial" w:cs="Arial"/>
            <w:sz w:val="18"/>
            <w:szCs w:val="18"/>
          </w:rPr>
          <w:fldChar w:fldCharType="separate"/>
        </w:r>
        <w:r w:rsidRPr="00F80909">
          <w:rPr>
            <w:rFonts w:ascii="Arial" w:hAnsi="Arial" w:cs="Arial"/>
            <w:sz w:val="18"/>
            <w:szCs w:val="18"/>
            <w:lang w:val="en-GB"/>
          </w:rPr>
          <w:t>2</w:t>
        </w:r>
        <w:r w:rsidRPr="00F80909">
          <w:rPr>
            <w:rFonts w:ascii="Arial" w:hAnsi="Arial" w:cs="Arial"/>
            <w:sz w:val="18"/>
            <w:szCs w:val="18"/>
          </w:rPr>
          <w:fldChar w:fldCharType="end"/>
        </w:r>
      </w:p>
    </w:sdtContent>
  </w:sdt>
  <w:p w:rsidR="00F80909" w14:paraId="4702EF5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845011099"/>
      <w:docPartObj>
        <w:docPartGallery w:val="Page Numbers (Bottom of Page)"/>
        <w:docPartUnique/>
      </w:docPartObj>
    </w:sdtPr>
    <w:sdtContent>
      <w:p w:rsidR="009A29B4" w14:paraId="17BB0412" w14:textId="66530DC7">
        <w:pPr>
          <w:pStyle w:val="Footer"/>
          <w:jc w:val="center"/>
        </w:pPr>
        <w:r>
          <w:fldChar w:fldCharType="begin"/>
        </w:r>
        <w:r>
          <w:instrText>PAGE   \* MERGEFORMAT</w:instrText>
        </w:r>
        <w:r>
          <w:fldChar w:fldCharType="separate"/>
        </w:r>
        <w:r>
          <w:rPr>
            <w:lang w:val="en-GB"/>
          </w:rPr>
          <w:t>2</w:t>
        </w:r>
        <w:r>
          <w:fldChar w:fldCharType="end"/>
        </w:r>
      </w:p>
    </w:sdtContent>
  </w:sdt>
  <w:p w:rsidR="00845E88" w:rsidP="00484DB0" w14:paraId="4295FA04" w14:textId="71C7C41A">
    <w:pPr>
      <w:pStyle w:val="Footer"/>
      <w:jc w:val="right"/>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49322D" w14:paraId="443A97AD" w14:textId="426A1B26">
    <w:pPr>
      <w:pStyle w:val="Header"/>
    </w:pPr>
    <w:r>
      <w:rPr>
        <w:noProof/>
        <w:lang w:val="en-GB" w:eastAsia="en-GB"/>
      </w:rPr>
      <w:drawing>
        <wp:anchor distT="0" distB="0" distL="114300" distR="114300" simplePos="0" relativeHeight="251658240" behindDoc="0" locked="0" layoutInCell="1" allowOverlap="1">
          <wp:simplePos x="0" y="0"/>
          <wp:positionH relativeFrom="page">
            <wp:align>left</wp:align>
          </wp:positionH>
          <wp:positionV relativeFrom="paragraph">
            <wp:posOffset>-448310</wp:posOffset>
          </wp:positionV>
          <wp:extent cx="7569200" cy="151066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_background_1-12_RGB_version_6c_cropped.jpg"/>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569200" cy="151066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45E88" w14:paraId="21B8D1C1" w14:textId="710CBF2E">
    <w:pPr>
      <w:pStyle w:val="Header"/>
    </w:pPr>
    <w:r>
      <w:rPr>
        <w:noProof/>
        <w:lang w:val="en-GB" w:eastAsia="en-GB"/>
      </w:rPr>
      <w:drawing>
        <wp:anchor distT="0" distB="0" distL="114300" distR="114300" simplePos="0" relativeHeight="251659264" behindDoc="0" locked="0" layoutInCell="1" allowOverlap="1">
          <wp:simplePos x="0" y="0"/>
          <wp:positionH relativeFrom="column">
            <wp:posOffset>-936625</wp:posOffset>
          </wp:positionH>
          <wp:positionV relativeFrom="paragraph">
            <wp:posOffset>-450215</wp:posOffset>
          </wp:positionV>
          <wp:extent cx="7559040" cy="1276985"/>
          <wp:effectExtent l="0" t="0" r="1016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background_1-12_RGB_version_6c_cropped.jpg"/>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559040" cy="127698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15:restartNumberingAfterBreak="0">
    <w:nsid w:val="01E026CD"/>
    <w:multiLevelType w:val="hybridMultilevel"/>
    <w:tmpl w:val="984E980A"/>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 w15:restartNumberingAfterBreak="0">
    <w:nsid w:val="0EB60950"/>
    <w:multiLevelType w:val="hybridMultilevel"/>
    <w:tmpl w:val="29A0442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15:restartNumberingAfterBreak="0">
    <w:nsid w:val="11AC3117"/>
    <w:multiLevelType w:val="hybridMultilevel"/>
    <w:tmpl w:val="6E9E3FBC"/>
    <w:lvl w:ilvl="0">
      <w:start w:val="1"/>
      <w:numFmt w:val="decimal"/>
      <w:lvlText w:val="%1"/>
      <w:lvlJc w:val="left"/>
      <w:pPr>
        <w:ind w:left="720" w:hanging="72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15:restartNumberingAfterBreak="0">
    <w:nsid w:val="16236E09"/>
    <w:multiLevelType w:val="hybridMultilevel"/>
    <w:tmpl w:val="36A8133C"/>
    <w:lvl w:ilvl="0">
      <w:start w:val="19"/>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19266A98"/>
    <w:multiLevelType w:val="hybridMultilevel"/>
    <w:tmpl w:val="8ADA70B4"/>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5" w15:restartNumberingAfterBreak="0">
    <w:nsid w:val="19FD3689"/>
    <w:multiLevelType w:val="hybridMultilevel"/>
    <w:tmpl w:val="E08E6974"/>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15:restartNumberingAfterBreak="0">
    <w:nsid w:val="1AB26751"/>
    <w:multiLevelType w:val="multilevel"/>
    <w:tmpl w:val="C0DA0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2C1833"/>
    <w:multiLevelType w:val="hybridMultilevel"/>
    <w:tmpl w:val="F34C6650"/>
    <w:lvl w:ilvl="0">
      <w:start w:val="1"/>
      <w:numFmt w:val="decimal"/>
      <w:lvlText w:val="%1."/>
      <w:lvlJc w:val="left"/>
      <w:pPr>
        <w:ind w:left="360" w:hanging="360"/>
      </w:pPr>
      <w:rPr>
        <w:rFonts w:hint="default"/>
      </w:rPr>
    </w:lvl>
    <w:lvl w:ilvl="1">
      <w:start w:val="0"/>
      <w:numFmt w:val="bullet"/>
      <w:lvlText w:val="•"/>
      <w:lvlJc w:val="left"/>
      <w:pPr>
        <w:ind w:left="1440" w:hanging="720"/>
      </w:pPr>
      <w:rPr>
        <w:rFonts w:ascii="Verdana" w:eastAsia="Times New Roman" w:hAnsi="Verdana" w:cs="Verdana"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 w15:restartNumberingAfterBreak="0">
    <w:nsid w:val="1C104BE4"/>
    <w:multiLevelType w:val="hybridMultilevel"/>
    <w:tmpl w:val="6002C02C"/>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9" w15:restartNumberingAfterBreak="0">
    <w:nsid w:val="226537F3"/>
    <w:multiLevelType w:val="hybridMultilevel"/>
    <w:tmpl w:val="315ADAC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227A4C44"/>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7981996"/>
    <w:multiLevelType w:val="hybridMultilevel"/>
    <w:tmpl w:val="946A1AF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15:restartNumberingAfterBreak="0">
    <w:nsid w:val="29654482"/>
    <w:multiLevelType w:val="hybridMultilevel"/>
    <w:tmpl w:val="5094963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15:restartNumberingAfterBreak="0">
    <w:nsid w:val="2A470FA7"/>
    <w:multiLevelType w:val="hybridMultilevel"/>
    <w:tmpl w:val="53BCC5D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15:restartNumberingAfterBreak="0">
    <w:nsid w:val="2B587D0C"/>
    <w:multiLevelType w:val="hybridMultilevel"/>
    <w:tmpl w:val="0AAA7AC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5" w15:restartNumberingAfterBreak="0">
    <w:nsid w:val="30BF546E"/>
    <w:multiLevelType w:val="hybridMultilevel"/>
    <w:tmpl w:val="B00C2F5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6" w15:restartNumberingAfterBreak="0">
    <w:nsid w:val="387350F5"/>
    <w:multiLevelType w:val="multilevel"/>
    <w:tmpl w:val="32B21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75251A"/>
    <w:multiLevelType w:val="hybridMultilevel"/>
    <w:tmpl w:val="2D5455E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15:restartNumberingAfterBreak="0">
    <w:nsid w:val="3B3D5CF9"/>
    <w:multiLevelType w:val="multilevel"/>
    <w:tmpl w:val="9A6A6CD4"/>
    <w:lvl w:ilvl="0">
      <w:start w:val="1"/>
      <w:numFmt w:val="decimal"/>
      <w:lvlText w:val="%1."/>
      <w:lvlJc w:val="left"/>
      <w:pPr>
        <w:ind w:left="400" w:hanging="400"/>
      </w:pPr>
      <w:rPr>
        <w:rFonts w:hint="default"/>
      </w:rPr>
    </w:lvl>
    <w:lvl w:ilvl="1">
      <w:start w:val="2"/>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3F822C77"/>
    <w:multiLevelType w:val="multilevel"/>
    <w:tmpl w:val="9A6A6CD4"/>
    <w:lvl w:ilvl="0">
      <w:start w:val="1"/>
      <w:numFmt w:val="decimal"/>
      <w:lvlText w:val="%1."/>
      <w:lvlJc w:val="left"/>
      <w:pPr>
        <w:ind w:left="760" w:hanging="40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0106D20"/>
    <w:multiLevelType w:val="hybridMultilevel"/>
    <w:tmpl w:val="5EBE3242"/>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1" w15:restartNumberingAfterBreak="0">
    <w:nsid w:val="40F534C4"/>
    <w:multiLevelType w:val="hybridMultilevel"/>
    <w:tmpl w:val="093211B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2" w15:restartNumberingAfterBreak="0">
    <w:nsid w:val="41767EEF"/>
    <w:multiLevelType w:val="hybridMultilevel"/>
    <w:tmpl w:val="5E50B9A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3" w15:restartNumberingAfterBreak="0">
    <w:nsid w:val="42766E21"/>
    <w:multiLevelType w:val="hybridMultilevel"/>
    <w:tmpl w:val="4B4401F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15:restartNumberingAfterBreak="0">
    <w:nsid w:val="435A1C7B"/>
    <w:multiLevelType w:val="multilevel"/>
    <w:tmpl w:val="807A4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D90A50"/>
    <w:multiLevelType w:val="hybridMultilevel"/>
    <w:tmpl w:val="E872030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15:restartNumberingAfterBreak="0">
    <w:nsid w:val="47E15732"/>
    <w:multiLevelType w:val="hybridMultilevel"/>
    <w:tmpl w:val="B86A30C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7" w15:restartNumberingAfterBreak="0">
    <w:nsid w:val="4E5A2307"/>
    <w:multiLevelType w:val="hybridMultilevel"/>
    <w:tmpl w:val="0140478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8" w15:restartNumberingAfterBreak="0">
    <w:nsid w:val="4FAC3DE0"/>
    <w:multiLevelType w:val="hybridMultilevel"/>
    <w:tmpl w:val="19567E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9" w15:restartNumberingAfterBreak="0">
    <w:nsid w:val="4FD4451F"/>
    <w:multiLevelType w:val="hybridMultilevel"/>
    <w:tmpl w:val="0A5E1E3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0" w15:restartNumberingAfterBreak="0">
    <w:nsid w:val="5ED550B8"/>
    <w:multiLevelType w:val="hybridMultilevel"/>
    <w:tmpl w:val="C97E691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1" w15:restartNumberingAfterBreak="0">
    <w:nsid w:val="60185191"/>
    <w:multiLevelType w:val="hybridMultilevel"/>
    <w:tmpl w:val="E7B239B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2" w15:restartNumberingAfterBreak="0">
    <w:nsid w:val="62C72DFD"/>
    <w:multiLevelType w:val="hybridMultilevel"/>
    <w:tmpl w:val="0DA6F5F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3" w15:restartNumberingAfterBreak="0">
    <w:nsid w:val="697277DF"/>
    <w:multiLevelType w:val="hybridMultilevel"/>
    <w:tmpl w:val="EABCE64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69AE750B"/>
    <w:multiLevelType w:val="hybridMultilevel"/>
    <w:tmpl w:val="D9F41A3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5" w15:restartNumberingAfterBreak="0">
    <w:nsid w:val="6C62440C"/>
    <w:multiLevelType w:val="hybridMultilevel"/>
    <w:tmpl w:val="94980720"/>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6" w15:restartNumberingAfterBreak="0">
    <w:nsid w:val="6D3605B0"/>
    <w:multiLevelType w:val="hybridMultilevel"/>
    <w:tmpl w:val="D464A36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7" w15:restartNumberingAfterBreak="0">
    <w:nsid w:val="6ED82368"/>
    <w:multiLevelType w:val="hybridMultilevel"/>
    <w:tmpl w:val="EDD8FD3A"/>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8" w15:restartNumberingAfterBreak="0">
    <w:nsid w:val="6F781BDF"/>
    <w:multiLevelType w:val="hybridMultilevel"/>
    <w:tmpl w:val="583C4BE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9" w15:restartNumberingAfterBreak="0">
    <w:nsid w:val="72197405"/>
    <w:multiLevelType w:val="hybridMultilevel"/>
    <w:tmpl w:val="86DAD45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0" w15:restartNumberingAfterBreak="0">
    <w:nsid w:val="74A35479"/>
    <w:multiLevelType w:val="hybridMultilevel"/>
    <w:tmpl w:val="E0B0778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1" w15:restartNumberingAfterBreak="0">
    <w:nsid w:val="76735F42"/>
    <w:multiLevelType w:val="hybridMultilevel"/>
    <w:tmpl w:val="469053B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846945490">
    <w:abstractNumId w:val="19"/>
  </w:num>
  <w:num w:numId="2" w16cid:durableId="359471465">
    <w:abstractNumId w:val="41"/>
  </w:num>
  <w:num w:numId="3" w16cid:durableId="2107841423">
    <w:abstractNumId w:val="39"/>
  </w:num>
  <w:num w:numId="4" w16cid:durableId="1850367804">
    <w:abstractNumId w:val="25"/>
  </w:num>
  <w:num w:numId="5" w16cid:durableId="1001158185">
    <w:abstractNumId w:val="24"/>
  </w:num>
  <w:num w:numId="6" w16cid:durableId="108087498">
    <w:abstractNumId w:val="36"/>
  </w:num>
  <w:num w:numId="7" w16cid:durableId="922641810">
    <w:abstractNumId w:val="21"/>
  </w:num>
  <w:num w:numId="8" w16cid:durableId="492641663">
    <w:abstractNumId w:val="31"/>
  </w:num>
  <w:num w:numId="9" w16cid:durableId="1792166438">
    <w:abstractNumId w:val="29"/>
  </w:num>
  <w:num w:numId="10" w16cid:durableId="1593004986">
    <w:abstractNumId w:val="32"/>
  </w:num>
  <w:num w:numId="11" w16cid:durableId="573590372">
    <w:abstractNumId w:val="23"/>
  </w:num>
  <w:num w:numId="12" w16cid:durableId="1393046037">
    <w:abstractNumId w:val="26"/>
  </w:num>
  <w:num w:numId="13" w16cid:durableId="1475096758">
    <w:abstractNumId w:val="18"/>
  </w:num>
  <w:num w:numId="14" w16cid:durableId="776868835">
    <w:abstractNumId w:val="38"/>
  </w:num>
  <w:num w:numId="15" w16cid:durableId="1542400929">
    <w:abstractNumId w:val="2"/>
  </w:num>
  <w:num w:numId="16" w16cid:durableId="1474910761">
    <w:abstractNumId w:val="7"/>
  </w:num>
  <w:num w:numId="17" w16cid:durableId="768740669">
    <w:abstractNumId w:val="10"/>
  </w:num>
  <w:num w:numId="18" w16cid:durableId="1463379868">
    <w:abstractNumId w:val="17"/>
  </w:num>
  <w:num w:numId="19" w16cid:durableId="559631927">
    <w:abstractNumId w:val="40"/>
  </w:num>
  <w:num w:numId="20" w16cid:durableId="1092438625">
    <w:abstractNumId w:val="27"/>
  </w:num>
  <w:num w:numId="21" w16cid:durableId="57093103">
    <w:abstractNumId w:val="11"/>
  </w:num>
  <w:num w:numId="22" w16cid:durableId="1039475845">
    <w:abstractNumId w:val="14"/>
  </w:num>
  <w:num w:numId="23" w16cid:durableId="1866819461">
    <w:abstractNumId w:val="30"/>
  </w:num>
  <w:num w:numId="24" w16cid:durableId="79907185">
    <w:abstractNumId w:val="28"/>
  </w:num>
  <w:num w:numId="25" w16cid:durableId="1681010778">
    <w:abstractNumId w:val="22"/>
  </w:num>
  <w:num w:numId="26" w16cid:durableId="1968705174">
    <w:abstractNumId w:val="1"/>
  </w:num>
  <w:num w:numId="27" w16cid:durableId="1314680122">
    <w:abstractNumId w:val="4"/>
  </w:num>
  <w:num w:numId="28" w16cid:durableId="663359804">
    <w:abstractNumId w:val="12"/>
  </w:num>
  <w:num w:numId="29" w16cid:durableId="414980088">
    <w:abstractNumId w:val="35"/>
  </w:num>
  <w:num w:numId="30" w16cid:durableId="1538661694">
    <w:abstractNumId w:val="34"/>
  </w:num>
  <w:num w:numId="31" w16cid:durableId="955674244">
    <w:abstractNumId w:val="8"/>
  </w:num>
  <w:num w:numId="32" w16cid:durableId="257980355">
    <w:abstractNumId w:val="20"/>
  </w:num>
  <w:num w:numId="33" w16cid:durableId="1214853288">
    <w:abstractNumId w:val="37"/>
  </w:num>
  <w:num w:numId="34" w16cid:durableId="883054550">
    <w:abstractNumId w:val="5"/>
  </w:num>
  <w:num w:numId="35" w16cid:durableId="1990787822">
    <w:abstractNumId w:val="15"/>
  </w:num>
  <w:num w:numId="36" w16cid:durableId="1770196572">
    <w:abstractNumId w:val="3"/>
  </w:num>
  <w:num w:numId="37" w16cid:durableId="2000961294">
    <w:abstractNumId w:val="0"/>
  </w:num>
  <w:num w:numId="38" w16cid:durableId="536090645">
    <w:abstractNumId w:val="9"/>
  </w:num>
  <w:num w:numId="39" w16cid:durableId="1354770436">
    <w:abstractNumId w:val="33"/>
  </w:num>
  <w:num w:numId="40" w16cid:durableId="537856207">
    <w:abstractNumId w:val="13"/>
  </w:num>
  <w:num w:numId="41" w16cid:durableId="2070961678">
    <w:abstractNumId w:val="6"/>
  </w:num>
  <w:num w:numId="42" w16cid:durableId="64050315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drawingGridHorizontalSpacing w:val="12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2CB"/>
    <w:rsid w:val="000057A6"/>
    <w:rsid w:val="00007DE5"/>
    <w:rsid w:val="0002741C"/>
    <w:rsid w:val="00043404"/>
    <w:rsid w:val="00066DB3"/>
    <w:rsid w:val="000C2449"/>
    <w:rsid w:val="00130585"/>
    <w:rsid w:val="001418AC"/>
    <w:rsid w:val="0015482E"/>
    <w:rsid w:val="001611E7"/>
    <w:rsid w:val="001816A2"/>
    <w:rsid w:val="001838CA"/>
    <w:rsid w:val="00194FF1"/>
    <w:rsid w:val="001B087E"/>
    <w:rsid w:val="001D5ED6"/>
    <w:rsid w:val="00205493"/>
    <w:rsid w:val="00213787"/>
    <w:rsid w:val="0023073D"/>
    <w:rsid w:val="002407A9"/>
    <w:rsid w:val="00240F3B"/>
    <w:rsid w:val="00245394"/>
    <w:rsid w:val="00246451"/>
    <w:rsid w:val="002542DD"/>
    <w:rsid w:val="002601B6"/>
    <w:rsid w:val="0029667B"/>
    <w:rsid w:val="002A21B0"/>
    <w:rsid w:val="002A5748"/>
    <w:rsid w:val="002A749E"/>
    <w:rsid w:val="003509CC"/>
    <w:rsid w:val="00357DA5"/>
    <w:rsid w:val="00372435"/>
    <w:rsid w:val="003757FC"/>
    <w:rsid w:val="003B3F08"/>
    <w:rsid w:val="003B757D"/>
    <w:rsid w:val="003C0B63"/>
    <w:rsid w:val="0043407D"/>
    <w:rsid w:val="00435CD5"/>
    <w:rsid w:val="00444B7A"/>
    <w:rsid w:val="00475055"/>
    <w:rsid w:val="00484DB0"/>
    <w:rsid w:val="0049322D"/>
    <w:rsid w:val="004A180A"/>
    <w:rsid w:val="004A1B43"/>
    <w:rsid w:val="004B7325"/>
    <w:rsid w:val="004D570C"/>
    <w:rsid w:val="004E27DC"/>
    <w:rsid w:val="005063B7"/>
    <w:rsid w:val="00555D19"/>
    <w:rsid w:val="0058349B"/>
    <w:rsid w:val="005965DE"/>
    <w:rsid w:val="005A76B4"/>
    <w:rsid w:val="005C1CE9"/>
    <w:rsid w:val="005E0028"/>
    <w:rsid w:val="005E0BFB"/>
    <w:rsid w:val="00600787"/>
    <w:rsid w:val="00605351"/>
    <w:rsid w:val="006075FA"/>
    <w:rsid w:val="00630EEC"/>
    <w:rsid w:val="00653729"/>
    <w:rsid w:val="00666213"/>
    <w:rsid w:val="00667A41"/>
    <w:rsid w:val="006B030E"/>
    <w:rsid w:val="006C795E"/>
    <w:rsid w:val="00700618"/>
    <w:rsid w:val="007259C1"/>
    <w:rsid w:val="00750D4C"/>
    <w:rsid w:val="00780A65"/>
    <w:rsid w:val="007A11BD"/>
    <w:rsid w:val="007A25DE"/>
    <w:rsid w:val="007A7EDD"/>
    <w:rsid w:val="007D483D"/>
    <w:rsid w:val="007E3653"/>
    <w:rsid w:val="00845E88"/>
    <w:rsid w:val="00847E93"/>
    <w:rsid w:val="00855B21"/>
    <w:rsid w:val="00863BCB"/>
    <w:rsid w:val="0086732E"/>
    <w:rsid w:val="008709C4"/>
    <w:rsid w:val="008726C2"/>
    <w:rsid w:val="00895430"/>
    <w:rsid w:val="00896C54"/>
    <w:rsid w:val="008A0FFC"/>
    <w:rsid w:val="008B69A7"/>
    <w:rsid w:val="008C741B"/>
    <w:rsid w:val="008E46D2"/>
    <w:rsid w:val="0091416C"/>
    <w:rsid w:val="009348F7"/>
    <w:rsid w:val="00946959"/>
    <w:rsid w:val="009654C0"/>
    <w:rsid w:val="00973389"/>
    <w:rsid w:val="009A29B4"/>
    <w:rsid w:val="009B5F10"/>
    <w:rsid w:val="009D1FD1"/>
    <w:rsid w:val="009E3906"/>
    <w:rsid w:val="00A126F4"/>
    <w:rsid w:val="00A3146B"/>
    <w:rsid w:val="00A43B43"/>
    <w:rsid w:val="00A63544"/>
    <w:rsid w:val="00A70A9C"/>
    <w:rsid w:val="00A75958"/>
    <w:rsid w:val="00A81761"/>
    <w:rsid w:val="00A94E5A"/>
    <w:rsid w:val="00AA07DA"/>
    <w:rsid w:val="00AA3DD5"/>
    <w:rsid w:val="00AB3CEC"/>
    <w:rsid w:val="00AE32CB"/>
    <w:rsid w:val="00AE3E49"/>
    <w:rsid w:val="00AF40B3"/>
    <w:rsid w:val="00B17563"/>
    <w:rsid w:val="00B25FE9"/>
    <w:rsid w:val="00B6717F"/>
    <w:rsid w:val="00B928D5"/>
    <w:rsid w:val="00BC4858"/>
    <w:rsid w:val="00BE2888"/>
    <w:rsid w:val="00BF62A3"/>
    <w:rsid w:val="00C2009B"/>
    <w:rsid w:val="00C362FA"/>
    <w:rsid w:val="00C41773"/>
    <w:rsid w:val="00C41EBF"/>
    <w:rsid w:val="00C510AB"/>
    <w:rsid w:val="00C56968"/>
    <w:rsid w:val="00C576C1"/>
    <w:rsid w:val="00C65D2F"/>
    <w:rsid w:val="00C724C8"/>
    <w:rsid w:val="00C80F9A"/>
    <w:rsid w:val="00C84C47"/>
    <w:rsid w:val="00C93336"/>
    <w:rsid w:val="00CA0787"/>
    <w:rsid w:val="00CA352D"/>
    <w:rsid w:val="00CA3F66"/>
    <w:rsid w:val="00CA615B"/>
    <w:rsid w:val="00CB3742"/>
    <w:rsid w:val="00CD4332"/>
    <w:rsid w:val="00CF09A1"/>
    <w:rsid w:val="00D1369E"/>
    <w:rsid w:val="00D349F4"/>
    <w:rsid w:val="00D46A07"/>
    <w:rsid w:val="00D477D8"/>
    <w:rsid w:val="00D654B3"/>
    <w:rsid w:val="00D877C5"/>
    <w:rsid w:val="00D9306F"/>
    <w:rsid w:val="00D96E87"/>
    <w:rsid w:val="00D975EC"/>
    <w:rsid w:val="00DA6941"/>
    <w:rsid w:val="00DE4AFA"/>
    <w:rsid w:val="00DF03DD"/>
    <w:rsid w:val="00E0702A"/>
    <w:rsid w:val="00E31B31"/>
    <w:rsid w:val="00E6740F"/>
    <w:rsid w:val="00E91983"/>
    <w:rsid w:val="00EA6FCC"/>
    <w:rsid w:val="00EE3D5D"/>
    <w:rsid w:val="00F132C8"/>
    <w:rsid w:val="00F222CA"/>
    <w:rsid w:val="00F245C8"/>
    <w:rsid w:val="00F4176D"/>
    <w:rsid w:val="00F51B3E"/>
    <w:rsid w:val="00F75457"/>
    <w:rsid w:val="00F80909"/>
    <w:rsid w:val="00F94B44"/>
    <w:rsid w:val="00F95E88"/>
    <w:rsid w:val="00F9625B"/>
    <w:rsid w:val="00FA48A8"/>
    <w:rsid w:val="00FF0DAC"/>
  </w:rsids>
  <m:mathPr>
    <m:mathFont m:val="Cambria Math"/>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14:defaultImageDpi w14:val="300"/>
  <w14:docId w14:val="363A429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54C0"/>
    <w:pPr>
      <w:keepNext/>
      <w:keepLines/>
      <w:spacing w:before="240" w:line="276" w:lineRule="auto"/>
      <w:outlineLvl w:val="0"/>
    </w:pPr>
    <w:rPr>
      <w:rFonts w:asciiTheme="majorHAnsi" w:eastAsiaTheme="majorEastAsia" w:hAnsiTheme="majorHAnsi" w:cstheme="majorBidi"/>
      <w:color w:val="365F91" w:themeColor="accent1" w:themeShade="BF"/>
      <w:sz w:val="32"/>
      <w:szCs w:val="32"/>
      <w:lang w:val="en-GB"/>
    </w:rPr>
  </w:style>
  <w:style w:type="paragraph" w:styleId="Heading2">
    <w:name w:val="heading 2"/>
    <w:basedOn w:val="Normal"/>
    <w:next w:val="Normal"/>
    <w:link w:val="Heading2Char"/>
    <w:uiPriority w:val="9"/>
    <w:semiHidden/>
    <w:unhideWhenUsed/>
    <w:qFormat/>
    <w:rsid w:val="007E3653"/>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32CB"/>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2CB"/>
    <w:rPr>
      <w:rFonts w:ascii="Lucida Grande" w:hAnsi="Lucida Grande"/>
      <w:sz w:val="18"/>
      <w:szCs w:val="18"/>
    </w:rPr>
  </w:style>
  <w:style w:type="paragraph" w:styleId="Header">
    <w:name w:val="header"/>
    <w:basedOn w:val="Normal"/>
    <w:link w:val="HeaderChar"/>
    <w:uiPriority w:val="99"/>
    <w:unhideWhenUsed/>
    <w:rsid w:val="00DE4AFA"/>
    <w:pPr>
      <w:tabs>
        <w:tab w:val="center" w:pos="4320"/>
        <w:tab w:val="right" w:pos="8640"/>
      </w:tabs>
    </w:pPr>
  </w:style>
  <w:style w:type="character" w:customStyle="1" w:styleId="HeaderChar">
    <w:name w:val="Header Char"/>
    <w:basedOn w:val="DefaultParagraphFont"/>
    <w:link w:val="Header"/>
    <w:uiPriority w:val="99"/>
    <w:rsid w:val="00DE4AFA"/>
  </w:style>
  <w:style w:type="paragraph" w:styleId="Footer">
    <w:name w:val="footer"/>
    <w:basedOn w:val="Normal"/>
    <w:link w:val="FooterChar"/>
    <w:uiPriority w:val="99"/>
    <w:unhideWhenUsed/>
    <w:rsid w:val="00DE4AFA"/>
    <w:pPr>
      <w:tabs>
        <w:tab w:val="center" w:pos="4320"/>
        <w:tab w:val="right" w:pos="8640"/>
      </w:tabs>
    </w:pPr>
  </w:style>
  <w:style w:type="character" w:customStyle="1" w:styleId="FooterChar">
    <w:name w:val="Footer Char"/>
    <w:basedOn w:val="DefaultParagraphFont"/>
    <w:link w:val="Footer"/>
    <w:uiPriority w:val="99"/>
    <w:rsid w:val="00DE4AFA"/>
  </w:style>
  <w:style w:type="paragraph" w:styleId="Index1">
    <w:name w:val="index 1"/>
    <w:basedOn w:val="Normal"/>
    <w:next w:val="Normal"/>
    <w:autoRedefine/>
    <w:uiPriority w:val="99"/>
    <w:unhideWhenUsed/>
    <w:rsid w:val="009E3906"/>
    <w:pPr>
      <w:ind w:left="240" w:hanging="240"/>
    </w:pPr>
  </w:style>
  <w:style w:type="paragraph" w:styleId="Index2">
    <w:name w:val="index 2"/>
    <w:basedOn w:val="Normal"/>
    <w:next w:val="Normal"/>
    <w:autoRedefine/>
    <w:uiPriority w:val="99"/>
    <w:unhideWhenUsed/>
    <w:rsid w:val="009E3906"/>
    <w:pPr>
      <w:ind w:left="480" w:hanging="240"/>
    </w:pPr>
  </w:style>
  <w:style w:type="paragraph" w:styleId="Index3">
    <w:name w:val="index 3"/>
    <w:basedOn w:val="Normal"/>
    <w:next w:val="Normal"/>
    <w:autoRedefine/>
    <w:uiPriority w:val="99"/>
    <w:unhideWhenUsed/>
    <w:rsid w:val="009E3906"/>
    <w:pPr>
      <w:ind w:left="720" w:hanging="240"/>
    </w:pPr>
  </w:style>
  <w:style w:type="paragraph" w:styleId="Index4">
    <w:name w:val="index 4"/>
    <w:basedOn w:val="Normal"/>
    <w:next w:val="Normal"/>
    <w:autoRedefine/>
    <w:uiPriority w:val="99"/>
    <w:unhideWhenUsed/>
    <w:rsid w:val="009E3906"/>
    <w:pPr>
      <w:ind w:left="960" w:hanging="240"/>
    </w:pPr>
  </w:style>
  <w:style w:type="paragraph" w:styleId="Index5">
    <w:name w:val="index 5"/>
    <w:basedOn w:val="Normal"/>
    <w:next w:val="Normal"/>
    <w:autoRedefine/>
    <w:uiPriority w:val="99"/>
    <w:unhideWhenUsed/>
    <w:rsid w:val="009E3906"/>
    <w:pPr>
      <w:ind w:left="1200" w:hanging="240"/>
    </w:pPr>
  </w:style>
  <w:style w:type="paragraph" w:styleId="Index6">
    <w:name w:val="index 6"/>
    <w:basedOn w:val="Normal"/>
    <w:next w:val="Normal"/>
    <w:autoRedefine/>
    <w:uiPriority w:val="99"/>
    <w:unhideWhenUsed/>
    <w:rsid w:val="009E3906"/>
    <w:pPr>
      <w:ind w:left="1440" w:hanging="240"/>
    </w:pPr>
  </w:style>
  <w:style w:type="paragraph" w:styleId="Index7">
    <w:name w:val="index 7"/>
    <w:basedOn w:val="Normal"/>
    <w:next w:val="Normal"/>
    <w:autoRedefine/>
    <w:uiPriority w:val="99"/>
    <w:unhideWhenUsed/>
    <w:rsid w:val="009E3906"/>
    <w:pPr>
      <w:ind w:left="1680" w:hanging="240"/>
    </w:pPr>
  </w:style>
  <w:style w:type="paragraph" w:styleId="Index8">
    <w:name w:val="index 8"/>
    <w:basedOn w:val="Normal"/>
    <w:next w:val="Normal"/>
    <w:autoRedefine/>
    <w:uiPriority w:val="99"/>
    <w:unhideWhenUsed/>
    <w:rsid w:val="009E3906"/>
    <w:pPr>
      <w:ind w:left="1920" w:hanging="240"/>
    </w:pPr>
  </w:style>
  <w:style w:type="paragraph" w:styleId="Index9">
    <w:name w:val="index 9"/>
    <w:basedOn w:val="Normal"/>
    <w:next w:val="Normal"/>
    <w:autoRedefine/>
    <w:uiPriority w:val="99"/>
    <w:unhideWhenUsed/>
    <w:rsid w:val="009E3906"/>
    <w:pPr>
      <w:ind w:left="2160" w:hanging="240"/>
    </w:pPr>
  </w:style>
  <w:style w:type="paragraph" w:styleId="IndexHeading">
    <w:name w:val="index heading"/>
    <w:basedOn w:val="Normal"/>
    <w:next w:val="Index1"/>
    <w:uiPriority w:val="99"/>
    <w:unhideWhenUsed/>
    <w:rsid w:val="009E3906"/>
  </w:style>
  <w:style w:type="table" w:styleId="TableGrid">
    <w:name w:val="Table Grid"/>
    <w:basedOn w:val="TableNormal"/>
    <w:uiPriority w:val="59"/>
    <w:rsid w:val="009E39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654C0"/>
    <w:rPr>
      <w:rFonts w:asciiTheme="majorHAnsi" w:eastAsiaTheme="majorEastAsia" w:hAnsiTheme="majorHAnsi" w:cstheme="majorBidi"/>
      <w:color w:val="365F91" w:themeColor="accent1" w:themeShade="BF"/>
      <w:sz w:val="32"/>
      <w:szCs w:val="32"/>
      <w:lang w:val="en-GB"/>
    </w:rPr>
  </w:style>
  <w:style w:type="paragraph" w:styleId="ListParagraph">
    <w:name w:val="List Paragraph"/>
    <w:basedOn w:val="Normal"/>
    <w:uiPriority w:val="34"/>
    <w:qFormat/>
    <w:rsid w:val="009654C0"/>
    <w:pPr>
      <w:ind w:left="720"/>
      <w:contextualSpacing/>
    </w:pPr>
  </w:style>
  <w:style w:type="paragraph" w:customStyle="1" w:styleId="Default">
    <w:name w:val="Default"/>
    <w:rsid w:val="00F222CA"/>
    <w:pPr>
      <w:autoSpaceDE w:val="0"/>
      <w:autoSpaceDN w:val="0"/>
      <w:adjustRightInd w:val="0"/>
    </w:pPr>
    <w:rPr>
      <w:rFonts w:ascii="Arial" w:hAnsi="Arial" w:eastAsiaTheme="minorHAnsi" w:cs="Arial"/>
      <w:color w:val="000000"/>
      <w:lang w:val="en-GB"/>
    </w:rPr>
  </w:style>
  <w:style w:type="character" w:customStyle="1" w:styleId="Heading2Char">
    <w:name w:val="Heading 2 Char"/>
    <w:basedOn w:val="DefaultParagraphFont"/>
    <w:link w:val="Heading2"/>
    <w:uiPriority w:val="9"/>
    <w:semiHidden/>
    <w:rsid w:val="007E3653"/>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unhideWhenUsed/>
    <w:rsid w:val="007E3653"/>
    <w:pPr>
      <w:spacing w:before="100" w:beforeAutospacing="1" w:after="100" w:afterAutospacing="1"/>
    </w:pPr>
    <w:rPr>
      <w:rFonts w:ascii="Times New Roman" w:eastAsia="Times New Roman" w:hAnsi="Times New Roman" w:cs="Times New Roman"/>
      <w:lang w:val="en-GB" w:eastAsia="en-GB"/>
    </w:rPr>
  </w:style>
  <w:style w:type="character" w:styleId="Strong">
    <w:name w:val="Strong"/>
    <w:basedOn w:val="DefaultParagraphFont"/>
    <w:uiPriority w:val="22"/>
    <w:qFormat/>
    <w:rsid w:val="007E3653"/>
    <w:rPr>
      <w:b/>
      <w:bCs/>
    </w:rPr>
  </w:style>
  <w:style w:type="character" w:styleId="PageNumber">
    <w:name w:val="page number"/>
    <w:basedOn w:val="DefaultParagraphFont"/>
    <w:uiPriority w:val="99"/>
    <w:semiHidden/>
    <w:unhideWhenUsed/>
    <w:rsid w:val="00C56968"/>
  </w:style>
  <w:style w:type="paragraph" w:styleId="DocumentMap">
    <w:name w:val="Document Map"/>
    <w:basedOn w:val="Normal"/>
    <w:link w:val="DocumentMapChar"/>
    <w:uiPriority w:val="99"/>
    <w:semiHidden/>
    <w:unhideWhenUsed/>
    <w:rsid w:val="008726C2"/>
    <w:rPr>
      <w:rFonts w:ascii="Lucida Grande" w:hAnsi="Lucida Grande" w:cs="Lucida Grande"/>
    </w:rPr>
  </w:style>
  <w:style w:type="character" w:customStyle="1" w:styleId="DocumentMapChar">
    <w:name w:val="Document Map Char"/>
    <w:basedOn w:val="DefaultParagraphFont"/>
    <w:link w:val="DocumentMap"/>
    <w:uiPriority w:val="99"/>
    <w:semiHidden/>
    <w:rsid w:val="008726C2"/>
    <w:rPr>
      <w:rFonts w:ascii="Lucida Grande" w:hAnsi="Lucida Grande" w:cs="Lucida Grande"/>
    </w:rPr>
  </w:style>
  <w:style w:type="character" w:styleId="Hyperlink">
    <w:name w:val="Hyperlink"/>
    <w:basedOn w:val="DefaultParagraphFont"/>
    <w:uiPriority w:val="99"/>
    <w:unhideWhenUsed/>
    <w:rsid w:val="009A29B4"/>
    <w:rPr>
      <w:color w:val="0000FF" w:themeColor="hyperlink"/>
      <w:u w:val="single"/>
    </w:rPr>
  </w:style>
  <w:style w:type="character" w:styleId="Emphasis">
    <w:name w:val="Emphasis"/>
    <w:basedOn w:val="DefaultParagraphFont"/>
    <w:uiPriority w:val="20"/>
    <w:qFormat/>
    <w:rsid w:val="009A29B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protect.checkpoint.com/v2/r02/___https://www.gov.uk/government/publications/hospital-discharge-and-community-support-guidance___.YXAxZTpkdW5oaWxsbWVkaWNhbHRydXN0OmM6b2ZmaWNlMzY1X2VtYWlsc19hdHRhY2htZW50OmQ0NGEwMzM4MzM1NGMzNTc0MTVkMjFmNDBlZmZkMDIwOjc6MGVjYTo2YjMzZGUyOGU4ZTY5N2EyZjVjODQ5NTkzNmIyZDNmODA4NTQxNjJkZGRmMzFhZTk5ZmIwOGY0MTc2MjNmZGQwOnA6VDpO" TargetMode="External" /><Relationship Id="rId11" Type="http://schemas.openxmlformats.org/officeDocument/2006/relationships/hyperlink" Target="https://protect.checkpoint.com/v2/r02/___https://www.gov.uk/government/publications/10-year-health-plan-for-england-fit-for-the-future?utm_source=chatgpt.com___.YXAxZTpkdW5oaWxsbWVkaWNhbHRydXN0OmM6b2ZmaWNlMzY1X2VtYWlsc19hdHRhY2htZW50OmQ0NGEwMzM4MzM1NGMzNTc0MTVkMjFmNDBlZmZkMDIwOjc6YmFhZDozMTZjZGZhMTM4ODAxMjAxYjhkYjQ4NzYyNjU2MTkxNTFjN2YzMmI4ODMwM2FhMmUyOWFiYTI1N2QwYjliMzIxOnA6VDpO" TargetMode="External" /><Relationship Id="rId12" Type="http://schemas.openxmlformats.org/officeDocument/2006/relationships/hyperlink" Target="https://protect.checkpoint.com/v2/r02/___https://doi.org/10.1002/14651858.CD007491.pub3___.YXAxZTpkdW5oaWxsbWVkaWNhbHRydXN0OmM6b2ZmaWNlMzY1X2VtYWlsc19hdHRhY2htZW50OmQ0NGEwMzM4MzM1NGMzNTc0MTVkMjFmNDBlZmZkMDIwOjc6YWZiMjo5Y2Q3ODY2NWNhNDQ3MWUxMDFhOWMwZmU3NTY4NzEyYTM1NTIyZTkwNGNkMGVkYzhmYzA1MzkzOTVmMmU0ZTExOnA6VDpO" TargetMode="External" /><Relationship Id="rId13" Type="http://schemas.openxmlformats.org/officeDocument/2006/relationships/hyperlink" Target="https://protect.checkpoint.com/v2/r02/___https://doi.org/10.1136/bmj.r2381___.YXAxZTpkdW5oaWxsbWVkaWNhbHRydXN0OmM6b2ZmaWNlMzY1X2VtYWlsc19hdHRhY2htZW50OmQ0NGEwMzM4MzM1NGMzNTc0MTVkMjFmNDBlZmZkMDIwOjc6Y2JiNjo5MTAyM2NjMzRjNGYxMjYxMTk2YWI2OGVkOTViNmE1M2NlMTY2ZGE5OTkyODg1ZDllZDRhMjc4ZjliOTQ1NjM4OnA6VDpO" TargetMode="External" /><Relationship Id="rId14" Type="http://schemas.openxmlformats.org/officeDocument/2006/relationships/hyperlink" Target="https://protect.checkpoint.com/v2/r02/___https://www.ft.com/content/1e71c913-4dea-4088-878e-4d3e2889b875___.YXAxZTpkdW5oaWxsbWVkaWNhbHRydXN0OmM6b2ZmaWNlMzY1X2VtYWlsc19hdHRhY2htZW50OmQ0NGEwMzM4MzM1NGMzNTc0MTVkMjFmNDBlZmZkMDIwOjc6NWNhZTowNmU0NjRjNWQyOWVhY2Y2ODY2N2ZkZDc0YjI2NTQ3MWY1MTZmZjFkNmUzZjU5OGNjZmVkZTZkNzI4ZDkyMDg0OnA6VDpO" TargetMode="External" /><Relationship Id="rId15" Type="http://schemas.openxmlformats.org/officeDocument/2006/relationships/hyperlink" Target="https://protect.checkpoint.com/v2/r02/___https://doi.org/10.1002/hec.3150___.YXAxZTpkdW5oaWxsbWVkaWNhbHRydXN0OmM6b2ZmaWNlMzY1X2VtYWlsc19hdHRhY2htZW50OmQ0NGEwMzM4MzM1NGMzNTc0MTVkMjFmNDBlZmZkMDIwOjc6MzlhMjo3NDFjN2MxZWNjYWRiNjE2Y2U5NmY4NTcwNDdhNzMyOWU2YTUyNDhjYzM0MDZmMzhjNmM1YTZkODNkMDUwMmM4OnA6VDpO" TargetMode="External" /><Relationship Id="rId16" Type="http://schemas.openxmlformats.org/officeDocument/2006/relationships/hyperlink" Target="https://protect.checkpoint.com/v2/r02/___https://doi.org/10.1007/s10754-017-9214-z___.YXAxZTpkdW5oaWxsbWVkaWNhbHRydXN0OmM6b2ZmaWNlMzY1X2VtYWlsc19hdHRhY2htZW50OmQ0NGEwMzM4MzM1NGMzNTc0MTVkMjFmNDBlZmZkMDIwOjc6OTc4NDpiYThlOWM1MmRkZDQ0YWJhYmEzNzViM2ViYTVlYjI4NjM4OTExNmMyMDNlMDg3OTM4MzYxY2I4ZjVkZGJhODYwOnA6VDpO" TargetMode="External" /><Relationship Id="rId17" Type="http://schemas.openxmlformats.org/officeDocument/2006/relationships/hyperlink" Target="https://protect.checkpoint.com/v2/r02/___https://www.health.org.uk/sites/default/files/upload/publications/2024/What%20do%20virtual%20wards%20look%20like%20in%20England_0.pdf___.YXAxZTpkdW5oaWxsbWVkaWNhbHRydXN0OmM6b2ZmaWNlMzY1X2VtYWlsc19hdHRhY2htZW50OmQ0NGEwMzM4MzM1NGMzNTc0MTVkMjFmNDBlZmZkMDIwOjc6YTYzNzo1ZjA5MTA1YmJjMWFkOGQ2NGMxMzE5YjEyNjU0OWE0ZjdjN2M0MjQyNjRhOGZkY2ZkNTFiZTQyZGVkYzlhMzI2OnA6VDpO" TargetMode="External" /><Relationship Id="rId18" Type="http://schemas.openxmlformats.org/officeDocument/2006/relationships/hyperlink" Target="https://protect.checkpoint.com/v2/r02/___https://www.homecareassociation.org.uk/resource/homecare-association-minimum-price-exposes-england-s-homecare-funding-gap-as-new-employment-law-takes-effect.html___.YXAxZTpkdW5oaWxsbWVkaWNhbHRydXN0OmM6b2ZmaWNlMzY1X2VtYWlsc19hdHRhY2htZW50OmQ0NGEwMzM4MzM1NGMzNTc0MTVkMjFmNDBlZmZkMDIwOjc6NDc4NjpiZDlhZDY5ZDI2MTc2ZGRmZTBkMjY0NGYwNmM3NzE1NGIyM2M2YThlZWE4YzFkMDVlODk4OGFlNDkxNGJlM2Y1OnA6VDpO" TargetMode="External" /><Relationship Id="rId19" Type="http://schemas.openxmlformats.org/officeDocument/2006/relationships/hyperlink" Target="https://protect.checkpoint.com/v2/r02/___https://www.homecareassociation.org.uk/resource/funding-employment-rights-bill.html___.YXAxZTpkdW5oaWxsbWVkaWNhbHRydXN0OmM6b2ZmaWNlMzY1X2VtYWlsc19hdHRhY2htZW50OmQ0NGEwMzM4MzM1NGMzNTc0MTVkMjFmNDBlZmZkMDIwOjc6MDQ5NTo1MDcxOTAwMzgyMTQzY2VhNWI1NDA2Y2RlNjViNDlkZjBhMTVhNGI1Yjg5MjA4NDFkNDY3MzY5ZmE0Nzk2YmRlOnA6VDpO" TargetMode="External" /><Relationship Id="rId2" Type="http://schemas.openxmlformats.org/officeDocument/2006/relationships/webSettings" Target="webSettings.xml" /><Relationship Id="rId20" Type="http://schemas.openxmlformats.org/officeDocument/2006/relationships/hyperlink" Target="https://protect.checkpoint.com/v2/r02/___https://doi.org/10.3390/healthcare13162038___.YXAxZTpkdW5oaWxsbWVkaWNhbHRydXN0OmM6b2ZmaWNlMzY1X2VtYWlsc19hdHRhY2htZW50OmQ0NGEwMzM4MzM1NGMzNTc0MTVkMjFmNDBlZmZkMDIwOjc6MzkwYzowMzg4NTczODNkZTVmNDAyZTJjYmJhYjY3NjA4MGJhNWNlMjM3ZmMyMjhkOGJlYjQ0ZmZkMGZkYWZhNGQxNTdmOnA6VDpO" TargetMode="External" /><Relationship Id="rId21" Type="http://schemas.openxmlformats.org/officeDocument/2006/relationships/hyperlink" Target="https://protect.checkpoint.com/v2/r02/___https://doi.org/10.1111/jgs.14828___.YXAxZTpkdW5oaWxsbWVkaWNhbHRydXN0OmM6b2ZmaWNlMzY1X2VtYWlsc19hdHRhY2htZW50OmQ0NGEwMzM4MzM1NGMzNTc0MTVkMjFmNDBlZmZkMDIwOjc6YTE4ZjpkYzlhMDUyNmE1OWFhZmFhNTY0ZjRmMDFjYjY0OWJjMGJiYjllZDczMjdiMjE0ZjMxZjljMGZiZDhlNDZkYTlkOnA6VDpO" TargetMode="External" /><Relationship Id="rId22" Type="http://schemas.openxmlformats.org/officeDocument/2006/relationships/hyperlink" Target="https://protect.checkpoint.com/v2/r02/___https://doi.org/10.1016/j.jhealeco.2022.102640___.YXAxZTpkdW5oaWxsbWVkaWNhbHRydXN0OmM6b2ZmaWNlMzY1X2VtYWlsc19hdHRhY2htZW50OmQ0NGEwMzM4MzM1NGMzNTc0MTVkMjFmNDBlZmZkMDIwOjc6Zjc2YTpjZTFkNjM2M2U5Mzc1MDAzYzNmZTQ4YjExNGIzMDJlY2NiODJmMDhhZTQxNjRjZjNhYjZiM2ZiZDk2MmJhNjI3OnA6VDpO" TargetMode="External" /><Relationship Id="rId23" Type="http://schemas.openxmlformats.org/officeDocument/2006/relationships/hyperlink" Target="https://protect.checkpoint.com/v2/r02/___https://pmc.ncbi.nlm.nih.gov/articles/PMC12123408/___.YXAxZTpkdW5oaWxsbWVkaWNhbHRydXN0OmM6b2ZmaWNlMzY1X2VtYWlsc19hdHRhY2htZW50OmQ0NGEwMzM4MzM1NGMzNTc0MTVkMjFmNDBlZmZkMDIwOjc6ODM1NzpiOGVhZjNmZGRkNDFiNTQ0ZTAyYmE1ZDllMGFkYTQ1YmI2YjlmYmVkMWEwMzQ0OGRiM2JmMGU2ODJlNjM5NDE0OnA6VDpO" TargetMode="External" /><Relationship Id="rId24" Type="http://schemas.openxmlformats.org/officeDocument/2006/relationships/hyperlink" Target="https://protect.checkpoint.com/v2/r02/___https://agsjournals.onlinelibrary.wiley.com/doi/epdf/10.1111/j.1532-5415.2004.52202.x___.YXAxZTpkdW5oaWxsbWVkaWNhbHRydXN0OmM6b2ZmaWNlMzY1X2VtYWlsc19hdHRhY2htZW50OmQ0NGEwMzM4MzM1NGMzNTc0MTVkMjFmNDBlZmZkMDIwOjc6OTczYzoxZGMwMzcxNDQ5YmFiZDgyMzk5NWJhMDRlMzhhOGJjNWJiNTJkYzY1ZmE4OTZlOGQ5ZTQ0ODA4ODAyMGNiZTI5OnA6VDpO" TargetMode="External" /><Relationship Id="rId25" Type="http://schemas.openxmlformats.org/officeDocument/2006/relationships/hyperlink" Target="https://protect.checkpoint.com/v2/r02/___https://pubmed.ncbi.nlm.nih.gov/30055423/___.YXAxZTpkdW5oaWxsbWVkaWNhbHRydXN0OmM6b2ZmaWNlMzY1X2VtYWlsc19hdHRhY2htZW50OmQ0NGEwMzM4MzM1NGMzNTc0MTVkMjFmNDBlZmZkMDIwOjc6NzllODpjMTg0YjYwNDZiZDk0ZDY5MjJlYTQ5NGI2MjE1YjMzMmY0OTU5ZjcxMjRhMTZjZTBmM2IwYTdhMzRlYWFlNTJjOnA6VDpO" TargetMode="External" /><Relationship Id="rId26" Type="http://schemas.openxmlformats.org/officeDocument/2006/relationships/hyperlink" Target="https://protect.checkpoint.com/v2/r02/___https://www.england.nhs.uk/long-read/hospital-discharge-fund-guidance/___.YXAxZTpkdW5oaWxsbWVkaWNhbHRydXN0OmM6b2ZmaWNlMzY1X2VtYWlsc19hdHRhY2htZW50OmQ0NGEwMzM4MzM1NGMzNTc0MTVkMjFmNDBlZmZkMDIwOjc6ZThkMjo4MDgwZTBhMWU0ZmZlZjRmZDlkYmE3MzdmMTU3M2MwNzlmNTBjZGRhOWNjYzU0NzM2YTgxYWQ4OWEyYzczYjBmOnA6VDpO" TargetMode="External" /><Relationship Id="rId27" Type="http://schemas.openxmlformats.org/officeDocument/2006/relationships/hyperlink" Target="https://protect.checkpoint.com/v2/r02/___https://www.england.nhs.uk/wp-content/uploads/2024/03/2024-25-priorities-and-operational-planning-guidance-v1.1.pdf___.YXAxZTpkdW5oaWxsbWVkaWNhbHRydXN0OmM6b2ZmaWNlMzY1X2VtYWlsc19hdHRhY2htZW50OmQ0NGEwMzM4MzM1NGMzNTc0MTVkMjFmNDBlZmZkMDIwOjc6YjM0YTozMjRmM2E5NzY5MDNiYWRmMmE1NjM5YjI4NDRhYmYwMzMxOTE0MmYyZTI2NTEyNzE1NjVkNDRjOTU3ODMwZjE1OnA6VDpO" TargetMode="External" /><Relationship Id="rId28" Type="http://schemas.openxmlformats.org/officeDocument/2006/relationships/hyperlink" Target="https://protect.checkpoint.com/v2/r02/___https://www.england.nhs.uk/long-read/acute-discharge-situation-report-technical-specification/___.YXAxZTpkdW5oaWxsbWVkaWNhbHRydXN0OmM6b2ZmaWNlMzY1X2VtYWlsc19hdHRhY2htZW50OmQ0NGEwMzM4MzM1NGMzNTc0MTVkMjFmNDBlZmZkMDIwOjc6MTgxYTphYzFkZGJkOTVkMDMxY2RkMTFiYTAwYjVhY2RjZDc4YTViN2ZhMjczNjhmYWExZTkxZGI4YmE2ODU0YzY0YWQ1OnA6VDpO" TargetMode="External" /><Relationship Id="rId29" Type="http://schemas.openxmlformats.org/officeDocument/2006/relationships/hyperlink" Target="https://protect.checkpoint.com/v2/r02/___https://www.england.nhs.uk/long-read/person-centred-approach-to-hospital-discharge/___.YXAxZTpkdW5oaWxsbWVkaWNhbHRydXN0OmM6b2ZmaWNlMzY1X2VtYWlsc19hdHRhY2htZW50OmQ0NGEwMzM4MzM1NGMzNTc0MTVkMjFmNDBlZmZkMDIwOjc6NzBkMDo0ZWFiYWI5NDFiYzhlYmIzZDlmY2FmMWNjOTY4NTYzMTYzMzdlNmE3YWZhOTcwMjkzY2MwMGM1NDJmZTQ3OGZkOnA6VDpO" TargetMode="External" /><Relationship Id="rId3" Type="http://schemas.openxmlformats.org/officeDocument/2006/relationships/fontTable" Target="fontTable.xml" /><Relationship Id="rId30" Type="http://schemas.openxmlformats.org/officeDocument/2006/relationships/hyperlink" Target="https://protect.checkpoint.com/v2/r02/___https://www.england.nhs.uk/long-read/virtual-wards-operational-framework/___.YXAxZTpkdW5oaWxsbWVkaWNhbHRydXN0OmM6b2ZmaWNlMzY1X2VtYWlsc19hdHRhY2htZW50OmQ0NGEwMzM4MzM1NGMzNTc0MTVkMjFmNDBlZmZkMDIwOjc6ZDM0NTo2MGYzZTE1OTMwOGExYTY2YzFkN2FjOTRjN2IxNWQyZDM2NjVlMDNmNjI5ZGIzMzk1YThmMTVlZmE4OTY5YmUzOnA6VDpO" TargetMode="External" /><Relationship Id="rId31" Type="http://schemas.openxmlformats.org/officeDocument/2006/relationships/hyperlink" Target="https://protect.checkpoint.com/v2/r02/___https://www.england.nhs.uk/long-read/monthly-operational-statistics-february-2025/___.YXAxZTpkdW5oaWxsbWVkaWNhbHRydXN0OmM6b2ZmaWNlMzY1X2VtYWlsc19hdHRhY2htZW50OmQ0NGEwMzM4MzM1NGMzNTc0MTVkMjFmNDBlZmZkMDIwOjc6YWQ1NTo0ZTczMjkzNTUyNjkyMzRkZWI4YTI0MzVhMzQ0YWE2N2VmZTE5NDVkYjgzYWRlNWQ4M2VjNzAzZDRlNDJiODkzOnA6VDpO" TargetMode="External" /><Relationship Id="rId32" Type="http://schemas.openxmlformats.org/officeDocument/2006/relationships/hyperlink" Target="https://protect.checkpoint.com/v2/r02/___https://nhsproviders.org/resources/innovation-is-key-early-learnings-from-nhs-englands-discharge-frontrunner-sites/coventry-and-warwickshire-ics___.YXAxZTpkdW5oaWxsbWVkaWNhbHRydXN0OmM6b2ZmaWNlMzY1X2VtYWlsc19hdHRhY2htZW50OmQ0NGEwMzM4MzM1NGMzNTc0MTVkMjFmNDBlZmZkMDIwOjc6N2Q4OTo4MTkwM2JkODhhMWRhYjFiN2NjYTg4MDU5MjFkMTIyY2U3YzdkZTk0ZDM4ZDdkMDdhNGY5MDlmZTM0MjhkNzFlOnA6VDpO" TargetMode="External" /><Relationship Id="rId33" Type="http://schemas.openxmlformats.org/officeDocument/2006/relationships/hyperlink" Target="https://protect.checkpoint.com/v2/r02/___https://nhsproviders.org/resources/innovation-is-key-early-learnings-from-nhs-englands-discharge-frontrunner-sites/leeds-health-and-care-partnership___.YXAxZTpkdW5oaWxsbWVkaWNhbHRydXN0OmM6b2ZmaWNlMzY1X2VtYWlsc19hdHRhY2htZW50OmQ0NGEwMzM4MzM1NGMzNTc0MTVkMjFmNDBlZmZkMDIwOjc6MDQ4NToyOWFlM2FkZTM2ZGMwNWQ4MzUxNTUzZjVhYjI3NDFmNTY0ODM4NTI2ZDVjMTE0OTE0Yzc1Y2M1YzFkMDBhNWE2OnA6VDpO" TargetMode="External" /><Relationship Id="rId34" Type="http://schemas.openxmlformats.org/officeDocument/2006/relationships/hyperlink" Target="https://protect.checkpoint.com/v2/r02/___https://nhsproviders.org/resources/delivering-the-shift-to-prevention___.YXAxZTpkdW5oaWxsbWVkaWNhbHRydXN0OmM6b2ZmaWNlMzY1X2VtYWlsc19hdHRhY2htZW50OmQ0NGEwMzM4MzM1NGMzNTc0MTVkMjFmNDBlZmZkMDIwOjc6NmFlMTo2NDgwY2MxMTRmOTkyYjQzOTk2YzQ3NzkxNzBjMDUzYzNiODY2OTgxYWI5MzAwZGEwMWU5NWQ4YjBmOWIyMzlkOnA6VDpO" TargetMode="External" /><Relationship Id="rId35" Type="http://schemas.openxmlformats.org/officeDocument/2006/relationships/hyperlink" Target="https://protect.checkpoint.com/v2/r02/___https://doi.org/10.1038/s41598-022-14502-5___.YXAxZTpkdW5oaWxsbWVkaWNhbHRydXN0OmM6b2ZmaWNlMzY1X2VtYWlsc19hdHRhY2htZW50OmQ0NGEwMzM4MzM1NGMzNTc0MTVkMjFmNDBlZmZkMDIwOjc6YjRkZjo4NzZlY2NjMzRmYjhkY2RkOGI3MGM1MjAwNDkyYjliOTcyNGYyMTBiMWUxNzNjMzc0YjkzMjhkNTllYTFiN2IzOnA6VDpO" TargetMode="External" /><Relationship Id="rId36" Type="http://schemas.openxmlformats.org/officeDocument/2006/relationships/hyperlink" Target="https://protect.checkpoint.com/v2/r02/___https://doi.org/10.1093/ageing/afac104___.YXAxZTpkdW5oaWxsbWVkaWNhbHRydXN0OmM6b2ZmaWNlMzY1X2VtYWlsc19hdHRhY2htZW50OmQ0NGEwMzM4MzM1NGMzNTc0MTVkMjFmNDBlZmZkMDIwOjc6YWZmZjphODg4Y2I5ZTA0ZjcxYzI5NmViZjNmNDFmODQ2MWM5NGM3NDQyMDM5ZjRiZWNlMWUzYzk1ZWE1ZTZiNzI1NTcyOnA6VDpO" TargetMode="External" /><Relationship Id="rId37" Type="http://schemas.openxmlformats.org/officeDocument/2006/relationships/hyperlink" Target="https://protect.checkpoint.com/v2/r02/___https://pubmed.ncbi.nlm.nih.gov/21788540/___.YXAxZTpkdW5oaWxsbWVkaWNhbHRydXN0OmM6b2ZmaWNlMzY1X2VtYWlsc19hdHRhY2htZW50OmQ0NGEwMzM4MzM1NGMzNTc0MTVkMjFmNDBlZmZkMDIwOjc6MDZhZjpkN2VlOTM1ZjQzZGM3Njg5OWU0N2MzMDU5MDlkYWIxNGY1ZjVkZDEyNDgyMDBmYmZkOTkxYzk1NGMxN2QyNTI2OnA6VDpO" TargetMode="External" /><Relationship Id="rId38" Type="http://schemas.openxmlformats.org/officeDocument/2006/relationships/hyperlink" Target="https://protect.checkpoint.com/v2/r02/___https://eprints.whiterose.ac.uk/id/eprint/221137/1/2411.04339v2.pdf___.YXAxZTpkdW5oaWxsbWVkaWNhbHRydXN0OmM6b2ZmaWNlMzY1X2VtYWlsc19hdHRhY2htZW50OmQ0NGEwMzM4MzM1NGMzNTc0MTVkMjFmNDBlZmZkMDIwOjc6MDc4NDo1OWI4MDE1ZWVkMzE0NDcyYjdiZTNkN2E0MWIzMGIyM2MwZmNkZjU5MzA1YTRjNWZkMGZlMmRhMDIwNmM5ZDBjOnA6VDpO" TargetMode="External" /><Relationship Id="rId39" Type="http://schemas.openxmlformats.org/officeDocument/2006/relationships/hyperlink" Target="https://protect.checkpoint.com/v2/r02/___https://doi.org/10.1007/s40258-022-00777-2___.YXAxZTpkdW5oaWxsbWVkaWNhbHRydXN0OmM6b2ZmaWNlMzY1X2VtYWlsc19hdHRhY2htZW50OmQ0NGEwMzM4MzM1NGMzNTc0MTVkMjFmNDBlZmZkMDIwOjc6ZTU2YzozZjcxNTQwY2QwZTFjNjE5OTY4OGZkZTg1MDc1NDY2ZTIyMDdlNjQ4NDliZWE5NzA4ZjlmZjA1ZDEzNTMxNjA1OnA6VDpO" TargetMode="External" /><Relationship Id="rId4" Type="http://schemas.openxmlformats.org/officeDocument/2006/relationships/customXml" Target="../customXml/item1.xml" /><Relationship Id="rId40" Type="http://schemas.openxmlformats.org/officeDocument/2006/relationships/hyperlink" Target="https://protect.checkpoint.com/v2/r02/___https://doi.org/10.1287/msom.2018.0745___.YXAxZTpkdW5oaWxsbWVkaWNhbHRydXN0OmM6b2ZmaWNlMzY1X2VtYWlsc19hdHRhY2htZW50OmQ0NGEwMzM4MzM1NGMzNTc0MTVkMjFmNDBlZmZkMDIwOjc6OGU0Zjo2M2MxZGUyNDQyMWYxZWRkOWRjMzc5ODI3YmI2OTA4MmFmZDNmYTIzODIwZjRmNWE4MDAxMGMzZmQzMTFiMzBiOnA6VDpO" TargetMode="External" /><Relationship Id="rId41" Type="http://schemas.openxmlformats.org/officeDocument/2006/relationships/header" Target="header1.xml" /><Relationship Id="rId42" Type="http://schemas.openxmlformats.org/officeDocument/2006/relationships/footer" Target="footer1.xml" /><Relationship Id="rId43" Type="http://schemas.openxmlformats.org/officeDocument/2006/relationships/header" Target="header2.xml" /><Relationship Id="rId44" Type="http://schemas.openxmlformats.org/officeDocument/2006/relationships/footer" Target="footer2.xml" /><Relationship Id="rId45" Type="http://schemas.openxmlformats.org/officeDocument/2006/relationships/theme" Target="theme/theme1.xml" /><Relationship Id="rId46" Type="http://schemas.openxmlformats.org/officeDocument/2006/relationships/numbering" Target="numbering.xml" /><Relationship Id="rId47" Type="http://schemas.openxmlformats.org/officeDocument/2006/relationships/styles" Target="styles.xml" /><Relationship Id="rId5" Type="http://schemas.openxmlformats.org/officeDocument/2006/relationships/hyperlink" Target="https://protect.checkpoint.com/v2/r02/___https://doi.org/10.1186/s12913-021-07206-5___.YXAxZTpkdW5oaWxsbWVkaWNhbHRydXN0OmM6b2ZmaWNlMzY1X2VtYWlsc19hdHRhY2htZW50OmQ0NGEwMzM4MzM1NGMzNTc0MTVkMjFmNDBlZmZkMDIwOjc6Y2RiMjo3ODMyMGRjMmNlMTNhZDQzYWMxNjc0MTBiZTZhMDM4YTU5ZDc3NmRkYTlhOTU1OTM0ODRkN2JlODI3OWFkOTlkOnA6VDpO" TargetMode="External" /><Relationship Id="rId6" Type="http://schemas.openxmlformats.org/officeDocument/2006/relationships/hyperlink" Target="https://protect.checkpoint.com/v2/r02/___https://assets.publishing.service.gov.uk/media/68fa3b4fe200d653d8b63735/care-quality-commission-state-of-health-care-and-adult-social-care-England-2024-2025.pdf?utm_source=chatgpt.com___.YXAxZTpkdW5oaWxsbWVkaWNhbHRydXN0OmM6b2ZmaWNlMzY1X2VtYWlsc19hdHRhY2htZW50OmQ0NGEwMzM4MzM1NGMzNTc0MTVkMjFmNDBlZmZkMDIwOjc6NzhmNToxMzQ0YzI2ODdlNmE0ODUwMDYxYzE5YWZjYTgxYzZiZDJmYTZkMzhhYjYyYzQ2ZWQwOWRmYjcwZTc0YjBkMjExOnA6VDpO" TargetMode="External" /><Relationship Id="rId7" Type="http://schemas.openxmlformats.org/officeDocument/2006/relationships/hyperlink" Target="https://protect.checkpoint.com/v2/r02/___https://www.cheshireandmerseyside.nhs.uk/posts/a-person-centred-partnership-approach-to-hospital-discharge-in-sefton/___.YXAxZTpkdW5oaWxsbWVkaWNhbHRydXN0OmM6b2ZmaWNlMzY1X2VtYWlsc19hdHRhY2htZW50OmQ0NGEwMzM4MzM1NGMzNTc0MTVkMjFmNDBlZmZkMDIwOjc6NmU4ODpiZDNhMmZlMzc2NmE1MzY0M2Y0ZGM4NWEzYWZhZTg1ZTJlNjVkMGFhMzNkZmFmZGQzMGUwZGYwOGMyZTY3NjM2OnA6VDpO" TargetMode="External" /><Relationship Id="rId8" Type="http://schemas.openxmlformats.org/officeDocument/2006/relationships/hyperlink" Target="https://protect.checkpoint.com/v2/r02/___https://doi.org/10.1001/archinte.166.17.1822___.YXAxZTpkdW5oaWxsbWVkaWNhbHRydXN0OmM6b2ZmaWNlMzY1X2VtYWlsc19hdHRhY2htZW50OmQ0NGEwMzM4MzM1NGMzNTc0MTVkMjFmNDBlZmZkMDIwOjc6MTg1MjpiMWIwYWRlNTEyNGEyOWIxMzllNTdmMDU5NDRjZmEwYTZmNzdmMjY3ZDUxMTc3MjA3MGYyMDhhZjgzZmY2NzU0OnA6VDpO" TargetMode="External" /><Relationship Id="rId9" Type="http://schemas.openxmlformats.org/officeDocument/2006/relationships/hyperlink" Target="https://protect.checkpoint.com/v2/r02/___https://pdfs.semanticscholar.org/ecbd/77df5f2ca0d4074f5e5a5a5d318b04e5d177.pdf___.YXAxZTpkdW5oaWxsbWVkaWNhbHRydXN0OmM6b2ZmaWNlMzY1X2VtYWlsc19hdHRhY2htZW50OmQ0NGEwMzM4MzM1NGMzNTc0MTVkMjFmNDBlZmZkMDIwOjc6ZTM5NDoyOGU3YTFlYmE4MWQxNTZmYTMyMzBhNDEwYTQzMmEwODA5MjMxN2FlOTBiOTY4ZTMxNzQ4ZjYxNDEwMmZhMzhkOnA6VDpO"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jpeg" /></Relationships>
</file>

<file path=word/_rels/header2.xml.rels><?xml version="1.0" encoding="utf-8" standalone="yes"?><Relationships xmlns="http://schemas.openxmlformats.org/package/2006/relationships"><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4240F-A5BE-420A-9FA5-56D404B49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6843</Words>
  <Characters>39010</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Warhurst, Chris</cp:lastModifiedBy>
  <cp:revision>2</cp:revision>
  <cp:lastPrinted>2015-07-03T13:48:00Z</cp:lastPrinted>
  <dcterms:created xsi:type="dcterms:W3CDTF">2026-04-29T15:15:00Z</dcterms:created>
  <dcterms:modified xsi:type="dcterms:W3CDTF">2026-04-29T15:15:00Z</dcterms:modified>
</cp:coreProperties>
</file>