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33C" w:rsidRDefault="001B733C">
      <w:pPr>
        <w:jc w:val="center"/>
        <w:rPr>
          <w:b/>
        </w:rPr>
      </w:pPr>
      <w:r>
        <w:rPr>
          <w:b/>
        </w:rPr>
        <w:t>Briefing on Kenya’s Truth, Justice and Reconciliation Commission</w:t>
      </w:r>
    </w:p>
    <w:p w:rsidR="001B733C" w:rsidRDefault="001B733C">
      <w:pPr>
        <w:jc w:val="center"/>
      </w:pPr>
    </w:p>
    <w:p w:rsidR="001B733C" w:rsidRDefault="001B733C">
      <w:pPr>
        <w:jc w:val="center"/>
        <w:rPr>
          <w:i/>
        </w:rPr>
      </w:pPr>
      <w:r>
        <w:rPr>
          <w:i/>
        </w:rPr>
        <w:t>Dr Gabrielle Lynch</w:t>
      </w:r>
    </w:p>
    <w:p w:rsidR="001B733C" w:rsidRDefault="001B733C">
      <w:pPr>
        <w:jc w:val="center"/>
        <w:rPr>
          <w:i/>
        </w:rPr>
      </w:pPr>
      <w:r>
        <w:rPr>
          <w:i/>
        </w:rPr>
        <w:t>Associate Professor of Comparative Politics, Department of Politics and International Studies, University of Warwick, UK (g.lynch@warwick.ac.uk)</w:t>
      </w:r>
    </w:p>
    <w:p w:rsidR="001B733C" w:rsidRDefault="001B733C">
      <w:pPr>
        <w:jc w:val="center"/>
        <w:rPr>
          <w:i/>
        </w:rPr>
      </w:pPr>
    </w:p>
    <w:p w:rsidR="001B733C" w:rsidRDefault="001B733C">
      <w:pPr>
        <w:jc w:val="center"/>
        <w:rPr>
          <w:i/>
        </w:rPr>
      </w:pPr>
      <w:r>
        <w:rPr>
          <w:i/>
        </w:rPr>
        <w:t>October 2011</w:t>
      </w:r>
    </w:p>
    <w:p w:rsidR="001B733C" w:rsidRDefault="001B733C">
      <w:pPr>
        <w:widowControl w:val="0"/>
        <w:autoSpaceDE w:val="0"/>
        <w:autoSpaceDN w:val="0"/>
        <w:adjustRightInd w:val="0"/>
        <w:jc w:val="both"/>
        <w:rPr>
          <w:b/>
        </w:rPr>
      </w:pPr>
    </w:p>
    <w:p w:rsidR="001B733C" w:rsidRDefault="001B733C">
      <w:pPr>
        <w:widowControl w:val="0"/>
        <w:autoSpaceDE w:val="0"/>
        <w:autoSpaceDN w:val="0"/>
        <w:adjustRightInd w:val="0"/>
        <w:jc w:val="both"/>
        <w:rPr>
          <w:b/>
        </w:rPr>
      </w:pPr>
      <w:r>
        <w:rPr>
          <w:b/>
        </w:rPr>
        <w:t xml:space="preserve">Summary: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This paper is based on research conducted between February and September 2011 as part of a three-year Economic and Social Science Research Council (ESRC) funded research project on ‘Truth and Justice: The Search for Peace and Stability in Modern Kenya’. The project looks at transitional justice and reconciliation efforts in Kenya with a particular focus on the Truth, Justice and Reconciliation Commission (TJRC). Research reveals that, while the TJRC has faced many challenges and continues to have clear shortcomings, it has emerged from its ‘dark days’ and is beginning to enjoy greater support among civil society and ordinary Kenyans. More importantly, it seems that – while statement taking, the collection of memorandum and performance of public hearings, which have all received extensive monitoring, is central to the Commission’s work – the Commission’s real legacy lies in the final report, the recommendations that it will make, and level of government compliance and implementation. Unfortunately, </w:t>
      </w:r>
      <w:r w:rsidRPr="000E7B3A">
        <w:t>governments around the world have a poor record on the latter, which, together</w:t>
      </w:r>
      <w:r>
        <w:t xml:space="preserve"> with a sense of ‘commission fatigue’ at the local level, fuels a widespread feeling that the TJRC’s recommendations will not be implemented. This is unfortunate as such an assumption could easily become a self-fulfilling prophecy, with the Commission’s initial ‘credibility crisis’, subsequent critiques of the process and limited media coverage, potentially paving the way for politicians to justify non-implementation.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This paper argues that, for those committed to ‘transitional justice’ – and continued institutional reform, the introduction of a reparations programme, the possibility of criminal investigations and prosecutions, and local reconciliation – much greater consideration needs to be given to the opportunity that the Commission currently provides with real gains to potentially be made from greater engagement by international donors and civil society. In the author’s opinion particular attention should be given to the mechanisms that could help ensure that the Commission produces an informed report with strong recommendations that are acceptable to a majority of Kenyans, and to steps that can be taken to increase the likelihood of government compliance and implementation.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The paper starts with a brief overview of the Commission’s work to date – including some of the challenges, shortcomings and achievements – before moving on to look at the TJRC’s potential contributions to ‘transitional justice’, and areas for civil society and donor engagement. </w:t>
      </w:r>
    </w:p>
    <w:p w:rsidR="001B733C" w:rsidRDefault="001B733C">
      <w:pPr>
        <w:jc w:val="both"/>
        <w:rPr>
          <w:b/>
        </w:rPr>
      </w:pPr>
    </w:p>
    <w:p w:rsidR="001B733C" w:rsidRDefault="001B733C">
      <w:pPr>
        <w:jc w:val="both"/>
        <w:rPr>
          <w:b/>
        </w:rPr>
      </w:pPr>
    </w:p>
    <w:p w:rsidR="001B733C" w:rsidRDefault="001B733C">
      <w:pPr>
        <w:jc w:val="both"/>
        <w:rPr>
          <w:b/>
        </w:rPr>
      </w:pPr>
      <w:r>
        <w:rPr>
          <w:b/>
        </w:rPr>
        <w:lastRenderedPageBreak/>
        <w:t xml:space="preserve">The TJRC to date: </w:t>
      </w:r>
    </w:p>
    <w:p w:rsidR="001B733C" w:rsidRDefault="001B733C">
      <w:pPr>
        <w:jc w:val="both"/>
      </w:pPr>
    </w:p>
    <w:p w:rsidR="001B733C" w:rsidRDefault="001B733C">
      <w:pPr>
        <w:jc w:val="both"/>
      </w:pPr>
      <w:r>
        <w:t>The TJRC Act of 2008 allowed for a two-year mandate and the Commission was initially scheduled to submit its report on 3 November 2011. However, in August 2011, parliament endorsed a six-month extension and the report now needs to be submitted on 3 May 2012. In brief, the Commission is mandated to look into, and provide recommendations on a wide range of injustices – from political assassinations and police torture to inter-communal violence, perceptions of  economic marginalisation and socio-economic crimes – that have occurred between the country’s independence on 1</w:t>
      </w:r>
      <w:r>
        <w:rPr>
          <w:vertAlign w:val="superscript"/>
        </w:rPr>
        <w:t>st</w:t>
      </w:r>
      <w:r>
        <w:t xml:space="preserve"> December 1963 and the signing of the National Accords on 28</w:t>
      </w:r>
      <w:r>
        <w:rPr>
          <w:vertAlign w:val="superscript"/>
        </w:rPr>
        <w:t>th</w:t>
      </w:r>
      <w:r>
        <w:t xml:space="preserve"> February 2008, while the Commission can also look into precedents and antecedents. </w:t>
      </w:r>
    </w:p>
    <w:p w:rsidR="001B733C" w:rsidRDefault="001B733C">
      <w:pPr>
        <w:jc w:val="both"/>
      </w:pPr>
    </w:p>
    <w:p w:rsidR="001B733C" w:rsidRDefault="001B733C">
      <w:pPr>
        <w:jc w:val="both"/>
      </w:pPr>
      <w:r>
        <w:t xml:space="preserve">The first year of the Commission’s life was absorbed by wrangles over the chairman, Bethuel Kiplagat, who stepped aside in November 2010 to allow for a special tribunal to investigate his alleged involvement in the Wagalla massacre, assassination of Dr Robert Ouko, and land grabbing in Trans Nzoia. However, while Kiplagat had initially called for the establishment of a special tribunal he later appealed against it and, as a consequence, the tribunal has not been able to conclude its investigations. This unresolved issue still hangs over the Commission, and it would be helpful if it could be resolved as quickly as possible. </w:t>
      </w:r>
    </w:p>
    <w:p w:rsidR="001B733C" w:rsidRDefault="001B733C">
      <w:pPr>
        <w:jc w:val="both"/>
      </w:pPr>
    </w:p>
    <w:p w:rsidR="001B733C" w:rsidRDefault="001B733C">
      <w:pPr>
        <w:jc w:val="both"/>
      </w:pPr>
      <w:r>
        <w:t xml:space="preserve">The ‘chairman issue’ was unfortunate as it prompted many civil society organizations and donors to walk away from the Commission, it also allowed the government to step back from the process, damaged the Commission’s credibility among the general public, and ultimately meant that the Commission was able to do little substantive work during its first year in office.  However, despite this problematic start – and associated problems of limited human resources, civic education and media coverage – the Commission staff are working hard and clear progress is being made. </w:t>
      </w:r>
    </w:p>
    <w:p w:rsidR="001B733C" w:rsidRDefault="001B733C">
      <w:pPr>
        <w:jc w:val="both"/>
      </w:pPr>
    </w:p>
    <w:p w:rsidR="001B733C" w:rsidRDefault="001B733C">
      <w:pPr>
        <w:jc w:val="both"/>
      </w:pPr>
      <w:r>
        <w:t xml:space="preserve">In such a context, public opinion on the TJRC is understandably mixed. On the one hand, there is clearly a sense of ‘commission fatigue’ and popular assumption that the TJRC is going to be like previous commissions of inquiry, which writes a report with nice recommendations that are then ignored by incumbent and successive governments. The idea that the Commission is largely a ‘paper exercise’ is reinforced by the fact that most people know little about the Commission’s work, especially that which goes beyond statement taking and public hearings. The limited level of public awareness and discussion appears particularly stark when compared to the amount of media coverage and level of public debate dedicated to the current confirmation hearings at the International Criminal Court (ICC). </w:t>
      </w:r>
    </w:p>
    <w:p w:rsidR="001B733C" w:rsidRDefault="001B733C">
      <w:pPr>
        <w:jc w:val="both"/>
      </w:pPr>
    </w:p>
    <w:p w:rsidR="001B733C" w:rsidRDefault="001B733C">
      <w:pPr>
        <w:jc w:val="both"/>
      </w:pPr>
      <w:r>
        <w:t>On the other hand, most Kenyans initially supported the establishment of a ‘truth commission’ (as reflected in the findings of the 2003 Task Force headed by Makau Mutua), while the TJRC has been able to record more statements than any other truth commission to date – around 40,000. At a more emotional level, it is common for witnesses at public hearings to state that they are speaking about issues for the first time and for people to express their gratitude to the Commission (with its mix of national and international Commissioners) for coming down to the ground and listening to them, and for the opportunity that the process provides to make appropriate recommendations for their future assistance. Indeed, a common complaint during hearings is not that people want the Commission disbanded, but that people haven’t see enough of the Commission with frequent calls for more statement takers, longer hearings and more meetings. Finally, while much of civil society initially walked away from the TJRC this did not extend to all organizations, especially outside of Nairobi, while several Nairobi-based organizations – such as the International Commission of Jurists (ICJ) and International Centre for Transitional Justice (ICTJ) – have begun to warm up to the Commission. This was reflected in discussions at a Victim-Centered Workshop on Transitional Justice held in Naivasha on 29</w:t>
      </w:r>
      <w:r>
        <w:rPr>
          <w:vertAlign w:val="superscript"/>
        </w:rPr>
        <w:t>th</w:t>
      </w:r>
      <w:r>
        <w:t xml:space="preserve"> and 30</w:t>
      </w:r>
      <w:r>
        <w:rPr>
          <w:vertAlign w:val="superscript"/>
        </w:rPr>
        <w:t>th</w:t>
      </w:r>
      <w:r>
        <w:t xml:space="preserve"> August 2011, which was co-organised by the ICJ, ICTJ, Kenya National Commission of Human Rights (KNCHR) and Kenya Human Rights Commission (KHRC), where the general feeling was that civil society had focused too much on the ‘chairman issue’ and had taken its ‘eye of the ball’ in terms of what ordinary people want from ‘transitional justice’.  </w:t>
      </w:r>
    </w:p>
    <w:p w:rsidR="001B733C" w:rsidRDefault="001B733C">
      <w:pPr>
        <w:jc w:val="both"/>
      </w:pPr>
    </w:p>
    <w:p w:rsidR="001B733C" w:rsidRDefault="001B733C">
      <w:pPr>
        <w:jc w:val="both"/>
      </w:pPr>
      <w:r>
        <w:t xml:space="preserve">In terms of the TJRC’s work to date, it is clear that many problems and shortcomings stem from initial problems of credibility and limited funding, while many of its achievements flow from hard work and local support for a process of truth-telling and justice. The following section looks at different aspects of the Commission’s work – the paper then moves on to the opportunities that the Commission provides and ways in which the donor community and civil society could potentially engage and support the process. </w:t>
      </w:r>
    </w:p>
    <w:p w:rsidR="001B733C" w:rsidRDefault="001B733C">
      <w:pPr>
        <w:jc w:val="both"/>
      </w:pPr>
    </w:p>
    <w:p w:rsidR="001B733C" w:rsidRDefault="001B733C">
      <w:pPr>
        <w:jc w:val="both"/>
      </w:pPr>
      <w:r>
        <w:rPr>
          <w:i/>
        </w:rPr>
        <w:t>Statement Taking</w:t>
      </w:r>
      <w:r>
        <w:t xml:space="preserve">: </w:t>
      </w:r>
    </w:p>
    <w:p w:rsidR="001B733C" w:rsidRDefault="001B733C">
      <w:pPr>
        <w:jc w:val="both"/>
      </w:pPr>
    </w:p>
    <w:p w:rsidR="001B733C" w:rsidRDefault="001B733C">
      <w:pPr>
        <w:jc w:val="both"/>
      </w:pPr>
      <w:r>
        <w:t xml:space="preserve">The TJRC has collected around 40,000 statements – the largest number of any truth commission to date – and discussions with statement takers and staff from the TJRC’s research, investigative, legal, and documentation departments suggest that statements cover a wide range of issues providing further evidence for injustices that are already in the public domain, while also helping to highlight issues and injustices that have evaded public attention to date.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At the same time, the statement taking process has attracted heavy criticism from monitors and many local residents. The biggest problem is that very little civic education was conducted before the statement taking process began, meaning that most people did not know about the scope and breadth of the Commission’s mandate or about its powers, while many people did not know that the statement taking process was taking place in their area, or about how they could locate a statement taker or submit a memorandum. As a result, many potential witnesses may not have recorded a statement, while many who did, may not have recorded as comprehensive a statement as they could otherwise have done. For example, it has become clear that many people did not detail all the socio-economic injustices that resulted from various civic and political injustices experienced.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Limited civic education went hand in hand with other issues. First, the low level of credibility meant that many people and organizations have withheld potentially important information. Second, suspicion of statement takers in some areas, for example in Mt Elgon </w:t>
      </w:r>
      <w:r w:rsidRPr="000E7B3A">
        <w:t>where some of the statement takers were said to be former members of the Sabaot Land Defence Force (SLDF), or in Uasin Gishu where five out of six statement</w:t>
      </w:r>
      <w:r>
        <w:t xml:space="preserve"> takers were non-Kalenjin in a majority-Kalenjin area, meant that some people felt uncomfortable recording statements. Third, limited resources meant that a few statement takers were covering large areas and in some cases did not cover the whole area allocated to them during the initial period, as occurred in Njoro District.</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These are important issues as they raise questions about geographic and thematic coverage, however, they are problems that the TJRC is aware of and is taking steps to counter. For example, the Commission reopened the statement taking process in some areas and is allowing people to make statements during public hearings. More importantly, the TJRC does not have to collect a statement from every single Kenyan who has suffered an injustice to be able to write a good report with strong recommendations. Instead, it simply needs to gain a good sense of the range of injustices and their structural and systematic nature, something  that does seem achievable from the number of statements and memorandum collected, and from the fact that analysis will be complemented by the work of the Commission’s in-house research team and hired consultants. </w:t>
      </w:r>
    </w:p>
    <w:p w:rsidR="001B733C" w:rsidRDefault="001B733C">
      <w:pPr>
        <w:jc w:val="both"/>
      </w:pPr>
    </w:p>
    <w:p w:rsidR="001B733C" w:rsidRDefault="001B733C">
      <w:pPr>
        <w:jc w:val="both"/>
      </w:pPr>
      <w:r>
        <w:rPr>
          <w:i/>
        </w:rPr>
        <w:t>Public Hearings</w:t>
      </w:r>
      <w:r>
        <w:t xml:space="preserve"> </w:t>
      </w:r>
    </w:p>
    <w:p w:rsidR="001B733C" w:rsidRDefault="001B733C">
      <w:pPr>
        <w:jc w:val="both"/>
      </w:pPr>
    </w:p>
    <w:p w:rsidR="001B733C" w:rsidRDefault="001B733C">
      <w:pPr>
        <w:jc w:val="both"/>
      </w:pPr>
      <w:r>
        <w:t xml:space="preserve">Public hearings have gone ahead relatively smoothly, and most importantly, it is clear that people appreciate the opportunity that the Commission provides to air their views and discuss the injustices and problems that they have faced. Moreover, while the Commission has been criticized for not going to every district, it has simultaneously been praised for going further down to the ground than previous commissions. For example, many people in Kericho compared the TJRC favourably to the ‘Waki Commission’ which sat in Nakuru and did not come and collect ‘their’ views and stories. </w:t>
      </w:r>
    </w:p>
    <w:p w:rsidR="001B733C" w:rsidRDefault="001B733C">
      <w:pPr>
        <w:jc w:val="both"/>
      </w:pPr>
    </w:p>
    <w:p w:rsidR="001B733C" w:rsidRDefault="001B733C">
      <w:pPr>
        <w:jc w:val="both"/>
      </w:pPr>
      <w:r>
        <w:t xml:space="preserve">However, given the broader problems that the Commission has faced – with pressures of time, the limited human and financial resources that they have had, and credibility issues – it is inevitable that the hearings have been imperfect in various ways. Problems include: limited time in each location, thin investigations and research prior to the hearings, poor communications, last minute changes and a relatively low level of public engagement and media coverage. The latter is particularly important since, while many people who attend the hearings are supportive of the process, this does not necessarily extend to public debates and discussions beyond the four walls in question. The lack of media coverage and public awareness is particularly frustrating when one hears powerful stories that could potentially help influence public debate and perceptions across the country. </w:t>
      </w:r>
    </w:p>
    <w:p w:rsidR="001B733C" w:rsidRDefault="001B733C">
      <w:pPr>
        <w:jc w:val="both"/>
      </w:pPr>
    </w:p>
    <w:p w:rsidR="001B733C" w:rsidRDefault="001B733C">
      <w:pPr>
        <w:jc w:val="both"/>
      </w:pPr>
      <w:r>
        <w:t xml:space="preserve">The most serious problem however, is one of time, with two days now scheduled for public, women’s, in camera, and adversely mentioned peoples hearings in most locations, which is clearly insufficient if the Commission is to cover the range of injustices included in its mandate in a way that will satisfy different community interests. Given this difficult task the Commission has taken the sensible approach of selecting broad ‘window cases’ that capture a range of issues and are being flexible in fitting in statements and memorandum from interest groups who feel that their voices have been sidelined. Once again, the issue of media coverage and civic awareness is relevant as this approach would be greatly enhanced if people had a better sense of what issues had been discussed at hearings in previous locations.  </w:t>
      </w:r>
    </w:p>
    <w:p w:rsidR="001B733C" w:rsidRDefault="001B733C">
      <w:pPr>
        <w:jc w:val="both"/>
      </w:pPr>
    </w:p>
    <w:p w:rsidR="001B733C" w:rsidRDefault="001B733C">
      <w:pPr>
        <w:jc w:val="both"/>
      </w:pPr>
      <w:r>
        <w:rPr>
          <w:i/>
        </w:rPr>
        <w:t>Research</w:t>
      </w:r>
      <w:r>
        <w:t xml:space="preserve">: </w:t>
      </w:r>
    </w:p>
    <w:p w:rsidR="001B733C" w:rsidRDefault="001B733C">
      <w:pPr>
        <w:jc w:val="both"/>
      </w:pPr>
    </w:p>
    <w:p w:rsidR="001B733C" w:rsidRDefault="001B733C">
      <w:pPr>
        <w:jc w:val="both"/>
      </w:pPr>
      <w:r>
        <w:t xml:space="preserve">In addition to statements, memorandum, and the public hearings, the Commission also has a small research team that is consulting secondary literature, government and non-government reports, newspaper articles and archival data. Unfortunately, financial constraints means that the small research team will not be able to go through and process all of the relevant data, while some relevant materials will remain hidden in government offices. Nevertheless, the researchers are doing good work, and can draw from a range of previous commission of inquiry and non-government reports that provide a summary of various issues. The research team is also being assisted by consultants who are writing reports on particular thematic areas such as land, people living with disabilities, and ethnic violence, which will contribute towards the final report, while GiZ is funding an additional consultant to go through all the previous commission of inquiry reports and highlight key issues and recommendations.  </w:t>
      </w:r>
    </w:p>
    <w:p w:rsidR="001B733C" w:rsidRDefault="001B733C">
      <w:pPr>
        <w:widowControl w:val="0"/>
        <w:autoSpaceDE w:val="0"/>
        <w:autoSpaceDN w:val="0"/>
        <w:adjustRightInd w:val="0"/>
        <w:jc w:val="both"/>
      </w:pPr>
    </w:p>
    <w:p w:rsidR="001B733C" w:rsidRDefault="001B733C">
      <w:pPr>
        <w:jc w:val="both"/>
      </w:pPr>
      <w:r>
        <w:rPr>
          <w:i/>
        </w:rPr>
        <w:t>Report Writing</w:t>
      </w:r>
      <w:r>
        <w:t>:</w:t>
      </w:r>
    </w:p>
    <w:p w:rsidR="001B733C" w:rsidRDefault="001B733C">
      <w:pPr>
        <w:jc w:val="both"/>
      </w:pPr>
    </w:p>
    <w:p w:rsidR="001B733C" w:rsidRDefault="001B733C">
      <w:pPr>
        <w:jc w:val="both"/>
      </w:pPr>
      <w:r>
        <w:t xml:space="preserve">At the moment, the TJRC is scheduled to hold public hearings in different parts of the country until January 2012. It will then hold thematic hearings, for example, on security forces, internally displaced persons (IDPs), people living with disabilities, and socio-economic crimes, with the last couple of months set aside for completion of the final report. However, the process of report writing has already begun with individual researchers allocated the task of leading the report writing process of particular thematic areas. In addition, a researcher is present at every hearing so that they can make a note of some of the key issues and recommendations that arise. </w:t>
      </w:r>
    </w:p>
    <w:p w:rsidR="001B733C" w:rsidRDefault="001B733C">
      <w:pPr>
        <w:jc w:val="both"/>
      </w:pPr>
    </w:p>
    <w:p w:rsidR="001B733C" w:rsidRDefault="001B733C">
      <w:pPr>
        <w:jc w:val="both"/>
      </w:pPr>
      <w:r>
        <w:t xml:space="preserve">There are thus various ways in which the TJRC’s work can be criticized and there are clearly areas for further improvement. However, the Commission is at a relative disadvantage given the level of scrutiny and oversight that it enjoys when compared to other bodies such as the National Cohesion and Integration Commission (NCIC) and local civil society. As a result, it sometimes seems that problems and failings are highlighted to the detriment of more general areas of progress and, perhaps more importantly, to the Commission’s potential – a subject to which this paper now turns. </w:t>
      </w:r>
    </w:p>
    <w:p w:rsidR="001B733C" w:rsidRDefault="001B733C">
      <w:pPr>
        <w:jc w:val="both"/>
      </w:pPr>
    </w:p>
    <w:p w:rsidR="001B733C" w:rsidRDefault="001B733C">
      <w:pPr>
        <w:widowControl w:val="0"/>
        <w:autoSpaceDE w:val="0"/>
        <w:autoSpaceDN w:val="0"/>
        <w:adjustRightInd w:val="0"/>
        <w:jc w:val="both"/>
        <w:rPr>
          <w:b/>
        </w:rPr>
      </w:pPr>
      <w:r>
        <w:rPr>
          <w:b/>
        </w:rPr>
        <w:t xml:space="preserve">Opportunities: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It is clear from attendance at public hearings that the act of speaking in public can be cathartic and bring some relief to individual victims. However, the TJRC can provide such a platform to only a few individuals, especially since it has the largest temporal and thematic mandate of any truth commission to date and wasted much of its first year. Moreover, the numbers will only become less as the Commission moves around the Rift Valley and other provinces where two days have been scheduled in most places for public, women’s, in camera, and adversely mentioned people hearings. Yet, this does not diminish the experience for those who do get a chance to speak nor render the process irrelevant to those who are not so fortunate. Two issues appear particularly important. First, witnesses selected are representative of a broader sample and thus individual testimonies can provide solace to other victims. Second, it seems that any temporary cathartic effect of truth-telling is diminished if the rule of law and social justice are not promoted and/or authoritarian practices tackled. Or in other words, it seems that, with truth-telling comes an expectation of action, with the process rendered ineffective if no-one seems to have actually listened. Meaning that, even for those who do get a chance to speak, the process is usually a means to an end rather than an end in and of itself.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In turn, the most important role that the TJRC will play – at least in the author’s opinion – is in terms of providing a public acknowledgement of past wrongs, which can limit the lies that can be told about the past, but also contribute to a national discourse of a common past and justify a range of recommendations for redress and reform.  In terms of the latter, the Commission can recommend amnesty for full disclosure of non-gross human rights violations with restitution required for any economic crime, further investigations or prosecutions, reparations, and institutional reforms. The following section looks at each of these provisions in turn. </w:t>
      </w:r>
    </w:p>
    <w:p w:rsidR="001B733C" w:rsidRDefault="001B733C">
      <w:pPr>
        <w:widowControl w:val="0"/>
        <w:autoSpaceDE w:val="0"/>
        <w:autoSpaceDN w:val="0"/>
        <w:adjustRightInd w:val="0"/>
        <w:jc w:val="both"/>
      </w:pPr>
    </w:p>
    <w:p w:rsidR="001B733C" w:rsidRDefault="001B733C">
      <w:pPr>
        <w:jc w:val="both"/>
        <w:rPr>
          <w:i/>
        </w:rPr>
      </w:pPr>
      <w:r>
        <w:rPr>
          <w:i/>
        </w:rPr>
        <w:t xml:space="preserve">Amnesty: </w:t>
      </w:r>
    </w:p>
    <w:p w:rsidR="001B733C" w:rsidRDefault="001B733C">
      <w:pPr>
        <w:jc w:val="both"/>
      </w:pPr>
    </w:p>
    <w:p w:rsidR="001B733C" w:rsidRDefault="001B733C">
      <w:pPr>
        <w:jc w:val="both"/>
      </w:pPr>
      <w:r>
        <w:t xml:space="preserve">Amnesty is most likely to be offered for economic crimes, and the provision raises various questions, from how ‘full disclosure’ will be tested to what will constitute as restitution, what will happen with collected funds, and whether amnesty will equate with forgiveness or lustration. However, these questions may remain somewhat academic if only a few people apply, which seems likely in the current context. </w:t>
      </w:r>
    </w:p>
    <w:p w:rsidR="001B733C" w:rsidRDefault="001B733C">
      <w:pPr>
        <w:jc w:val="both"/>
      </w:pPr>
    </w:p>
    <w:p w:rsidR="001B733C" w:rsidRDefault="001B733C">
      <w:pPr>
        <w:jc w:val="both"/>
      </w:pPr>
      <w:r>
        <w:t xml:space="preserve">In short, amnesty’s appeal stems from a believe that ‘full disclosure’ will save individuals from a less attractive alternative, such as criminal court proceedings, and will not bring significant costs, such as lustration and/or the seizure of assets. This raises a problem for the Commission, as the threat of court proceedings is limited given the country’s record to date, while it can only recommend amnesty for economic crimes where restitution is paid and successful applicants could potentially be blocked from standing for public office in line with Chapter 6 of the new constitution on ‘Leadership and Integrity’. This means that the appeal of applying for amnesty is limited and the costs are high, especially when added to the damage it could do to someone’s public reputation. The fact that people are unlikely to apply is heightened by a culture of not admitting to wrong doings, and fact that some people do not think that they’ve done anything wrong – an excellent example is a perception of land grabbing as ‘land gifting’, where beneficiaries believe that they were ‘given’ land by a legitimate authority rather than personally ‘grabbing’ the same. </w:t>
      </w:r>
    </w:p>
    <w:p w:rsidR="001B733C" w:rsidRDefault="001B733C">
      <w:pPr>
        <w:jc w:val="both"/>
      </w:pPr>
    </w:p>
    <w:p w:rsidR="001B733C" w:rsidRDefault="001B733C">
      <w:pPr>
        <w:jc w:val="both"/>
      </w:pPr>
      <w:r>
        <w:t xml:space="preserve">Nevertheless, since the TJRC Act allows for amnesty it is clear that the Commission needs to open and advertise an amnesty process in the near future, and it would seem prudent to have a tight timeframe so that the Commission knows as soon as possible how many amnesty applications it will have to process. </w:t>
      </w:r>
    </w:p>
    <w:p w:rsidR="001B733C" w:rsidRDefault="001B733C">
      <w:pPr>
        <w:jc w:val="both"/>
      </w:pPr>
    </w:p>
    <w:p w:rsidR="001B733C" w:rsidRDefault="001B733C">
      <w:pPr>
        <w:jc w:val="both"/>
        <w:rPr>
          <w:i/>
        </w:rPr>
      </w:pPr>
      <w:r>
        <w:rPr>
          <w:i/>
        </w:rPr>
        <w:t xml:space="preserve">Further Investigations and Prosecutions: </w:t>
      </w:r>
    </w:p>
    <w:p w:rsidR="001B733C" w:rsidRDefault="001B733C">
      <w:pPr>
        <w:jc w:val="both"/>
      </w:pPr>
    </w:p>
    <w:p w:rsidR="001B733C" w:rsidRDefault="001B733C">
      <w:pPr>
        <w:jc w:val="both"/>
      </w:pPr>
      <w:r>
        <w:t>The ability to recommend further investigations and prosecutions is a powerful instrument that lies in the Commission’s hands, although it is worth noting that, according to the TJRC Act, any ‘</w:t>
      </w:r>
      <w:r>
        <w:rPr>
          <w:color w:val="000000"/>
        </w:rPr>
        <w:t xml:space="preserve">confession or admission (made before the Commission) shall not be used in any court proceedings against the applicant whether or not amnesty is granted’. At the same time, the real potential of this provision depends on the response of the Attorney General, Deputy Public Prosecutor, Chief Justice and investigative units (from the police to the newly formed Ethics and Anti-Corruption Commission) and it would therefore be beneficial for discussions between these units to begin before the Commission submits its report – as the TJRC had done with the now defunct Kenya Anti-Corruption Commission. </w:t>
      </w:r>
    </w:p>
    <w:p w:rsidR="001B733C" w:rsidRDefault="001B733C">
      <w:pPr>
        <w:jc w:val="both"/>
      </w:pPr>
    </w:p>
    <w:p w:rsidR="001B733C" w:rsidRDefault="001B733C">
      <w:pPr>
        <w:jc w:val="both"/>
      </w:pPr>
      <w:r>
        <w:t xml:space="preserve">One potential danger of recommending further investigations and perhaps prosecutions is that the Commission could be criticized for scapegoating particular individuals or communities. This could be particularly problematic if many of the ‘accused’ are Kalenjin especially when placed in the context of the ‘chairman issue’, and local interpretations of ICC proceedings. Thus, there is already a strong narrative in Kalenjin areas that the chairman was forced to step aside because he was Kalenjin and would thus have taken the land issue seriously, while the ICC is also cast as targeting the same community at the behest of Raila Odinga and his international allies. These are clearly misconceptions, but they are nevertheless important for the way in which the Commission’s report and recommendations might be interpreted and in turn rejected. In turn, these issues render the importance of actually tackling the ‘land issue’ of even greater importance if the Commission is to foster ‘reconciliation’ in the hot spot areas of the Rift Valley and Coast. </w:t>
      </w:r>
    </w:p>
    <w:p w:rsidR="001B733C" w:rsidRDefault="001B733C">
      <w:pPr>
        <w:jc w:val="both"/>
      </w:pPr>
    </w:p>
    <w:p w:rsidR="001B733C" w:rsidRDefault="001B733C">
      <w:pPr>
        <w:jc w:val="both"/>
        <w:rPr>
          <w:i/>
        </w:rPr>
      </w:pPr>
      <w:r>
        <w:rPr>
          <w:i/>
        </w:rPr>
        <w:t xml:space="preserve">Reparations: </w:t>
      </w:r>
    </w:p>
    <w:p w:rsidR="001B733C" w:rsidRDefault="001B733C">
      <w:pPr>
        <w:jc w:val="both"/>
      </w:pPr>
    </w:p>
    <w:p w:rsidR="001B733C" w:rsidRDefault="001B733C">
      <w:pPr>
        <w:jc w:val="both"/>
      </w:pPr>
      <w:r>
        <w:t>The TJRC can also recommend reparations and it is here that the Commission faces the highest public expectations, since it is clear – from attending the TJRC’s hearings, but also from talking to victims and members of civil society and reading the ICTJ’s recent report on reparations (</w:t>
      </w:r>
      <w:r>
        <w:rPr>
          <w:i/>
        </w:rPr>
        <w:t>“To live as other Kenyans do”: A study of the reparative demands of Kenyan victims of human rights violations</w:t>
      </w:r>
      <w:r>
        <w:t xml:space="preserve">, July 2011) – that what most victims want is some kind of financial or substantive compensation for the injustice experienced and ongoing consequences.  </w:t>
      </w:r>
    </w:p>
    <w:p w:rsidR="001B733C" w:rsidRDefault="001B733C">
      <w:pPr>
        <w:jc w:val="both"/>
      </w:pPr>
    </w:p>
    <w:p w:rsidR="001B733C" w:rsidRDefault="001B733C">
      <w:pPr>
        <w:jc w:val="both"/>
      </w:pPr>
      <w:r>
        <w:t xml:space="preserve">Interestingly, this is true for civic and political, as well as socio-economic injustices. Indeed, what is coming out very clearly from the Commission’s work is the inter-relatedness between the two.  For example, time spent in the Nyayo House torture chambers did not only leave physical and psychological scars, but also often ended people’s careers and left individuals and their families in a relative state of destitution.  In turn, the socio-economic marginalization of North Eastern Kenya, has also affected the area’s ‘political voice’ through limited education levels and relatively low levels of civic awareness and advocacy. </w:t>
      </w:r>
    </w:p>
    <w:p w:rsidR="001B733C" w:rsidRDefault="001B733C">
      <w:pPr>
        <w:jc w:val="both"/>
      </w:pPr>
    </w:p>
    <w:p w:rsidR="001B733C" w:rsidRDefault="001B733C">
      <w:pPr>
        <w:widowControl w:val="0"/>
        <w:autoSpaceDE w:val="0"/>
        <w:autoSpaceDN w:val="0"/>
        <w:adjustRightInd w:val="0"/>
        <w:jc w:val="both"/>
      </w:pPr>
      <w:r>
        <w:t>In terms of options, the Commission can recommend individual, collective or symbolic reparations. This is an interesting area and something that the Commission is already thinking about, as reflected in the workshop it held on the 5</w:t>
      </w:r>
      <w:r>
        <w:rPr>
          <w:vertAlign w:val="superscript"/>
        </w:rPr>
        <w:t>th</w:t>
      </w:r>
      <w:r>
        <w:t xml:space="preserve"> and 6</w:t>
      </w:r>
      <w:r>
        <w:rPr>
          <w:vertAlign w:val="superscript"/>
        </w:rPr>
        <w:t>th</w:t>
      </w:r>
      <w:r>
        <w:t xml:space="preserve"> September 2011 on reparations and amnesty with various civil society representatives. At the same time, the setting up a reparations programme is clearly a difficult task for any institution, especially when the range of injustices covered by the TJRC’s mandate are taken into consideration.  </w:t>
      </w:r>
    </w:p>
    <w:p w:rsidR="001B733C" w:rsidRDefault="001B733C">
      <w:pPr>
        <w:jc w:val="both"/>
      </w:pPr>
    </w:p>
    <w:p w:rsidR="001B733C" w:rsidRDefault="001B733C">
      <w:pPr>
        <w:jc w:val="both"/>
      </w:pPr>
      <w:r>
        <w:t xml:space="preserve">At public hearings, witnesses have shown a preference for individual compensation, however it seems that the TJRC is currently ill-placed to recommend reparations at this level since it would either have to rely on the statements already collected, or open a time consuming and expensive process of reparations claims. The TJRC is also unlikely to ‘capture’ every victim, while there is simply not enough resources to recommend compensation for every single person who has suffered an ‘injustice’ between 1963 and 2008. Having said this, there are certain injustices where individual reparations appear to be more appropriate and practical – for example, for victims of police shootings and IDPs – and one possibility would be for the Commission to recommend individual reparations for particular injustices and leave this up to a separate institution to adjudicate.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In addition, the Commission can make suggestions for some symbolic and community-based reparations in particular contexts and against particular histories of injustice. This is something that the TJRC is likely to recommend and with good reason. However, collective reparations pose their own particular challenges, especially in the Kenyan context where every community has its own ‘narrative of suffering’ – be it historical land injustices in the Rift Valley or political and economic marginalization in Luo Nyanza. This is important, not only because every area is demanding special attention, but because it is these narratives of past injustice and thus the need for special treatment in the present, that allows politicians to so easily mobilize support along ethnic lines and thus carve the country into ethnic strongholds. This situation leaves the Commission with some difficult decisions regarding the relative nature of local claims of marginalisation, and associated questions of how to distinguish between collective reparations and ‘development’.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rPr>
          <w:i/>
        </w:rPr>
      </w:pPr>
      <w:r>
        <w:rPr>
          <w:i/>
        </w:rPr>
        <w:t xml:space="preserve">Institutional Reforms: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The TJRC can also recommend institutional reforms. In this regard, the Commission is in a rather peculiar position of taking place after the introduction of a new constitution and at the same time as various institutional reforms. As a result, many of the obvious changes will already have been made (or at least have been recommended), meaning that the Commission will not only need to consider the recommendations given to it but also the reform process to date and areas for further reform and useful reinforcement.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rPr>
          <w:i/>
        </w:rPr>
      </w:pPr>
      <w:r>
        <w:rPr>
          <w:i/>
        </w:rPr>
        <w:t xml:space="preserve">Implementation: </w:t>
      </w:r>
    </w:p>
    <w:p w:rsidR="001B733C" w:rsidRDefault="001B733C">
      <w:pPr>
        <w:widowControl w:val="0"/>
        <w:autoSpaceDE w:val="0"/>
        <w:autoSpaceDN w:val="0"/>
        <w:adjustRightInd w:val="0"/>
        <w:jc w:val="both"/>
      </w:pPr>
    </w:p>
    <w:p w:rsidR="001B733C" w:rsidRDefault="001B733C">
      <w:pPr>
        <w:jc w:val="both"/>
      </w:pPr>
      <w:r>
        <w:t>In terms of implementation, the TJRC differs from previous commissions of inquiry in Kenya in the way that it has been established through an Act of Parliament, which specifically states that ‘all recommendations shall be implemented’ and provides for the establishment of an implementation committee and requires the Minister of Justice to ‘</w:t>
      </w:r>
      <w:r>
        <w:rPr>
          <w:color w:val="000000"/>
        </w:rPr>
        <w:t xml:space="preserve">report to the National Assembly within three months of receipt of the report of the Commission, and twice a year thereafter, as to the implementation of the Commission's recommendations’. However, it would be dangerous for the Commission and its supporters to assume that the government will implement recommendations especially given that the Act also states that ‘where the implementation of any recommendation has not been complied with, the National Assembly shall require the Minister to furnish it with reasons for non- implementation’ – with potential reasons including the Commission’s troubled history and critical reports of various civil society organisations. </w:t>
      </w:r>
      <w:r>
        <w:t xml:space="preserve">This issue is heightened by the fact that the recommendations of truth commissions around the world have generally suffered from poor implementation (see Priscilla Hayner, </w:t>
      </w:r>
      <w:r>
        <w:rPr>
          <w:i/>
        </w:rPr>
        <w:t>Unspeakable Truths: Facing the Truth of Truth Commission</w:t>
      </w:r>
      <w:r>
        <w:t xml:space="preserve">. New York: Routledge, 2002). </w:t>
      </w:r>
    </w:p>
    <w:p w:rsidR="001B733C" w:rsidRDefault="001B733C">
      <w:pPr>
        <w:widowControl w:val="0"/>
        <w:autoSpaceDE w:val="0"/>
        <w:autoSpaceDN w:val="0"/>
        <w:adjustRightInd w:val="0"/>
        <w:jc w:val="both"/>
        <w:rPr>
          <w:color w:val="000000"/>
        </w:rPr>
      </w:pPr>
    </w:p>
    <w:p w:rsidR="001B733C" w:rsidRDefault="001B733C">
      <w:pPr>
        <w:widowControl w:val="0"/>
        <w:autoSpaceDE w:val="0"/>
        <w:autoSpaceDN w:val="0"/>
        <w:adjustRightInd w:val="0"/>
        <w:jc w:val="both"/>
      </w:pPr>
      <w:r>
        <w:rPr>
          <w:color w:val="000000"/>
        </w:rPr>
        <w:t xml:space="preserve">Thus the Commission can make a wide range of recommendations but all require serious thought, while implementation is an area that leaves space for political maneuver. However, obtaining justice for individual and systematic human rights violations is never an easy task and the fact that ordinary Kenyans clearly want ‘justice’ – in terms of prosecutions, but also acknowledgement of the truth, compensation, real reforms, and meaningful reconciliation that would reduce the likelihood of future episodes of inter-communal violence – renders the challenges faced something that should to be met rather than shied away from.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rPr>
          <w:b/>
        </w:rPr>
      </w:pPr>
      <w:r>
        <w:rPr>
          <w:b/>
        </w:rPr>
        <w:t xml:space="preserve">Spaces for Engagement: </w:t>
      </w:r>
    </w:p>
    <w:p w:rsidR="001B733C" w:rsidRDefault="001B733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p>
    <w:p w:rsidR="001B733C" w:rsidRDefault="001B733C">
      <w:pPr>
        <w:widowControl w:val="0"/>
        <w:autoSpaceDE w:val="0"/>
        <w:autoSpaceDN w:val="0"/>
        <w:adjustRightInd w:val="0"/>
        <w:jc w:val="both"/>
      </w:pPr>
      <w:r>
        <w:t xml:space="preserve">So, if the Commission is making progress despite a problematic start and continuing shortcomings, and, if it can make recommendations that would contribute to a reform agenda and help meet people’s expectations of justice, what can international donors and civil society do if they want to try and support and strengthen the process? In my opinion, there are two main areas for useful engagement. One, actors can help ensure that there is a strong report with recommendations that are both practical and acceptable. And second, they can help provide an environment in which implementation and compliance is more, rather than less likely. Within this broad remit there are many contributions that the donor community and civil society organisations could make and this final section simply raises a few possibilities and should not be regarded as exhaustive. </w:t>
      </w:r>
    </w:p>
    <w:p w:rsidR="001B733C" w:rsidRDefault="001B733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p>
    <w:p w:rsidR="001B733C" w:rsidRDefault="001B733C">
      <w:pPr>
        <w:widowControl w:val="0"/>
        <w:autoSpaceDE w:val="0"/>
        <w:autoSpaceDN w:val="0"/>
        <w:adjustRightInd w:val="0"/>
        <w:jc w:val="both"/>
      </w:pPr>
      <w:r>
        <w:t xml:space="preserve">First, actors can provide, and help facilitate the provision of information to the TJRC, and thus help with the articulation of truths and their documentation.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Second, actors can help promote civic awareness of the TJRC, it’s mandate, work to date, and potential recommendations, so as to enhance public understanding, engagement, and ultimately popular ‘buy-in’ to the final report and recommendations.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Third, actors can be involved in, and help support, the report writing phase of the TJRC by engaging in themed workshops on amnesty, prosecutions, reparations, and institutional reform, so that the Commission can benefit from experiences from other parts of the world, but also gain a better understanding of what Kenyans want and about the range of realistic recommendations that would help meet these demands in a way that takes full account of the changes that have already been made or been recommended. For example, when thinking about security sector reform, the TJRC would benefit from discussions with people who have been trying to undertake such reforms through other means so that they can reinforce the reforms that people see as important and necessary, and also add some relevant innovations.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Fourth, civil society and donors can help ensure that there is momentum around the Commission’s recommendations that would help increase the likelihood of government implementation. This would involve the promotion of a sense of ‘ownership’ of the recommendations amongst different sectors of Kenyan society, from politicians to civil society organisations, community based organisations and victims groups, that could eventually lead to a strong advocacy campaign for implementation.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Fifth, steps can be taken to lay the ground work for implementation so that the momentum is not lost when the Commission submits its report and the Commissioners go home. For example, if reparations are a likely outcome then the government should be encouraged to set aside money in its next budget, which could potentially be ‘topped up’ by interested donors. Similarly, if the Commission is to recommend further investigations (e.g. for socio-economic crimes) then it makes sense for strong links to be developed between them and the new Ethics and Anti-Corruption Commission before the Commission finishes its work.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r>
        <w:t xml:space="preserve">Finally, it would appear sensible for there to be some continuity between the Commission and the Implementing Committee so that the Committee is fully committed to achieving full implementation – something that the international community and civil society organisations could start advocating for now. </w:t>
      </w:r>
    </w:p>
    <w:p w:rsidR="001B733C" w:rsidRDefault="001B733C">
      <w:pPr>
        <w:widowControl w:val="0"/>
        <w:autoSpaceDE w:val="0"/>
        <w:autoSpaceDN w:val="0"/>
        <w:adjustRightInd w:val="0"/>
        <w:jc w:val="both"/>
      </w:pPr>
    </w:p>
    <w:p w:rsidR="001B733C" w:rsidRDefault="001B733C">
      <w:pPr>
        <w:widowControl w:val="0"/>
        <w:autoSpaceDE w:val="0"/>
        <w:autoSpaceDN w:val="0"/>
        <w:adjustRightInd w:val="0"/>
        <w:jc w:val="both"/>
      </w:pPr>
    </w:p>
    <w:sectPr w:rsidR="001B733C">
      <w:footerReference w:type="even" r:id="rId6"/>
      <w:footerReference w:type="default" r:id="rId7"/>
      <w:pgSz w:w="11900" w:h="16840"/>
      <w:pgMar w:top="1440" w:right="1800" w:bottom="1440" w:left="180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4D4F" w:rsidRDefault="00CB4D4F">
      <w:r>
        <w:separator/>
      </w:r>
    </w:p>
  </w:endnote>
  <w:endnote w:type="continuationSeparator" w:id="0">
    <w:p w:rsidR="00CB4D4F" w:rsidRDefault="00CB4D4F">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33C" w:rsidRDefault="001B73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B733C" w:rsidRDefault="001B733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33C" w:rsidRDefault="001B73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15883">
      <w:rPr>
        <w:rStyle w:val="PageNumber"/>
        <w:noProof/>
      </w:rPr>
      <w:t>1</w:t>
    </w:r>
    <w:r>
      <w:rPr>
        <w:rStyle w:val="PageNumber"/>
      </w:rPr>
      <w:fldChar w:fldCharType="end"/>
    </w:r>
  </w:p>
  <w:p w:rsidR="001B733C" w:rsidRDefault="001B733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4D4F" w:rsidRDefault="00CB4D4F">
      <w:r>
        <w:separator/>
      </w:r>
    </w:p>
  </w:footnote>
  <w:footnote w:type="continuationSeparator" w:id="0">
    <w:p w:rsidR="00CB4D4F" w:rsidRDefault="00CB4D4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stylePaneFormatFilter w:val="3F01"/>
  <w:stylePaneSortMethod w:val="0000"/>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rsids>
    <w:rsidRoot w:val="000E7B3A"/>
    <w:rsid w:val="001B733C"/>
    <w:rsid w:val="00CB4D4F"/>
    <w:rsid w:val="00D15883"/>
  </w:rsids>
  <m:mathPr>
    <m:mathFont m:val="Cambria Math"/>
    <m:brkBin m:val="before"/>
    <m:brkBinSub m:val="--"/>
    <m:smallFrac m:val="off"/>
    <m:dispDef m:val="off"/>
    <m:lMargin m:val="0"/>
    <m:rMargin m:val="0"/>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Pr>
      <w:sz w:val="24"/>
      <w:szCs w:val="24"/>
      <w:lang w:val="en-US" w:eastAsia="en-US"/>
    </w:rPr>
  </w:style>
  <w:style w:type="character" w:default="1" w:styleId="DefaultParagraphFont">
    <w:name w:val="Default Paragraph Font"/>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unhideWhenUsed/>
    <w:pPr>
      <w:tabs>
        <w:tab w:val="center" w:pos="4320"/>
        <w:tab w:val="right" w:pos="8640"/>
      </w:tabs>
    </w:pPr>
  </w:style>
  <w:style w:type="character" w:customStyle="1" w:styleId="FooterChar">
    <w:name w:val="Footer Char"/>
    <w:basedOn w:val="DefaultParagraphFont"/>
    <w:semiHidden/>
    <w:rPr>
      <w:noProof w:val="0"/>
      <w:sz w:val="24"/>
      <w:szCs w:val="24"/>
      <w:lang w:val="en-US"/>
    </w:rPr>
  </w:style>
  <w:style w:type="character" w:styleId="PageNumber">
    <w:name w:val="page number"/>
    <w:basedOn w:val="DefaultParagraphFont"/>
    <w:semiHidden/>
    <w:unhideWhenUsed/>
  </w:style>
  <w:style w:type="paragraph" w:styleId="FootnoteText">
    <w:name w:val="footnote text"/>
    <w:basedOn w:val="Normal"/>
    <w:semiHidden/>
    <w:unhideWhenUsed/>
  </w:style>
  <w:style w:type="character" w:customStyle="1" w:styleId="FootnoteTextChar">
    <w:name w:val="Footnote Text Char"/>
    <w:basedOn w:val="DefaultParagraphFont"/>
    <w:semiHidden/>
    <w:rPr>
      <w:sz w:val="24"/>
      <w:szCs w:val="24"/>
    </w:rPr>
  </w:style>
  <w:style w:type="character" w:styleId="FootnoteReference">
    <w:name w:val="footnote reference"/>
    <w:basedOn w:val="DefaultParagraphFont"/>
    <w:semiHidden/>
    <w:unhideWhenUsed/>
    <w:rPr>
      <w:vertAlign w:val="superscript"/>
    </w:rPr>
  </w:style>
</w:styles>
</file>

<file path=word/webSettings.xml><?xml version="1.0" encoding="utf-8"?>
<w:webSettings xmlns:r="http://schemas.openxmlformats.org/officeDocument/2006/relationships" xmlns:w="http://schemas.openxmlformats.org/wordprocessingml/2006/main">
  <w:allowPNG/>
  <w:pixelsPerInch w:val="72"/>
  <w:targetScreenSz w:val="1024x768"/>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4613</Words>
  <Characters>26300</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University of Leeds</Company>
  <LinksUpToDate>false</LinksUpToDate>
  <CharactersWithSpaces>30852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Gabrielle Lynch</dc:creator>
  <cp:lastModifiedBy>Ben Richardson</cp:lastModifiedBy>
  <cp:revision>2</cp:revision>
  <dcterms:created xsi:type="dcterms:W3CDTF">2011-10-12T10:55:00Z</dcterms:created>
  <dcterms:modified xsi:type="dcterms:W3CDTF">2011-10-12T10:55:00Z</dcterms:modified>
</cp:coreProperties>
</file>