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22AA" w:rsidRPr="00DE22AA" w:rsidRDefault="00DE22AA" w:rsidP="007346E5">
      <w:pPr>
        <w:jc w:val="center"/>
        <w:rPr>
          <w:rFonts w:ascii="Times New Roman" w:eastAsia="Calibri" w:hAnsi="Times New Roman" w:cs="Times New Roman"/>
          <w:b/>
          <w:bCs/>
          <w:sz w:val="24"/>
          <w:szCs w:val="24"/>
        </w:rPr>
      </w:pPr>
      <w:r w:rsidRPr="00DE22AA">
        <w:rPr>
          <w:rFonts w:ascii="Times New Roman" w:eastAsia="Calibri" w:hAnsi="Times New Roman" w:cs="Times New Roman"/>
          <w:b/>
          <w:bCs/>
          <w:sz w:val="24"/>
          <w:szCs w:val="24"/>
        </w:rPr>
        <w:t xml:space="preserve">Descartes’ </w:t>
      </w:r>
      <w:r w:rsidRPr="00DE22AA">
        <w:rPr>
          <w:rFonts w:ascii="Times New Roman" w:eastAsia="Calibri" w:hAnsi="Times New Roman" w:cs="Times New Roman"/>
          <w:b/>
          <w:bCs/>
          <w:i/>
          <w:iCs/>
          <w:sz w:val="24"/>
          <w:szCs w:val="24"/>
        </w:rPr>
        <w:t>Meditations</w:t>
      </w:r>
    </w:p>
    <w:p w:rsidR="00DE22AA" w:rsidRPr="00DE22AA" w:rsidRDefault="00DE22AA" w:rsidP="007346E5">
      <w:pPr>
        <w:jc w:val="center"/>
        <w:rPr>
          <w:rFonts w:ascii="Times New Roman" w:eastAsia="Calibri" w:hAnsi="Times New Roman" w:cs="Times New Roman"/>
          <w:b/>
          <w:bCs/>
          <w:sz w:val="24"/>
          <w:szCs w:val="24"/>
        </w:rPr>
      </w:pPr>
      <w:r w:rsidRPr="00DE22AA">
        <w:rPr>
          <w:rFonts w:ascii="Times New Roman" w:hAnsi="Times New Roman" w:cs="Times New Roman"/>
          <w:b/>
          <w:bCs/>
          <w:sz w:val="24"/>
          <w:szCs w:val="24"/>
        </w:rPr>
        <w:t>Lecture 10</w:t>
      </w:r>
    </w:p>
    <w:p w:rsidR="00B50342" w:rsidRPr="00DE22AA" w:rsidRDefault="000C5AB9" w:rsidP="007346E5">
      <w:pPr>
        <w:jc w:val="both"/>
        <w:rPr>
          <w:rFonts w:ascii="Times New Roman" w:hAnsi="Times New Roman" w:cs="Times New Roman"/>
          <w:b/>
          <w:i/>
          <w:sz w:val="24"/>
          <w:szCs w:val="24"/>
        </w:rPr>
      </w:pPr>
      <w:r w:rsidRPr="00DE22AA">
        <w:rPr>
          <w:rFonts w:ascii="Times New Roman" w:hAnsi="Times New Roman" w:cs="Times New Roman"/>
          <w:b/>
          <w:i/>
          <w:sz w:val="24"/>
          <w:szCs w:val="24"/>
        </w:rPr>
        <w:t>The Cartesian Legacy</w:t>
      </w:r>
    </w:p>
    <w:p w:rsidR="002C68A6" w:rsidRPr="00DE22AA" w:rsidRDefault="004D04E7" w:rsidP="007346E5">
      <w:pPr>
        <w:jc w:val="both"/>
        <w:rPr>
          <w:rFonts w:ascii="Times New Roman" w:hAnsi="Times New Roman" w:cs="Times New Roman"/>
          <w:b/>
          <w:sz w:val="24"/>
          <w:szCs w:val="24"/>
        </w:rPr>
      </w:pPr>
      <w:r w:rsidRPr="00DE22AA">
        <w:rPr>
          <w:rFonts w:ascii="Times New Roman" w:hAnsi="Times New Roman" w:cs="Times New Roman"/>
          <w:b/>
          <w:sz w:val="24"/>
          <w:szCs w:val="24"/>
        </w:rPr>
        <w:t>Cartesian Science</w:t>
      </w:r>
    </w:p>
    <w:p w:rsidR="004D04E7" w:rsidRPr="00DE22AA" w:rsidRDefault="004D04E7" w:rsidP="007346E5">
      <w:pPr>
        <w:jc w:val="both"/>
        <w:rPr>
          <w:rFonts w:ascii="Times New Roman" w:hAnsi="Times New Roman" w:cs="Times New Roman"/>
          <w:sz w:val="24"/>
          <w:szCs w:val="24"/>
        </w:rPr>
      </w:pPr>
      <w:proofErr w:type="gramStart"/>
      <w:r w:rsidRPr="00DE22AA">
        <w:rPr>
          <w:rFonts w:ascii="Times New Roman" w:hAnsi="Times New Roman" w:cs="Times New Roman"/>
          <w:sz w:val="24"/>
          <w:szCs w:val="24"/>
        </w:rPr>
        <w:t>The rejection of naïve realism?</w:t>
      </w:r>
      <w:proofErr w:type="gramEnd"/>
      <w:r w:rsidRPr="00DE22AA">
        <w:rPr>
          <w:rFonts w:ascii="Times New Roman" w:hAnsi="Times New Roman" w:cs="Times New Roman"/>
          <w:sz w:val="24"/>
          <w:szCs w:val="24"/>
        </w:rPr>
        <w:t xml:space="preserve"> Should we accept the world is, in itself, rather different from the way we perceive it to be?</w:t>
      </w:r>
    </w:p>
    <w:p w:rsidR="004D04E7" w:rsidRPr="00DE22AA" w:rsidRDefault="004D04E7" w:rsidP="007346E5">
      <w:pPr>
        <w:jc w:val="both"/>
        <w:rPr>
          <w:rFonts w:ascii="Times New Roman" w:hAnsi="Times New Roman" w:cs="Times New Roman"/>
          <w:sz w:val="24"/>
          <w:szCs w:val="24"/>
        </w:rPr>
      </w:pPr>
      <w:r w:rsidRPr="00DE22AA">
        <w:rPr>
          <w:rFonts w:ascii="Times New Roman" w:hAnsi="Times New Roman" w:cs="Times New Roman"/>
          <w:sz w:val="24"/>
          <w:szCs w:val="24"/>
        </w:rPr>
        <w:t xml:space="preserve">If we reject naïve realism, how can we acquire knowledge of the way the world is in </w:t>
      </w:r>
      <w:proofErr w:type="gramStart"/>
      <w:r w:rsidRPr="00DE22AA">
        <w:rPr>
          <w:rFonts w:ascii="Times New Roman" w:hAnsi="Times New Roman" w:cs="Times New Roman"/>
          <w:sz w:val="24"/>
          <w:szCs w:val="24"/>
        </w:rPr>
        <w:t>itself</w:t>
      </w:r>
      <w:proofErr w:type="gramEnd"/>
      <w:r w:rsidRPr="00DE22AA">
        <w:rPr>
          <w:rFonts w:ascii="Times New Roman" w:hAnsi="Times New Roman" w:cs="Times New Roman"/>
          <w:sz w:val="24"/>
          <w:szCs w:val="24"/>
        </w:rPr>
        <w:t xml:space="preserve">? </w:t>
      </w:r>
    </w:p>
    <w:p w:rsidR="004D04E7" w:rsidRPr="00DE22AA" w:rsidRDefault="004D04E7" w:rsidP="007346E5">
      <w:pPr>
        <w:jc w:val="both"/>
        <w:rPr>
          <w:rFonts w:ascii="Times New Roman" w:hAnsi="Times New Roman" w:cs="Times New Roman"/>
          <w:sz w:val="24"/>
          <w:szCs w:val="24"/>
        </w:rPr>
      </w:pPr>
      <w:r w:rsidRPr="00DE22AA">
        <w:rPr>
          <w:rFonts w:ascii="Times New Roman" w:hAnsi="Times New Roman" w:cs="Times New Roman"/>
          <w:sz w:val="24"/>
          <w:szCs w:val="24"/>
        </w:rPr>
        <w:t>Descartes’ answer: The Intellect, the benevolence of God, innate ideas inscribed in our minds by God.</w:t>
      </w:r>
    </w:p>
    <w:p w:rsidR="004D04E7" w:rsidRPr="00DE22AA" w:rsidRDefault="004D04E7" w:rsidP="007346E5">
      <w:pPr>
        <w:jc w:val="both"/>
        <w:rPr>
          <w:rFonts w:ascii="Times New Roman" w:hAnsi="Times New Roman" w:cs="Times New Roman"/>
          <w:sz w:val="24"/>
          <w:szCs w:val="24"/>
        </w:rPr>
      </w:pPr>
      <w:r w:rsidRPr="00DE22AA">
        <w:rPr>
          <w:rFonts w:ascii="Times New Roman" w:hAnsi="Times New Roman" w:cs="Times New Roman"/>
          <w:sz w:val="24"/>
          <w:szCs w:val="24"/>
        </w:rPr>
        <w:t xml:space="preserve"> What should the empiricist say if he rejects Descartes’ account of the Intellect and denies that there are innate ideas? </w:t>
      </w:r>
    </w:p>
    <w:p w:rsidR="004D04E7" w:rsidRPr="00DE22AA" w:rsidRDefault="004D04E7" w:rsidP="007346E5">
      <w:pPr>
        <w:jc w:val="both"/>
        <w:rPr>
          <w:rFonts w:ascii="Times New Roman" w:hAnsi="Times New Roman" w:cs="Times New Roman"/>
          <w:b/>
          <w:sz w:val="24"/>
          <w:szCs w:val="24"/>
        </w:rPr>
      </w:pPr>
      <w:r w:rsidRPr="00DE22AA">
        <w:rPr>
          <w:rFonts w:ascii="Times New Roman" w:hAnsi="Times New Roman" w:cs="Times New Roman"/>
          <w:b/>
          <w:sz w:val="24"/>
          <w:szCs w:val="24"/>
        </w:rPr>
        <w:t xml:space="preserve">External World </w:t>
      </w:r>
      <w:proofErr w:type="spellStart"/>
      <w:r w:rsidRPr="00DE22AA">
        <w:rPr>
          <w:rFonts w:ascii="Times New Roman" w:hAnsi="Times New Roman" w:cs="Times New Roman"/>
          <w:b/>
          <w:sz w:val="24"/>
          <w:szCs w:val="24"/>
        </w:rPr>
        <w:t>Scepticism</w:t>
      </w:r>
      <w:proofErr w:type="spellEnd"/>
    </w:p>
    <w:p w:rsidR="000C5AB9" w:rsidRPr="00DE22AA" w:rsidRDefault="000C5AB9" w:rsidP="007346E5">
      <w:pPr>
        <w:jc w:val="both"/>
        <w:rPr>
          <w:rFonts w:ascii="Times New Roman" w:hAnsi="Times New Roman" w:cs="Times New Roman"/>
          <w:sz w:val="24"/>
          <w:szCs w:val="24"/>
        </w:rPr>
      </w:pPr>
      <w:proofErr w:type="gramStart"/>
      <w:r w:rsidRPr="00DE22AA">
        <w:rPr>
          <w:rFonts w:ascii="Times New Roman" w:hAnsi="Times New Roman" w:cs="Times New Roman"/>
          <w:sz w:val="24"/>
          <w:szCs w:val="24"/>
        </w:rPr>
        <w:t>A powerful skeptical argument without an adequate solution?</w:t>
      </w:r>
      <w:proofErr w:type="gramEnd"/>
    </w:p>
    <w:p w:rsidR="000C5AB9" w:rsidRPr="00DE22AA" w:rsidRDefault="000C5AB9" w:rsidP="007346E5">
      <w:pPr>
        <w:jc w:val="both"/>
        <w:rPr>
          <w:rFonts w:ascii="Times New Roman" w:hAnsi="Times New Roman" w:cs="Times New Roman"/>
          <w:sz w:val="24"/>
          <w:szCs w:val="24"/>
        </w:rPr>
      </w:pPr>
      <w:r w:rsidRPr="00DE22AA">
        <w:rPr>
          <w:rFonts w:ascii="Times New Roman" w:hAnsi="Times New Roman" w:cs="Times New Roman"/>
          <w:sz w:val="24"/>
          <w:szCs w:val="24"/>
        </w:rPr>
        <w:t xml:space="preserve">How to respond to the skeptical arguments of the First Meditation without appeal to the existence of a benevolent God? </w:t>
      </w:r>
    </w:p>
    <w:p w:rsidR="005611D0" w:rsidRPr="00DE22AA" w:rsidRDefault="005611D0" w:rsidP="007346E5">
      <w:pPr>
        <w:pStyle w:val="ListParagraph"/>
        <w:numPr>
          <w:ilvl w:val="0"/>
          <w:numId w:val="1"/>
        </w:numPr>
        <w:jc w:val="both"/>
        <w:rPr>
          <w:rFonts w:ascii="Times New Roman" w:eastAsia="Calibri" w:hAnsi="Times New Roman" w:cs="Times New Roman"/>
          <w:sz w:val="24"/>
          <w:szCs w:val="24"/>
        </w:rPr>
      </w:pPr>
      <w:r w:rsidRPr="00DE22AA">
        <w:rPr>
          <w:rFonts w:ascii="Times New Roman" w:eastAsia="Calibri" w:hAnsi="Times New Roman" w:cs="Times New Roman"/>
          <w:sz w:val="24"/>
          <w:szCs w:val="24"/>
        </w:rPr>
        <w:t>I k</w:t>
      </w:r>
      <w:r w:rsidRPr="00DE22AA">
        <w:rPr>
          <w:rFonts w:ascii="Times New Roman" w:hAnsi="Times New Roman" w:cs="Times New Roman"/>
          <w:sz w:val="24"/>
          <w:szCs w:val="24"/>
        </w:rPr>
        <w:t>now that if I have hands</w:t>
      </w:r>
      <w:r w:rsidRPr="00DE22AA">
        <w:rPr>
          <w:rFonts w:ascii="Times New Roman" w:eastAsia="Calibri" w:hAnsi="Times New Roman" w:cs="Times New Roman"/>
          <w:sz w:val="24"/>
          <w:szCs w:val="24"/>
        </w:rPr>
        <w:t xml:space="preserve">, </w:t>
      </w:r>
      <w:r w:rsidRPr="00DE22AA">
        <w:rPr>
          <w:rFonts w:ascii="Times New Roman" w:hAnsi="Times New Roman" w:cs="Times New Roman"/>
          <w:sz w:val="24"/>
          <w:szCs w:val="24"/>
        </w:rPr>
        <w:t xml:space="preserve">then </w:t>
      </w:r>
      <w:r w:rsidRPr="00DE22AA">
        <w:rPr>
          <w:rFonts w:ascii="Times New Roman" w:eastAsia="Calibri" w:hAnsi="Times New Roman" w:cs="Times New Roman"/>
          <w:sz w:val="24"/>
          <w:szCs w:val="24"/>
        </w:rPr>
        <w:t>I am not a brain in a vat.</w:t>
      </w:r>
    </w:p>
    <w:p w:rsidR="005611D0" w:rsidRPr="00DE22AA" w:rsidRDefault="005611D0" w:rsidP="007346E5">
      <w:pPr>
        <w:pStyle w:val="ListParagraph"/>
        <w:numPr>
          <w:ilvl w:val="0"/>
          <w:numId w:val="1"/>
        </w:numPr>
        <w:jc w:val="both"/>
        <w:rPr>
          <w:rFonts w:ascii="Times New Roman" w:eastAsia="Calibri" w:hAnsi="Times New Roman" w:cs="Times New Roman"/>
          <w:sz w:val="24"/>
          <w:szCs w:val="24"/>
        </w:rPr>
      </w:pPr>
      <w:r w:rsidRPr="00DE22AA">
        <w:rPr>
          <w:rFonts w:ascii="Times New Roman" w:eastAsia="Calibri" w:hAnsi="Times New Roman" w:cs="Times New Roman"/>
          <w:sz w:val="24"/>
          <w:szCs w:val="24"/>
        </w:rPr>
        <w:t>If I know th</w:t>
      </w:r>
      <w:r w:rsidRPr="00DE22AA">
        <w:rPr>
          <w:rFonts w:ascii="Times New Roman" w:hAnsi="Times New Roman" w:cs="Times New Roman"/>
          <w:sz w:val="24"/>
          <w:szCs w:val="24"/>
        </w:rPr>
        <w:t>at I have hands</w:t>
      </w:r>
      <w:r w:rsidRPr="00DE22AA">
        <w:rPr>
          <w:rFonts w:ascii="Times New Roman" w:eastAsia="Calibri" w:hAnsi="Times New Roman" w:cs="Times New Roman"/>
          <w:sz w:val="24"/>
          <w:szCs w:val="24"/>
        </w:rPr>
        <w:t>, and I know that if I</w:t>
      </w:r>
      <w:r w:rsidRPr="00DE22AA">
        <w:rPr>
          <w:rFonts w:ascii="Times New Roman" w:hAnsi="Times New Roman" w:cs="Times New Roman"/>
          <w:sz w:val="24"/>
          <w:szCs w:val="24"/>
        </w:rPr>
        <w:t xml:space="preserve"> have hands</w:t>
      </w:r>
      <w:r w:rsidRPr="00DE22AA">
        <w:rPr>
          <w:rFonts w:ascii="Times New Roman" w:eastAsia="Calibri" w:hAnsi="Times New Roman" w:cs="Times New Roman"/>
          <w:sz w:val="24"/>
          <w:szCs w:val="24"/>
        </w:rPr>
        <w:t xml:space="preserve"> then I’m not a brain in a vat, then I know that I’m not a brain in a vat.</w:t>
      </w:r>
    </w:p>
    <w:p w:rsidR="005611D0" w:rsidRPr="00DE22AA" w:rsidRDefault="005611D0" w:rsidP="007346E5">
      <w:pPr>
        <w:pStyle w:val="ListParagraph"/>
        <w:numPr>
          <w:ilvl w:val="0"/>
          <w:numId w:val="1"/>
        </w:numPr>
        <w:jc w:val="both"/>
        <w:rPr>
          <w:rFonts w:ascii="Times New Roman" w:eastAsia="Calibri" w:hAnsi="Times New Roman" w:cs="Times New Roman"/>
          <w:sz w:val="24"/>
          <w:szCs w:val="24"/>
        </w:rPr>
      </w:pPr>
      <w:r w:rsidRPr="00DE22AA">
        <w:rPr>
          <w:rFonts w:ascii="Times New Roman" w:eastAsia="Calibri" w:hAnsi="Times New Roman" w:cs="Times New Roman"/>
          <w:sz w:val="24"/>
          <w:szCs w:val="24"/>
        </w:rPr>
        <w:t>So if I don’t know that I’m not a brain in a vat, then I don’t know I</w:t>
      </w:r>
      <w:r w:rsidRPr="00DE22AA">
        <w:rPr>
          <w:rFonts w:ascii="Times New Roman" w:hAnsi="Times New Roman" w:cs="Times New Roman"/>
          <w:sz w:val="24"/>
          <w:szCs w:val="24"/>
        </w:rPr>
        <w:t xml:space="preserve"> have hands</w:t>
      </w:r>
      <w:r w:rsidRPr="00DE22AA">
        <w:rPr>
          <w:rFonts w:ascii="Times New Roman" w:eastAsia="Calibri" w:hAnsi="Times New Roman" w:cs="Times New Roman"/>
          <w:sz w:val="24"/>
          <w:szCs w:val="24"/>
        </w:rPr>
        <w:t>.</w:t>
      </w:r>
    </w:p>
    <w:p w:rsidR="005611D0" w:rsidRPr="00DE22AA" w:rsidRDefault="005611D0" w:rsidP="007346E5">
      <w:pPr>
        <w:pStyle w:val="ListParagraph"/>
        <w:numPr>
          <w:ilvl w:val="0"/>
          <w:numId w:val="1"/>
        </w:numPr>
        <w:jc w:val="both"/>
        <w:rPr>
          <w:rFonts w:ascii="Times New Roman" w:hAnsi="Times New Roman" w:cs="Times New Roman"/>
          <w:sz w:val="24"/>
          <w:szCs w:val="24"/>
        </w:rPr>
      </w:pPr>
      <w:r w:rsidRPr="00DE22AA">
        <w:rPr>
          <w:rFonts w:ascii="Times New Roman" w:eastAsia="Calibri" w:hAnsi="Times New Roman" w:cs="Times New Roman"/>
          <w:sz w:val="24"/>
          <w:szCs w:val="24"/>
        </w:rPr>
        <w:t xml:space="preserve">I don’t know that I’m not a brain in a vat. </w:t>
      </w:r>
    </w:p>
    <w:p w:rsidR="005611D0" w:rsidRPr="00DE22AA" w:rsidRDefault="005611D0" w:rsidP="007346E5">
      <w:pPr>
        <w:ind w:firstLine="360"/>
        <w:jc w:val="both"/>
        <w:rPr>
          <w:rFonts w:ascii="Times New Roman" w:eastAsia="Calibri" w:hAnsi="Times New Roman" w:cs="Times New Roman"/>
          <w:sz w:val="24"/>
          <w:szCs w:val="24"/>
        </w:rPr>
      </w:pPr>
      <w:r w:rsidRPr="00DE22AA">
        <w:rPr>
          <w:rFonts w:ascii="Times New Roman" w:eastAsia="Calibri" w:hAnsi="Times New Roman" w:cs="Times New Roman"/>
          <w:sz w:val="24"/>
          <w:szCs w:val="24"/>
        </w:rPr>
        <w:t>Therefore, I don’t know that I</w:t>
      </w:r>
      <w:r w:rsidRPr="00DE22AA">
        <w:rPr>
          <w:rFonts w:ascii="Times New Roman" w:hAnsi="Times New Roman" w:cs="Times New Roman"/>
          <w:sz w:val="24"/>
          <w:szCs w:val="24"/>
        </w:rPr>
        <w:t xml:space="preserve"> have hands</w:t>
      </w:r>
      <w:r w:rsidRPr="00DE22AA">
        <w:rPr>
          <w:rFonts w:ascii="Times New Roman" w:eastAsia="Calibri" w:hAnsi="Times New Roman" w:cs="Times New Roman"/>
          <w:sz w:val="24"/>
          <w:szCs w:val="24"/>
        </w:rPr>
        <w:t>.</w:t>
      </w:r>
    </w:p>
    <w:p w:rsidR="000C5AB9" w:rsidRPr="00DE22AA" w:rsidRDefault="005611D0" w:rsidP="007346E5">
      <w:pPr>
        <w:jc w:val="both"/>
        <w:rPr>
          <w:rFonts w:ascii="Times New Roman" w:hAnsi="Times New Roman" w:cs="Times New Roman"/>
          <w:sz w:val="24"/>
          <w:szCs w:val="24"/>
        </w:rPr>
      </w:pPr>
      <w:r w:rsidRPr="00DE22AA">
        <w:rPr>
          <w:rFonts w:ascii="Times New Roman" w:hAnsi="Times New Roman" w:cs="Times New Roman"/>
          <w:sz w:val="24"/>
          <w:szCs w:val="24"/>
        </w:rPr>
        <w:t>Which premise do we reject? Is there a non-question begging way of responding the skeptical arguments? If there isn’t, does this matter?</w:t>
      </w:r>
    </w:p>
    <w:p w:rsidR="000C5AB9" w:rsidRPr="00DE22AA" w:rsidRDefault="000C5AB9" w:rsidP="007346E5">
      <w:pPr>
        <w:jc w:val="both"/>
        <w:rPr>
          <w:rFonts w:ascii="Times New Roman" w:hAnsi="Times New Roman" w:cs="Times New Roman"/>
          <w:b/>
          <w:sz w:val="24"/>
          <w:szCs w:val="24"/>
        </w:rPr>
      </w:pPr>
      <w:r w:rsidRPr="00DE22AA">
        <w:rPr>
          <w:rFonts w:ascii="Times New Roman" w:hAnsi="Times New Roman" w:cs="Times New Roman"/>
          <w:b/>
          <w:sz w:val="24"/>
          <w:szCs w:val="24"/>
        </w:rPr>
        <w:t>The Mind is better known than body?</w:t>
      </w:r>
    </w:p>
    <w:p w:rsidR="005611D0" w:rsidRPr="00DE22AA" w:rsidRDefault="005729C0" w:rsidP="007346E5">
      <w:pPr>
        <w:jc w:val="both"/>
        <w:rPr>
          <w:rFonts w:ascii="Times New Roman" w:hAnsi="Times New Roman" w:cs="Times New Roman"/>
          <w:sz w:val="24"/>
          <w:szCs w:val="24"/>
        </w:rPr>
      </w:pPr>
      <w:proofErr w:type="gramStart"/>
      <w:r w:rsidRPr="00DE22AA">
        <w:rPr>
          <w:rFonts w:ascii="Times New Roman" w:hAnsi="Times New Roman" w:cs="Times New Roman"/>
          <w:sz w:val="24"/>
          <w:szCs w:val="24"/>
        </w:rPr>
        <w:t>A retreat to the ‘inner’.</w:t>
      </w:r>
      <w:proofErr w:type="gramEnd"/>
      <w:r w:rsidRPr="00DE22AA">
        <w:rPr>
          <w:rFonts w:ascii="Times New Roman" w:hAnsi="Times New Roman" w:cs="Times New Roman"/>
          <w:sz w:val="24"/>
          <w:szCs w:val="24"/>
        </w:rPr>
        <w:t xml:space="preserve"> </w:t>
      </w:r>
      <w:r w:rsidR="005611D0" w:rsidRPr="00DE22AA">
        <w:rPr>
          <w:rFonts w:ascii="Times New Roman" w:hAnsi="Times New Roman" w:cs="Times New Roman"/>
          <w:sz w:val="24"/>
          <w:szCs w:val="24"/>
        </w:rPr>
        <w:t xml:space="preserve">Are one’s claims to have knowledge of one’s mental states immune to skeptical challenge? In the mental realm is there no appearance/reality distinction? </w:t>
      </w:r>
    </w:p>
    <w:p w:rsidR="005611D0" w:rsidRPr="00DE22AA" w:rsidRDefault="005611D0" w:rsidP="007346E5">
      <w:pPr>
        <w:jc w:val="both"/>
        <w:rPr>
          <w:rFonts w:ascii="Times New Roman" w:hAnsi="Times New Roman" w:cs="Times New Roman"/>
          <w:sz w:val="24"/>
          <w:szCs w:val="24"/>
        </w:rPr>
      </w:pPr>
      <w:r w:rsidRPr="00DE22AA">
        <w:rPr>
          <w:rFonts w:ascii="Times New Roman" w:hAnsi="Times New Roman" w:cs="Times New Roman"/>
          <w:sz w:val="24"/>
          <w:szCs w:val="24"/>
        </w:rPr>
        <w:t xml:space="preserve">Should we accept that even when a subject’s epistemic access to the material world is compromised, his epistemic access to his own mind and mental life remains intact? </w:t>
      </w:r>
    </w:p>
    <w:p w:rsidR="005611D0" w:rsidRPr="00DE22AA" w:rsidRDefault="005611D0" w:rsidP="007346E5">
      <w:pPr>
        <w:jc w:val="both"/>
        <w:rPr>
          <w:rFonts w:ascii="Times New Roman" w:hAnsi="Times New Roman" w:cs="Times New Roman"/>
          <w:sz w:val="24"/>
          <w:szCs w:val="24"/>
        </w:rPr>
      </w:pPr>
      <w:r w:rsidRPr="00DE22AA">
        <w:rPr>
          <w:rFonts w:ascii="Times New Roman" w:hAnsi="Times New Roman" w:cs="Times New Roman"/>
          <w:sz w:val="24"/>
          <w:szCs w:val="24"/>
        </w:rPr>
        <w:t>Can one have knowledge of one’s own mind and mental life even if one has now knowledge of the external world, and no knowledge of the minds of others?</w:t>
      </w:r>
    </w:p>
    <w:p w:rsidR="005611D0" w:rsidRPr="00DE22AA" w:rsidRDefault="005611D0" w:rsidP="007346E5">
      <w:pPr>
        <w:jc w:val="both"/>
        <w:rPr>
          <w:rFonts w:ascii="Times New Roman" w:hAnsi="Times New Roman" w:cs="Times New Roman"/>
          <w:b/>
          <w:sz w:val="24"/>
          <w:szCs w:val="24"/>
        </w:rPr>
      </w:pPr>
      <w:r w:rsidRPr="00DE22AA">
        <w:rPr>
          <w:rFonts w:ascii="Times New Roman" w:hAnsi="Times New Roman" w:cs="Times New Roman"/>
          <w:b/>
          <w:sz w:val="24"/>
          <w:szCs w:val="24"/>
        </w:rPr>
        <w:lastRenderedPageBreak/>
        <w:t>What are the metaphysical consequences of this epistemic thesis?</w:t>
      </w:r>
    </w:p>
    <w:p w:rsidR="005611D0" w:rsidRPr="00DE22AA" w:rsidRDefault="005611D0" w:rsidP="007346E5">
      <w:pPr>
        <w:jc w:val="both"/>
        <w:rPr>
          <w:rFonts w:ascii="Times New Roman" w:hAnsi="Times New Roman" w:cs="Times New Roman"/>
          <w:sz w:val="24"/>
          <w:szCs w:val="24"/>
        </w:rPr>
      </w:pPr>
      <w:r w:rsidRPr="00DE22AA">
        <w:rPr>
          <w:rFonts w:ascii="Times New Roman" w:hAnsi="Times New Roman" w:cs="Times New Roman"/>
          <w:sz w:val="24"/>
          <w:szCs w:val="24"/>
        </w:rPr>
        <w:t>Connections between the material and mental realms are merely causal and contingent, and not constitutive? Is this why a subject’s epistemic access to his own mind and mental life does not depend on a secure epistemic route to the material world?</w:t>
      </w:r>
    </w:p>
    <w:p w:rsidR="005611D0" w:rsidRPr="00DE22AA" w:rsidRDefault="005611D0" w:rsidP="007346E5">
      <w:pPr>
        <w:jc w:val="both"/>
        <w:rPr>
          <w:rFonts w:ascii="Times New Roman" w:hAnsi="Times New Roman" w:cs="Times New Roman"/>
          <w:b/>
          <w:sz w:val="24"/>
          <w:szCs w:val="24"/>
        </w:rPr>
      </w:pPr>
      <w:proofErr w:type="gramStart"/>
      <w:r w:rsidRPr="00DE22AA">
        <w:rPr>
          <w:rFonts w:ascii="Times New Roman" w:hAnsi="Times New Roman" w:cs="Times New Roman"/>
          <w:b/>
          <w:sz w:val="24"/>
          <w:szCs w:val="24"/>
        </w:rPr>
        <w:t>The coherence of the notion of disembodied existence?</w:t>
      </w:r>
      <w:proofErr w:type="gramEnd"/>
    </w:p>
    <w:p w:rsidR="005611D0" w:rsidRPr="00DE22AA" w:rsidRDefault="005611D0" w:rsidP="007346E5">
      <w:pPr>
        <w:jc w:val="both"/>
        <w:rPr>
          <w:rFonts w:ascii="Times New Roman" w:hAnsi="Times New Roman" w:cs="Times New Roman"/>
          <w:sz w:val="24"/>
          <w:szCs w:val="24"/>
        </w:rPr>
      </w:pPr>
      <w:r w:rsidRPr="00DE22AA">
        <w:rPr>
          <w:rFonts w:ascii="Times New Roman" w:hAnsi="Times New Roman" w:cs="Times New Roman"/>
          <w:sz w:val="24"/>
          <w:szCs w:val="24"/>
        </w:rPr>
        <w:t xml:space="preserve">Is it a mistake to regard as merely contingent the connections between one’s mental life and </w:t>
      </w:r>
      <w:r w:rsidR="00BA3668" w:rsidRPr="00DE22AA">
        <w:rPr>
          <w:rFonts w:ascii="Times New Roman" w:hAnsi="Times New Roman" w:cs="Times New Roman"/>
          <w:sz w:val="24"/>
          <w:szCs w:val="24"/>
        </w:rPr>
        <w:t xml:space="preserve">publicly observable bodily manifestations of one’s mental life? </w:t>
      </w:r>
    </w:p>
    <w:p w:rsidR="00BA3668" w:rsidRPr="00DE22AA" w:rsidRDefault="00BA3668" w:rsidP="007346E5">
      <w:pPr>
        <w:jc w:val="both"/>
        <w:rPr>
          <w:rFonts w:ascii="Times New Roman" w:hAnsi="Times New Roman" w:cs="Times New Roman"/>
          <w:sz w:val="24"/>
          <w:szCs w:val="24"/>
        </w:rPr>
      </w:pPr>
      <w:r w:rsidRPr="00DE22AA">
        <w:rPr>
          <w:rFonts w:ascii="Times New Roman" w:hAnsi="Times New Roman" w:cs="Times New Roman"/>
          <w:sz w:val="24"/>
          <w:szCs w:val="24"/>
        </w:rPr>
        <w:t>Can we make sense of the notion of a psychological subject who isn’t able to engage in mental action?</w:t>
      </w:r>
    </w:p>
    <w:p w:rsidR="00BA3668" w:rsidRPr="00DE22AA" w:rsidRDefault="00BA3668" w:rsidP="007346E5">
      <w:pPr>
        <w:jc w:val="both"/>
        <w:rPr>
          <w:rFonts w:ascii="Times New Roman" w:hAnsi="Times New Roman" w:cs="Times New Roman"/>
          <w:b/>
          <w:sz w:val="24"/>
          <w:szCs w:val="24"/>
        </w:rPr>
      </w:pPr>
      <w:r w:rsidRPr="00DE22AA">
        <w:rPr>
          <w:rFonts w:ascii="Times New Roman" w:hAnsi="Times New Roman" w:cs="Times New Roman"/>
          <w:b/>
          <w:sz w:val="24"/>
          <w:szCs w:val="24"/>
        </w:rPr>
        <w:t>Conceivability and Possibility</w:t>
      </w:r>
    </w:p>
    <w:p w:rsidR="00BA3668" w:rsidRPr="00DE22AA" w:rsidRDefault="004D04E7" w:rsidP="007346E5">
      <w:pPr>
        <w:jc w:val="both"/>
        <w:rPr>
          <w:rFonts w:ascii="Times New Roman" w:hAnsi="Times New Roman" w:cs="Times New Roman"/>
          <w:sz w:val="24"/>
          <w:szCs w:val="24"/>
        </w:rPr>
      </w:pPr>
      <w:r w:rsidRPr="00DE22AA">
        <w:rPr>
          <w:rFonts w:ascii="Times New Roman" w:hAnsi="Times New Roman" w:cs="Times New Roman"/>
          <w:sz w:val="24"/>
          <w:szCs w:val="24"/>
        </w:rPr>
        <w:t>Is conceivability a reliable guide to possibility? In general, how do we acquire knowledge of what it and isn’t possible?</w:t>
      </w:r>
    </w:p>
    <w:p w:rsidR="004D04E7" w:rsidRDefault="003A6336" w:rsidP="007346E5">
      <w:pPr>
        <w:jc w:val="both"/>
        <w:rPr>
          <w:rFonts w:ascii="Times New Roman" w:hAnsi="Times New Roman" w:cs="Times New Roman"/>
          <w:sz w:val="24"/>
          <w:szCs w:val="24"/>
        </w:rPr>
      </w:pPr>
      <w:r>
        <w:rPr>
          <w:rFonts w:ascii="Times New Roman" w:hAnsi="Times New Roman" w:cs="Times New Roman"/>
          <w:sz w:val="24"/>
          <w:szCs w:val="24"/>
        </w:rPr>
        <w:t>A more recent conceivability argument for a form of dualism – i.e. for a form of property dualism, rather than Descartes’ substance dualism:</w:t>
      </w:r>
    </w:p>
    <w:p w:rsidR="003A6336" w:rsidRPr="003A6336" w:rsidRDefault="003A6336" w:rsidP="007346E5">
      <w:pPr>
        <w:pStyle w:val="ListParagraph"/>
        <w:numPr>
          <w:ilvl w:val="0"/>
          <w:numId w:val="2"/>
        </w:numPr>
        <w:jc w:val="both"/>
        <w:rPr>
          <w:rFonts w:ascii="Times New Roman" w:hAnsi="Times New Roman" w:cs="Times New Roman"/>
          <w:sz w:val="24"/>
          <w:szCs w:val="24"/>
        </w:rPr>
      </w:pPr>
      <w:r w:rsidRPr="003A6336">
        <w:rPr>
          <w:rFonts w:ascii="Times New Roman" w:hAnsi="Times New Roman" w:cs="Times New Roman"/>
          <w:sz w:val="24"/>
          <w:szCs w:val="24"/>
        </w:rPr>
        <w:t>It is conceivable that there could be someone physically identical to me, but for whom what it is like to see red things is different from what it is like for me to see red things.</w:t>
      </w:r>
    </w:p>
    <w:p w:rsidR="003A6336" w:rsidRPr="003A6336" w:rsidRDefault="003A6336" w:rsidP="007346E5">
      <w:pPr>
        <w:pStyle w:val="ListParagraph"/>
        <w:numPr>
          <w:ilvl w:val="0"/>
          <w:numId w:val="2"/>
        </w:numPr>
        <w:jc w:val="both"/>
        <w:rPr>
          <w:rFonts w:ascii="Times New Roman" w:hAnsi="Times New Roman" w:cs="Times New Roman"/>
          <w:sz w:val="24"/>
          <w:szCs w:val="24"/>
        </w:rPr>
      </w:pPr>
      <w:r w:rsidRPr="003A6336">
        <w:rPr>
          <w:rFonts w:ascii="Times New Roman" w:hAnsi="Times New Roman" w:cs="Times New Roman"/>
          <w:sz w:val="24"/>
          <w:szCs w:val="24"/>
        </w:rPr>
        <w:t xml:space="preserve">If it’s conceivable that </w:t>
      </w:r>
      <w:r w:rsidRPr="003A6336">
        <w:rPr>
          <w:rFonts w:ascii="Times New Roman" w:hAnsi="Times New Roman" w:cs="Times New Roman"/>
          <w:i/>
          <w:sz w:val="24"/>
          <w:szCs w:val="24"/>
        </w:rPr>
        <w:t>p</w:t>
      </w:r>
      <w:r w:rsidRPr="003A6336">
        <w:rPr>
          <w:rFonts w:ascii="Times New Roman" w:hAnsi="Times New Roman" w:cs="Times New Roman"/>
          <w:sz w:val="24"/>
          <w:szCs w:val="24"/>
        </w:rPr>
        <w:t xml:space="preserve"> then it’s possible that </w:t>
      </w:r>
      <w:r w:rsidRPr="003A6336">
        <w:rPr>
          <w:rFonts w:ascii="Times New Roman" w:hAnsi="Times New Roman" w:cs="Times New Roman"/>
          <w:i/>
          <w:sz w:val="24"/>
          <w:szCs w:val="24"/>
        </w:rPr>
        <w:t>p</w:t>
      </w:r>
      <w:r w:rsidRPr="003A6336">
        <w:rPr>
          <w:rFonts w:ascii="Times New Roman" w:hAnsi="Times New Roman" w:cs="Times New Roman"/>
          <w:sz w:val="24"/>
          <w:szCs w:val="24"/>
        </w:rPr>
        <w:t>.</w:t>
      </w:r>
    </w:p>
    <w:p w:rsidR="003A6336" w:rsidRDefault="003A6336" w:rsidP="007346E5">
      <w:pPr>
        <w:pStyle w:val="ListParagraph"/>
        <w:numPr>
          <w:ilvl w:val="0"/>
          <w:numId w:val="2"/>
        </w:numPr>
        <w:jc w:val="both"/>
        <w:rPr>
          <w:rFonts w:ascii="Times New Roman" w:hAnsi="Times New Roman" w:cs="Times New Roman"/>
          <w:sz w:val="24"/>
          <w:szCs w:val="24"/>
        </w:rPr>
      </w:pPr>
      <w:r w:rsidRPr="003A6336">
        <w:rPr>
          <w:rFonts w:ascii="Times New Roman" w:hAnsi="Times New Roman" w:cs="Times New Roman"/>
          <w:sz w:val="24"/>
          <w:szCs w:val="24"/>
        </w:rPr>
        <w:t>If it’s possible for there to be someone physically identical to me, but for whom what it is like to see red things is different from what it is like for me to see red things, then there is at least some aspect of my mental life that cannot be accounted for in purely physical terms.</w:t>
      </w:r>
    </w:p>
    <w:p w:rsidR="00B33F07" w:rsidRDefault="00B33F07" w:rsidP="007346E5">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Therefore, some aspects of my mental life are non-physical.</w:t>
      </w:r>
    </w:p>
    <w:p w:rsidR="003A6336" w:rsidRPr="003A6336" w:rsidRDefault="007346E5" w:rsidP="007346E5">
      <w:pPr>
        <w:jc w:val="both"/>
        <w:rPr>
          <w:rFonts w:ascii="Times New Roman" w:hAnsi="Times New Roman" w:cs="Times New Roman"/>
          <w:sz w:val="24"/>
          <w:szCs w:val="24"/>
        </w:rPr>
      </w:pPr>
      <w:r>
        <w:rPr>
          <w:rFonts w:ascii="Times New Roman" w:hAnsi="Times New Roman" w:cs="Times New Roman"/>
          <w:sz w:val="24"/>
          <w:szCs w:val="24"/>
        </w:rPr>
        <w:t>Suppose we were to accept a property dualism – the claim that certain psychological properties are non-physical. Would we still face the causal interaction problem that was raised against Descartes? How do these non-physical properties causally interact with the physical? Are there reasons for thinking that only the physical can causally interact with the physical?</w:t>
      </w:r>
    </w:p>
    <w:p w:rsidR="005611D0" w:rsidRPr="00DE22AA" w:rsidRDefault="005611D0" w:rsidP="007346E5">
      <w:pPr>
        <w:jc w:val="both"/>
        <w:rPr>
          <w:rFonts w:ascii="Times New Roman" w:hAnsi="Times New Roman" w:cs="Times New Roman"/>
          <w:sz w:val="24"/>
          <w:szCs w:val="24"/>
        </w:rPr>
      </w:pPr>
    </w:p>
    <w:p w:rsidR="005611D0" w:rsidRPr="00DE22AA" w:rsidRDefault="005611D0" w:rsidP="007346E5">
      <w:pPr>
        <w:jc w:val="both"/>
        <w:rPr>
          <w:rFonts w:ascii="Times New Roman" w:hAnsi="Times New Roman" w:cs="Times New Roman"/>
          <w:sz w:val="24"/>
          <w:szCs w:val="24"/>
        </w:rPr>
      </w:pPr>
    </w:p>
    <w:p w:rsidR="005729C0" w:rsidRPr="00DE22AA" w:rsidRDefault="005729C0" w:rsidP="007346E5">
      <w:pPr>
        <w:jc w:val="both"/>
        <w:rPr>
          <w:rFonts w:ascii="Times New Roman" w:hAnsi="Times New Roman" w:cs="Times New Roman"/>
          <w:sz w:val="24"/>
          <w:szCs w:val="24"/>
        </w:rPr>
      </w:pPr>
    </w:p>
    <w:p w:rsidR="005729C0" w:rsidRPr="00DE22AA" w:rsidRDefault="005729C0" w:rsidP="007346E5">
      <w:pPr>
        <w:jc w:val="both"/>
        <w:rPr>
          <w:rFonts w:ascii="Times New Roman" w:hAnsi="Times New Roman" w:cs="Times New Roman"/>
          <w:sz w:val="24"/>
          <w:szCs w:val="24"/>
        </w:rPr>
      </w:pPr>
    </w:p>
    <w:p w:rsidR="005729C0" w:rsidRPr="00DE22AA" w:rsidRDefault="005729C0" w:rsidP="007346E5">
      <w:pPr>
        <w:jc w:val="both"/>
        <w:rPr>
          <w:rFonts w:ascii="Times New Roman" w:hAnsi="Times New Roman" w:cs="Times New Roman"/>
          <w:sz w:val="24"/>
          <w:szCs w:val="24"/>
        </w:rPr>
      </w:pPr>
    </w:p>
    <w:sectPr w:rsidR="005729C0" w:rsidRPr="00DE22AA" w:rsidSect="00B5034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E4291D"/>
    <w:multiLevelType w:val="hybridMultilevel"/>
    <w:tmpl w:val="EBE66472"/>
    <w:lvl w:ilvl="0" w:tplc="4B4047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6D5107B"/>
    <w:multiLevelType w:val="hybridMultilevel"/>
    <w:tmpl w:val="6E0A0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compat/>
  <w:rsids>
    <w:rsidRoot w:val="000C5AB9"/>
    <w:rsid w:val="000C5AB9"/>
    <w:rsid w:val="002C68A6"/>
    <w:rsid w:val="003A6336"/>
    <w:rsid w:val="004D04E7"/>
    <w:rsid w:val="005611D0"/>
    <w:rsid w:val="005729C0"/>
    <w:rsid w:val="007346E5"/>
    <w:rsid w:val="00B33F07"/>
    <w:rsid w:val="00B50342"/>
    <w:rsid w:val="00BA3668"/>
    <w:rsid w:val="00DE22A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034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611D0"/>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98</TotalTime>
  <Pages>2</Pages>
  <Words>542</Words>
  <Characters>3092</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3627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Matthew</dc:creator>
  <cp:lastModifiedBy>Matthew</cp:lastModifiedBy>
  <cp:revision>3</cp:revision>
  <dcterms:created xsi:type="dcterms:W3CDTF">2011-10-31T12:59:00Z</dcterms:created>
  <dcterms:modified xsi:type="dcterms:W3CDTF">2011-10-31T14:39:00Z</dcterms:modified>
</cp:coreProperties>
</file>