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7310" w:rsidRDefault="003C407F" w:rsidP="003C407F">
      <w:pPr>
        <w:jc w:val="center"/>
        <w:rPr>
          <w:sz w:val="24"/>
          <w:szCs w:val="24"/>
          <w:u w:val="single"/>
        </w:rPr>
      </w:pPr>
      <w:r>
        <w:rPr>
          <w:sz w:val="24"/>
          <w:szCs w:val="24"/>
          <w:u w:val="single"/>
        </w:rPr>
        <w:t>Lecture Eight: Debating Dualism</w:t>
      </w:r>
    </w:p>
    <w:p w:rsidR="003C407F" w:rsidRDefault="003C407F" w:rsidP="003C407F">
      <w:pPr>
        <w:pStyle w:val="ListParagraph"/>
        <w:numPr>
          <w:ilvl w:val="0"/>
          <w:numId w:val="1"/>
        </w:numPr>
        <w:rPr>
          <w:u w:val="single"/>
        </w:rPr>
      </w:pPr>
      <w:r>
        <w:rPr>
          <w:u w:val="single"/>
        </w:rPr>
        <w:t>Recap</w:t>
      </w:r>
    </w:p>
    <w:p w:rsidR="003C407F" w:rsidRDefault="003C407F" w:rsidP="00BD7306">
      <w:pPr>
        <w:contextualSpacing/>
        <w:jc w:val="both"/>
      </w:pPr>
      <w:r>
        <w:t xml:space="preserve">According to the </w:t>
      </w:r>
      <w:r>
        <w:rPr>
          <w:b/>
        </w:rPr>
        <w:t>substance dualist</w:t>
      </w:r>
      <w:r>
        <w:t xml:space="preserve"> minds and bodies are radically different types of things. Bodies are made of physical matter, characterised by </w:t>
      </w:r>
      <w:r>
        <w:rPr>
          <w:b/>
        </w:rPr>
        <w:t>extension</w:t>
      </w:r>
      <w:r>
        <w:t xml:space="preserve">. Minds are non-extended substances, contingently connected to bodies. </w:t>
      </w:r>
    </w:p>
    <w:p w:rsidR="003C407F" w:rsidRDefault="003C407F" w:rsidP="00BD7306">
      <w:pPr>
        <w:contextualSpacing/>
        <w:jc w:val="both"/>
      </w:pPr>
    </w:p>
    <w:p w:rsidR="003C407F" w:rsidRDefault="003C407F" w:rsidP="00BD7306">
      <w:pPr>
        <w:contextualSpacing/>
        <w:jc w:val="both"/>
      </w:pPr>
      <w:r>
        <w:t xml:space="preserve">This opens up space for the possibility of you </w:t>
      </w:r>
      <w:r>
        <w:rPr>
          <w:b/>
        </w:rPr>
        <w:t>surviving</w:t>
      </w:r>
      <w:r>
        <w:t xml:space="preserve"> your bodily death. It also fits neatly with </w:t>
      </w:r>
      <w:proofErr w:type="spellStart"/>
      <w:r>
        <w:t>Descartes’s</w:t>
      </w:r>
      <w:proofErr w:type="spellEnd"/>
      <w:r>
        <w:t xml:space="preserve"> </w:t>
      </w:r>
      <w:r>
        <w:rPr>
          <w:b/>
        </w:rPr>
        <w:t>anti-</w:t>
      </w:r>
      <w:proofErr w:type="spellStart"/>
      <w:r>
        <w:rPr>
          <w:b/>
        </w:rPr>
        <w:t>aristotelianism</w:t>
      </w:r>
      <w:proofErr w:type="spellEnd"/>
      <w:r>
        <w:t xml:space="preserve"> (real qualities are explained as mere ideas in minds). However, it looked like </w:t>
      </w:r>
      <w:proofErr w:type="spellStart"/>
      <w:r>
        <w:t>Descartes’s</w:t>
      </w:r>
      <w:proofErr w:type="spellEnd"/>
      <w:r>
        <w:t xml:space="preserve"> two arguments for dualism ultimately fail. Can the dualist do better? </w:t>
      </w:r>
    </w:p>
    <w:p w:rsidR="003C407F" w:rsidRDefault="003C407F" w:rsidP="00BD7306">
      <w:pPr>
        <w:contextualSpacing/>
        <w:jc w:val="both"/>
      </w:pPr>
    </w:p>
    <w:p w:rsidR="003C407F" w:rsidRDefault="003C407F" w:rsidP="00BD7306">
      <w:pPr>
        <w:pStyle w:val="ListParagraph"/>
        <w:numPr>
          <w:ilvl w:val="0"/>
          <w:numId w:val="1"/>
        </w:numPr>
        <w:jc w:val="both"/>
        <w:rPr>
          <w:u w:val="single"/>
        </w:rPr>
      </w:pPr>
      <w:r w:rsidRPr="003C407F">
        <w:rPr>
          <w:u w:val="single"/>
        </w:rPr>
        <w:t xml:space="preserve">Reasons to be a Dualist </w:t>
      </w:r>
    </w:p>
    <w:p w:rsidR="003C407F" w:rsidRDefault="00BB0677" w:rsidP="00BD7306">
      <w:pPr>
        <w:contextualSpacing/>
        <w:jc w:val="both"/>
      </w:pPr>
      <w:r>
        <w:t xml:space="preserve">The best avenue for the dualist to explore concentrates on the ways in which mental events are very different from physical events. First, physical events have a determinate spatial-temporal </w:t>
      </w:r>
      <w:r>
        <w:rPr>
          <w:b/>
        </w:rPr>
        <w:t>location</w:t>
      </w:r>
      <w:r>
        <w:t>. But mental events seem to have no particular location.</w:t>
      </w:r>
    </w:p>
    <w:p w:rsidR="00BB0677" w:rsidRDefault="00BB0677" w:rsidP="00BD7306">
      <w:pPr>
        <w:contextualSpacing/>
        <w:jc w:val="both"/>
      </w:pPr>
    </w:p>
    <w:p w:rsidR="00BB0677" w:rsidRDefault="00BB0677" w:rsidP="00BD7306">
      <w:pPr>
        <w:contextualSpacing/>
        <w:jc w:val="both"/>
      </w:pPr>
      <w:r>
        <w:t xml:space="preserve">Think of your pain when you stub your toe. Where is that located? You might be tempted to say the toe, but is that right? Think of the example of </w:t>
      </w:r>
      <w:r>
        <w:rPr>
          <w:b/>
        </w:rPr>
        <w:t>phantom pain</w:t>
      </w:r>
      <w:r>
        <w:t xml:space="preserve"> (noted by Descartes). Furthermore, it looks like beliefs and similar mental states are even harder to pin down. </w:t>
      </w:r>
    </w:p>
    <w:p w:rsidR="00BB0677" w:rsidRDefault="00BB0677" w:rsidP="00BD7306">
      <w:pPr>
        <w:contextualSpacing/>
        <w:jc w:val="both"/>
      </w:pPr>
    </w:p>
    <w:p w:rsidR="00BB0677" w:rsidRDefault="00BB0677" w:rsidP="00BD7306">
      <w:pPr>
        <w:contextualSpacing/>
        <w:jc w:val="both"/>
      </w:pPr>
      <w:r>
        <w:t xml:space="preserve">Second, physical objects have certain distinctive properties (colour, texture, shape, size) that mental states seem to lack (how big is your belief that Paris is in France? What texture is it?). Even an idea </w:t>
      </w:r>
      <w:r>
        <w:rPr>
          <w:i/>
        </w:rPr>
        <w:t>of</w:t>
      </w:r>
      <w:r>
        <w:t xml:space="preserve"> a colour isn’t </w:t>
      </w:r>
      <w:r>
        <w:rPr>
          <w:i/>
        </w:rPr>
        <w:t>itself</w:t>
      </w:r>
      <w:r>
        <w:t xml:space="preserve"> coloured. </w:t>
      </w:r>
    </w:p>
    <w:p w:rsidR="00BB0677" w:rsidRDefault="00BB0677" w:rsidP="00BD7306">
      <w:pPr>
        <w:contextualSpacing/>
        <w:jc w:val="both"/>
      </w:pPr>
    </w:p>
    <w:p w:rsidR="00BB0677" w:rsidRDefault="00BB0677" w:rsidP="00BD7306">
      <w:pPr>
        <w:contextualSpacing/>
        <w:jc w:val="both"/>
      </w:pPr>
      <w:r>
        <w:t xml:space="preserve">Third, we access mental states and physical objects using different methods. You have </w:t>
      </w:r>
      <w:r>
        <w:rPr>
          <w:b/>
        </w:rPr>
        <w:t>private</w:t>
      </w:r>
      <w:r>
        <w:t xml:space="preserve">, </w:t>
      </w:r>
      <w:r>
        <w:rPr>
          <w:b/>
        </w:rPr>
        <w:t>privileged</w:t>
      </w:r>
      <w:r>
        <w:t xml:space="preserve"> access to your mind through </w:t>
      </w:r>
      <w:r>
        <w:rPr>
          <w:b/>
        </w:rPr>
        <w:t>introspection</w:t>
      </w:r>
      <w:r>
        <w:t xml:space="preserve">. Anyone can (in principle) look at a </w:t>
      </w:r>
      <w:r>
        <w:rPr>
          <w:b/>
        </w:rPr>
        <w:t>public</w:t>
      </w:r>
      <w:r>
        <w:t xml:space="preserve"> physical object. </w:t>
      </w:r>
    </w:p>
    <w:p w:rsidR="00BB0677" w:rsidRDefault="00BB0677" w:rsidP="00BD7306">
      <w:pPr>
        <w:contextualSpacing/>
        <w:jc w:val="both"/>
      </w:pPr>
    </w:p>
    <w:p w:rsidR="00BB0677" w:rsidRDefault="00BB0677" w:rsidP="00BD7306">
      <w:pPr>
        <w:contextualSpacing/>
        <w:jc w:val="both"/>
      </w:pPr>
      <w:r>
        <w:t xml:space="preserve">We also use different </w:t>
      </w:r>
      <w:r>
        <w:rPr>
          <w:b/>
        </w:rPr>
        <w:t>modes of explanation</w:t>
      </w:r>
      <w:r>
        <w:t xml:space="preserve"> when dealing with physical </w:t>
      </w:r>
      <w:proofErr w:type="spellStart"/>
      <w:r>
        <w:t>vs</w:t>
      </w:r>
      <w:proofErr w:type="spellEnd"/>
      <w:r>
        <w:t xml:space="preserve"> mental phenomena. If you want to explain the interaction between two billiard balls you cite </w:t>
      </w:r>
      <w:r>
        <w:rPr>
          <w:b/>
        </w:rPr>
        <w:t>causes</w:t>
      </w:r>
      <w:r>
        <w:t xml:space="preserve"> which </w:t>
      </w:r>
      <w:r>
        <w:rPr>
          <w:b/>
        </w:rPr>
        <w:t xml:space="preserve">precede </w:t>
      </w:r>
      <w:r>
        <w:t xml:space="preserve">effects. But, if you want to explain why Jane loves Roma you might cite </w:t>
      </w:r>
      <w:r>
        <w:rPr>
          <w:b/>
        </w:rPr>
        <w:t>reasons</w:t>
      </w:r>
      <w:r>
        <w:t xml:space="preserve"> which </w:t>
      </w:r>
      <w:r>
        <w:rPr>
          <w:b/>
        </w:rPr>
        <w:t xml:space="preserve">justify </w:t>
      </w:r>
      <w:r>
        <w:t xml:space="preserve">the mental state. And these reasons can be about what happens after the effect we’re interested in. </w:t>
      </w:r>
    </w:p>
    <w:p w:rsidR="00BB0677" w:rsidRDefault="00BB0677" w:rsidP="00BD7306">
      <w:pPr>
        <w:contextualSpacing/>
        <w:jc w:val="both"/>
      </w:pPr>
    </w:p>
    <w:p w:rsidR="00F67977" w:rsidRPr="00F67977" w:rsidRDefault="00F67977" w:rsidP="00BD7306">
      <w:pPr>
        <w:contextualSpacing/>
        <w:jc w:val="both"/>
      </w:pPr>
      <w:r>
        <w:t xml:space="preserve">Finally, and most significantly, it looks like mental states have a distinctive </w:t>
      </w:r>
      <w:r>
        <w:rPr>
          <w:b/>
        </w:rPr>
        <w:t>phenomenal character</w:t>
      </w:r>
      <w:r>
        <w:t xml:space="preserve">. There is </w:t>
      </w:r>
      <w:r>
        <w:rPr>
          <w:b/>
        </w:rPr>
        <w:t>something that it’s like</w:t>
      </w:r>
      <w:r>
        <w:t xml:space="preserve"> to smell a flower or see a red patch. However, there is nothing it is like to be a table. It looks like purely physical objects lack </w:t>
      </w:r>
      <w:proofErr w:type="spellStart"/>
      <w:r>
        <w:rPr>
          <w:b/>
        </w:rPr>
        <w:t>qualia</w:t>
      </w:r>
      <w:proofErr w:type="spellEnd"/>
      <w:r>
        <w:rPr>
          <w:b/>
        </w:rPr>
        <w:t xml:space="preserve"> </w:t>
      </w:r>
      <w:r>
        <w:t xml:space="preserve">(aka phenomenal properties). All of these radical differences encourage the thought that minds and bodies must be very different things – </w:t>
      </w:r>
      <w:r>
        <w:rPr>
          <w:b/>
        </w:rPr>
        <w:t>substance dualism</w:t>
      </w:r>
      <w:r>
        <w:t xml:space="preserve">. </w:t>
      </w:r>
    </w:p>
    <w:p w:rsidR="00F67977" w:rsidRDefault="00F67977" w:rsidP="00BD7306">
      <w:pPr>
        <w:contextualSpacing/>
        <w:jc w:val="both"/>
      </w:pPr>
    </w:p>
    <w:p w:rsidR="00F67977" w:rsidRPr="00F67977" w:rsidRDefault="00F67977" w:rsidP="00BD7306">
      <w:pPr>
        <w:pStyle w:val="ListParagraph"/>
        <w:numPr>
          <w:ilvl w:val="0"/>
          <w:numId w:val="1"/>
        </w:numPr>
        <w:jc w:val="both"/>
      </w:pPr>
      <w:r>
        <w:rPr>
          <w:u w:val="single"/>
        </w:rPr>
        <w:t>The Interaction Problem</w:t>
      </w:r>
    </w:p>
    <w:p w:rsidR="003C407F" w:rsidRDefault="003B2BB5" w:rsidP="00BD7306">
      <w:pPr>
        <w:contextualSpacing/>
        <w:jc w:val="both"/>
      </w:pPr>
      <w:r>
        <w:t xml:space="preserve">This is an issue first forcefully noted by Princess Elizabeth of Bohemia in correspondence with Descartes (he struggles to get the point). </w:t>
      </w:r>
    </w:p>
    <w:p w:rsidR="003B2BB5" w:rsidRDefault="00BD7306" w:rsidP="00BD7306">
      <w:pPr>
        <w:contextualSpacing/>
        <w:jc w:val="both"/>
      </w:pPr>
      <w:r>
        <w:lastRenderedPageBreak/>
        <w:t xml:space="preserve">If the mind and body are radically different substances, how can they </w:t>
      </w:r>
      <w:r>
        <w:rPr>
          <w:b/>
        </w:rPr>
        <w:t>interact</w:t>
      </w:r>
      <w:r>
        <w:t xml:space="preserve">? When I want to do something that causes my body to move in some way. When I injure my body I feel pain in my mind. There’s a two-way </w:t>
      </w:r>
      <w:r w:rsidRPr="00BD7306">
        <w:rPr>
          <w:b/>
        </w:rPr>
        <w:t>interaction</w:t>
      </w:r>
      <w:r>
        <w:t xml:space="preserve"> between mind and body. How does this happen if dualism is true? </w:t>
      </w:r>
    </w:p>
    <w:p w:rsidR="00BD7306" w:rsidRDefault="00BD7306" w:rsidP="00BD7306">
      <w:pPr>
        <w:contextualSpacing/>
        <w:jc w:val="both"/>
      </w:pPr>
    </w:p>
    <w:p w:rsidR="00BD7306" w:rsidRDefault="00BD7306" w:rsidP="00BD7306">
      <w:pPr>
        <w:contextualSpacing/>
        <w:jc w:val="both"/>
      </w:pPr>
      <w:r>
        <w:rPr>
          <w:b/>
        </w:rPr>
        <w:t>Descartes Answer</w:t>
      </w:r>
      <w:r>
        <w:t xml:space="preserve">: </w:t>
      </w:r>
      <w:r w:rsidRPr="00BF40EF">
        <w:t>The pineal gland is the seat of the interaction. ‘</w:t>
      </w:r>
      <w:proofErr w:type="gramStart"/>
      <w:r w:rsidRPr="00BF40EF">
        <w:t>animal</w:t>
      </w:r>
      <w:proofErr w:type="gramEnd"/>
      <w:r w:rsidRPr="00BF40EF">
        <w:t xml:space="preserve"> spirits’ surround the gland and interact with the nerves and muscles to produce bodily movement.</w:t>
      </w:r>
      <w:r>
        <w:t xml:space="preserve"> This relies on a false theory of the conservation of momentum (basically Descartes thought it took no energy to ‘swerve’ a particle, this is false). But even if he hadn’t made this mistake, it looks like this doesn’t answer the problem. Followers of Descartes tried to do better.</w:t>
      </w:r>
    </w:p>
    <w:p w:rsidR="00BD7306" w:rsidRDefault="00BD7306" w:rsidP="00BD7306">
      <w:pPr>
        <w:contextualSpacing/>
        <w:jc w:val="both"/>
      </w:pPr>
    </w:p>
    <w:p w:rsidR="00BD7306" w:rsidRDefault="00BD7306" w:rsidP="00BD7306">
      <w:pPr>
        <w:contextualSpacing/>
        <w:jc w:val="both"/>
      </w:pPr>
      <w:r>
        <w:rPr>
          <w:b/>
        </w:rPr>
        <w:t>Epiphenomenalism</w:t>
      </w:r>
      <w:r>
        <w:t xml:space="preserve">: the interaction between mind and body is actually one-way – physical bodies </w:t>
      </w:r>
      <w:proofErr w:type="gramStart"/>
      <w:r>
        <w:t>effect</w:t>
      </w:r>
      <w:proofErr w:type="gramEnd"/>
      <w:r>
        <w:t xml:space="preserve"> minds, but never the other way around. The mind is a mere </w:t>
      </w:r>
      <w:r>
        <w:rPr>
          <w:b/>
        </w:rPr>
        <w:t>epiphenomenon</w:t>
      </w:r>
      <w:r>
        <w:t xml:space="preserve"> (like the whistle on a steam engine). This answer denies the manifest and seems to not get us much farther. </w:t>
      </w:r>
    </w:p>
    <w:p w:rsidR="00BD7306" w:rsidRDefault="00BD7306" w:rsidP="00BD7306">
      <w:pPr>
        <w:contextualSpacing/>
        <w:jc w:val="both"/>
      </w:pPr>
    </w:p>
    <w:p w:rsidR="00BD7306" w:rsidRDefault="00BD7306" w:rsidP="00BD7306">
      <w:pPr>
        <w:contextualSpacing/>
        <w:jc w:val="both"/>
      </w:pPr>
      <w:r>
        <w:rPr>
          <w:b/>
        </w:rPr>
        <w:t>Parallelism</w:t>
      </w:r>
      <w:r>
        <w:t xml:space="preserve">: the mind and body don’t interact, they simply move in parallel – like two clocks. However we are faced with the problem of accounting for this coincidence. </w:t>
      </w:r>
    </w:p>
    <w:p w:rsidR="00BD7306" w:rsidRDefault="00BD7306" w:rsidP="00BD7306">
      <w:pPr>
        <w:contextualSpacing/>
        <w:jc w:val="both"/>
      </w:pPr>
    </w:p>
    <w:p w:rsidR="00BD7306" w:rsidRDefault="00BD7306" w:rsidP="00BD7306">
      <w:pPr>
        <w:contextualSpacing/>
        <w:jc w:val="both"/>
      </w:pPr>
      <w:proofErr w:type="spellStart"/>
      <w:r>
        <w:rPr>
          <w:b/>
        </w:rPr>
        <w:t>Occasionalism</w:t>
      </w:r>
      <w:proofErr w:type="spellEnd"/>
      <w:r>
        <w:t xml:space="preserve">: God mediates every causal interaction on every occasion. David Hume notes that this doesn’t seem to help – it replaces the mystery of mind/body interaction with the mystery of how God causes things. </w:t>
      </w:r>
    </w:p>
    <w:p w:rsidR="00BD7306" w:rsidRDefault="00BD7306" w:rsidP="00BD7306">
      <w:pPr>
        <w:contextualSpacing/>
        <w:jc w:val="both"/>
      </w:pPr>
    </w:p>
    <w:p w:rsidR="00BD7306" w:rsidRDefault="00BD7306" w:rsidP="00BD7306">
      <w:pPr>
        <w:contextualSpacing/>
        <w:jc w:val="both"/>
      </w:pPr>
      <w:r>
        <w:t xml:space="preserve">Hume also notes, however, that the </w:t>
      </w:r>
      <w:proofErr w:type="spellStart"/>
      <w:r>
        <w:t>occasionalist</w:t>
      </w:r>
      <w:proofErr w:type="spellEnd"/>
      <w:r>
        <w:t xml:space="preserve"> does get something right – ordinary causal interactions between purely physical events are just as mysterious as the mind/body relation. When you watch the two billiard balls interact you don’t see causal power transferring from one to another – you just see one event following from another. So, it may be illegitimate to ask the dualist to explain the nature of the mind/brain relation given we don’t even understand physical causation. </w:t>
      </w:r>
    </w:p>
    <w:p w:rsidR="00BD7306" w:rsidRDefault="00BD7306" w:rsidP="00BD7306">
      <w:pPr>
        <w:jc w:val="both"/>
      </w:pPr>
    </w:p>
    <w:p w:rsidR="00BD7306" w:rsidRPr="00BD7306" w:rsidRDefault="00BD7306" w:rsidP="00BD7306">
      <w:pPr>
        <w:pStyle w:val="ListParagraph"/>
        <w:numPr>
          <w:ilvl w:val="0"/>
          <w:numId w:val="1"/>
        </w:numPr>
        <w:jc w:val="both"/>
      </w:pPr>
      <w:r>
        <w:rPr>
          <w:u w:val="single"/>
        </w:rPr>
        <w:t>The Causal Closure of the Physical World</w:t>
      </w:r>
    </w:p>
    <w:p w:rsidR="00BD7306" w:rsidRDefault="00B06C68" w:rsidP="00BD7306">
      <w:pPr>
        <w:jc w:val="both"/>
      </w:pPr>
      <w:r>
        <w:t xml:space="preserve">The lesson to take from Hume is not that interaction is no problem for dualism. We just have to get the form of the problem right – it’s not that we have </w:t>
      </w:r>
      <w:r w:rsidRPr="00B06C68">
        <w:rPr>
          <w:b/>
        </w:rPr>
        <w:t>a priori</w:t>
      </w:r>
      <w:r>
        <w:t xml:space="preserve"> reason to think that causation between different substances must be impossible. Instead we have good </w:t>
      </w:r>
      <w:r>
        <w:rPr>
          <w:b/>
        </w:rPr>
        <w:t xml:space="preserve">empirical </w:t>
      </w:r>
      <w:r>
        <w:t xml:space="preserve">evidence that no such interactions take place (see </w:t>
      </w:r>
      <w:proofErr w:type="spellStart"/>
      <w:r>
        <w:t>Papineau</w:t>
      </w:r>
      <w:proofErr w:type="spellEnd"/>
      <w:r>
        <w:t xml:space="preserve">, “The Rise of </w:t>
      </w:r>
      <w:proofErr w:type="spellStart"/>
      <w:r>
        <w:t>Physicalism</w:t>
      </w:r>
      <w:proofErr w:type="spellEnd"/>
      <w:r>
        <w:t>” for more detail).</w:t>
      </w:r>
    </w:p>
    <w:p w:rsidR="00B06C68" w:rsidRDefault="00B06C68" w:rsidP="00BD7306">
      <w:pPr>
        <w:jc w:val="both"/>
      </w:pPr>
      <w:r>
        <w:t xml:space="preserve">The central point is we have good inductive reason to accept the </w:t>
      </w:r>
      <w:r>
        <w:rPr>
          <w:b/>
        </w:rPr>
        <w:t>causal closure of the physical world</w:t>
      </w:r>
      <w:r>
        <w:t xml:space="preserve">: every event, if it has a cause, has a complete physical cause. </w:t>
      </w:r>
    </w:p>
    <w:p w:rsidR="00B06C68" w:rsidRDefault="00B06C68" w:rsidP="00BD7306">
      <w:pPr>
        <w:jc w:val="both"/>
        <w:rPr>
          <w:rFonts w:cs="Arial"/>
          <w:bCs/>
          <w:iCs/>
          <w:color w:val="252525"/>
          <w:shd w:val="clear" w:color="auto" w:fill="FFFFFF"/>
        </w:rPr>
      </w:pPr>
      <w:r>
        <w:t xml:space="preserve">We used to think that you needed to cite </w:t>
      </w:r>
      <w:proofErr w:type="gramStart"/>
      <w:r>
        <w:t>special forces</w:t>
      </w:r>
      <w:proofErr w:type="gramEnd"/>
      <w:r>
        <w:t xml:space="preserve"> to explain the difference between living and non-living things: an </w:t>
      </w:r>
      <w:r w:rsidRPr="00B06C68">
        <w:rPr>
          <w:rFonts w:cs="Arial"/>
          <w:b/>
          <w:bCs/>
          <w:iCs/>
          <w:color w:val="252525"/>
          <w:shd w:val="clear" w:color="auto" w:fill="FFFFFF"/>
        </w:rPr>
        <w:t>Élan vital</w:t>
      </w:r>
      <w:r>
        <w:rPr>
          <w:rFonts w:cs="Arial"/>
          <w:bCs/>
          <w:iCs/>
          <w:color w:val="252525"/>
          <w:shd w:val="clear" w:color="auto" w:fill="FFFFFF"/>
        </w:rPr>
        <w:t>. However, we learned that we could explain these differences using purely physical goings on. Similarly, when we study the human brain and nervous system there is simply no space for a mental substance to do causal work – all that is going on can be explained by prior physical events.</w:t>
      </w:r>
    </w:p>
    <w:p w:rsidR="00B06C68" w:rsidRPr="00B06C68" w:rsidRDefault="00B06C68" w:rsidP="00BD7306">
      <w:pPr>
        <w:jc w:val="both"/>
        <w:rPr>
          <w:rFonts w:cs="Arial"/>
          <w:bCs/>
          <w:iCs/>
          <w:color w:val="252525"/>
          <w:shd w:val="clear" w:color="auto" w:fill="FFFFFF"/>
        </w:rPr>
      </w:pPr>
      <w:r>
        <w:t xml:space="preserve">Lesson: in order to make space for the possibility of </w:t>
      </w:r>
      <w:r>
        <w:rPr>
          <w:b/>
        </w:rPr>
        <w:t>immortality</w:t>
      </w:r>
      <w:r>
        <w:t xml:space="preserve"> and to fit with his </w:t>
      </w:r>
      <w:r>
        <w:rPr>
          <w:b/>
        </w:rPr>
        <w:t>anti-</w:t>
      </w:r>
      <w:proofErr w:type="spellStart"/>
      <w:r>
        <w:rPr>
          <w:b/>
        </w:rPr>
        <w:t>aristotelianism</w:t>
      </w:r>
      <w:proofErr w:type="spellEnd"/>
      <w:r>
        <w:t xml:space="preserve"> Descartes needs the mind and body to be radically different things. If you do this then you will end up facing something like the </w:t>
      </w:r>
      <w:r>
        <w:rPr>
          <w:b/>
        </w:rPr>
        <w:t xml:space="preserve">interaction problem. </w:t>
      </w:r>
    </w:p>
    <w:sectPr w:rsidR="00B06C68" w:rsidRPr="00B06C68" w:rsidSect="009C72FC">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9B034E6"/>
    <w:multiLevelType w:val="hybridMultilevel"/>
    <w:tmpl w:val="1DF007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C407F"/>
    <w:rsid w:val="003B2BB5"/>
    <w:rsid w:val="003C407F"/>
    <w:rsid w:val="00896611"/>
    <w:rsid w:val="009C72FC"/>
    <w:rsid w:val="009E3D69"/>
    <w:rsid w:val="00B06C68"/>
    <w:rsid w:val="00BB0677"/>
    <w:rsid w:val="00BD7306"/>
    <w:rsid w:val="00F6797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72F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C407F"/>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126</TotalTime>
  <Pages>2</Pages>
  <Words>854</Words>
  <Characters>4872</Characters>
  <Application>Microsoft Office Word</Application>
  <DocSecurity>0</DocSecurity>
  <Lines>40</Lines>
  <Paragraphs>11</Paragraphs>
  <ScaleCrop>false</ScaleCrop>
  <Company/>
  <LinksUpToDate>false</LinksUpToDate>
  <CharactersWithSpaces>5715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Kirk</dc:creator>
  <cp:lastModifiedBy>Kirk</cp:lastModifiedBy>
  <cp:revision>6</cp:revision>
  <dcterms:created xsi:type="dcterms:W3CDTF">2016-02-01T11:08:00Z</dcterms:created>
  <dcterms:modified xsi:type="dcterms:W3CDTF">2016-02-01T13:16:00Z</dcterms:modified>
</cp:coreProperties>
</file>