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5EA6159" w14:textId="11E711B7" w:rsidR="00E910F9" w:rsidRPr="000936EA" w:rsidRDefault="009E41A5">
      <w:pPr>
        <w:rPr>
          <w:rFonts w:ascii="Gill Sans" w:hAnsi="Gill Sans" w:cs="Gill Sans"/>
          <w:sz w:val="24"/>
          <w:szCs w:val="24"/>
        </w:rPr>
      </w:pPr>
      <w:r w:rsidRPr="000936EA">
        <w:rPr>
          <w:rFonts w:ascii="Gill Sans" w:hAnsi="Gill Sans" w:cs="Gill Sans"/>
          <w:sz w:val="24"/>
          <w:szCs w:val="24"/>
        </w:rPr>
        <w:t xml:space="preserve">PH251 Metaphysics </w:t>
      </w:r>
      <w:r w:rsidR="00AA4CFD" w:rsidRPr="000936EA">
        <w:rPr>
          <w:rFonts w:ascii="Gill Sans" w:hAnsi="Gill Sans" w:cs="Gill Sans"/>
          <w:sz w:val="24"/>
          <w:szCs w:val="24"/>
        </w:rPr>
        <w:t xml:space="preserve">  </w:t>
      </w:r>
      <w:r w:rsidR="000936EA" w:rsidRPr="000936EA">
        <w:rPr>
          <w:rFonts w:ascii="Gill Sans" w:hAnsi="Gill Sans" w:cs="Gill Sans"/>
          <w:sz w:val="24"/>
          <w:szCs w:val="24"/>
        </w:rPr>
        <w:t>Week 9</w:t>
      </w:r>
    </w:p>
    <w:p w14:paraId="26B3202E" w14:textId="77777777" w:rsidR="00F74237" w:rsidRPr="000936EA" w:rsidRDefault="00F74237">
      <w:pPr>
        <w:rPr>
          <w:rFonts w:ascii="Gill Sans" w:hAnsi="Gill Sans" w:cs="Gill Sans"/>
          <w:sz w:val="24"/>
          <w:szCs w:val="24"/>
        </w:rPr>
      </w:pPr>
    </w:p>
    <w:p w14:paraId="34FDD553" w14:textId="4A0765CF" w:rsidR="009E41A5" w:rsidRPr="000936EA" w:rsidRDefault="000936EA">
      <w:pPr>
        <w:rPr>
          <w:rFonts w:ascii="Gill Sans" w:hAnsi="Gill Sans" w:cs="Gill Sans"/>
          <w:sz w:val="24"/>
          <w:szCs w:val="24"/>
        </w:rPr>
      </w:pPr>
      <w:r w:rsidRPr="000936EA">
        <w:rPr>
          <w:rFonts w:ascii="Gill Sans" w:hAnsi="Gill Sans" w:cs="Gill Sans"/>
          <w:sz w:val="24"/>
          <w:szCs w:val="24"/>
        </w:rPr>
        <w:t>Neo-Aristotelian theories of Substance</w:t>
      </w:r>
    </w:p>
    <w:p w14:paraId="1D618B01" w14:textId="77777777" w:rsidR="009E41A5" w:rsidRDefault="009E41A5">
      <w:pPr>
        <w:rPr>
          <w:rFonts w:ascii="Gill Sans" w:hAnsi="Gill Sans" w:cs="Gill Sans"/>
        </w:rPr>
      </w:pPr>
    </w:p>
    <w:p w14:paraId="40BC137F" w14:textId="5EB3AC51" w:rsidR="000936EA" w:rsidRDefault="00BC33BB">
      <w:pPr>
        <w:rPr>
          <w:rFonts w:cs="Gill Sans"/>
          <w:i/>
        </w:rPr>
      </w:pPr>
      <w:r w:rsidRPr="00BC33BB">
        <w:rPr>
          <w:rFonts w:cs="Gill Sans"/>
        </w:rPr>
        <w:t xml:space="preserve">1. </w:t>
      </w:r>
      <w:r w:rsidR="00E910F9" w:rsidRPr="00551A13">
        <w:rPr>
          <w:rFonts w:cs="Gill Sans"/>
          <w:i/>
        </w:rPr>
        <w:t>Introductio</w:t>
      </w:r>
      <w:r w:rsidR="005F32A0">
        <w:rPr>
          <w:rFonts w:cs="Gill Sans"/>
          <w:i/>
        </w:rPr>
        <w:t>n</w:t>
      </w:r>
    </w:p>
    <w:p w14:paraId="151CBA26" w14:textId="77777777" w:rsidR="000936EA" w:rsidRDefault="000936EA">
      <w:pPr>
        <w:rPr>
          <w:rFonts w:cs="Gill Sans"/>
        </w:rPr>
      </w:pPr>
      <w:r>
        <w:rPr>
          <w:rFonts w:cs="Gill Sans"/>
        </w:rPr>
        <w:t xml:space="preserve">(i) We have discussed a number of problems that arise with respect to the composition and constitution of material particulars. </w:t>
      </w:r>
    </w:p>
    <w:p w14:paraId="2DE67EA9" w14:textId="6A06B6AF" w:rsidR="000936EA" w:rsidRPr="000936EA" w:rsidRDefault="000936EA">
      <w:pPr>
        <w:rPr>
          <w:rFonts w:cs="Gill Sans"/>
        </w:rPr>
      </w:pPr>
      <w:r>
        <w:rPr>
          <w:rFonts w:cs="Gill Sans"/>
        </w:rPr>
        <w:t>(ii) In the next two weeks, we will return to the discussion of the nature of material particulars through focusing on contemporary metaphysical discussions inspired by Aristotle’s treatments of substance.</w:t>
      </w:r>
      <w:r w:rsidR="00EE32D5">
        <w:rPr>
          <w:rFonts w:cs="Gill Sans"/>
        </w:rPr>
        <w:t xml:space="preserve"> (And which do so in different ways).</w:t>
      </w:r>
    </w:p>
    <w:p w14:paraId="7E95EE0F" w14:textId="77777777" w:rsidR="000936EA" w:rsidRDefault="000936EA">
      <w:pPr>
        <w:rPr>
          <w:rFonts w:cs="Gill Sans"/>
          <w:i/>
        </w:rPr>
      </w:pPr>
    </w:p>
    <w:p w14:paraId="58DABF64" w14:textId="70B8E17B" w:rsidR="000936EA" w:rsidRDefault="000936EA">
      <w:pPr>
        <w:rPr>
          <w:rFonts w:cs="Gill Sans"/>
        </w:rPr>
      </w:pPr>
      <w:r>
        <w:rPr>
          <w:rFonts w:cs="Gill Sans"/>
        </w:rPr>
        <w:t xml:space="preserve">2. </w:t>
      </w:r>
      <w:r w:rsidRPr="000936EA">
        <w:rPr>
          <w:rFonts w:cs="Gill Sans"/>
          <w:i/>
        </w:rPr>
        <w:t>Substrata and bundles revisited</w:t>
      </w:r>
    </w:p>
    <w:p w14:paraId="7133F131" w14:textId="3864478F" w:rsidR="000936EA" w:rsidRDefault="000368C7">
      <w:pPr>
        <w:rPr>
          <w:rFonts w:cs="Gill Sans"/>
        </w:rPr>
      </w:pPr>
      <w:r>
        <w:rPr>
          <w:rFonts w:cs="Gill Sans"/>
        </w:rPr>
        <w:t>(i) In an earlier lecture, we discussed the debate between substratum or ‘bare particular’ approaches to explaining particulars and ‘bundle theories’ of particulars.</w:t>
      </w:r>
    </w:p>
    <w:p w14:paraId="12C205C6" w14:textId="7191003A" w:rsidR="000368C7" w:rsidRDefault="000368C7">
      <w:pPr>
        <w:rPr>
          <w:rFonts w:cs="Gill Sans"/>
        </w:rPr>
      </w:pPr>
      <w:r>
        <w:rPr>
          <w:rFonts w:cs="Gill Sans"/>
        </w:rPr>
        <w:t xml:space="preserve">(ii) </w:t>
      </w:r>
      <w:r w:rsidRPr="000368C7">
        <w:rPr>
          <w:rFonts w:cs="Gill Sans"/>
          <w:i/>
        </w:rPr>
        <w:t>Bare particulars</w:t>
      </w:r>
      <w:r>
        <w:rPr>
          <w:rFonts w:cs="Gill Sans"/>
        </w:rPr>
        <w:t xml:space="preserve"> or </w:t>
      </w:r>
      <w:r w:rsidRPr="000368C7">
        <w:rPr>
          <w:rFonts w:cs="Gill Sans"/>
          <w:i/>
        </w:rPr>
        <w:t>substrata</w:t>
      </w:r>
      <w:r>
        <w:rPr>
          <w:rFonts w:cs="Gill Sans"/>
        </w:rPr>
        <w:t xml:space="preserve"> are entities that possess properties but possess no properties essentially. Bare particulars can explain the numerical distinctness of qualitatively identical particulars, and can account for the idea that properties are predicable of things in which they inhere or which possess them.</w:t>
      </w:r>
    </w:p>
    <w:p w14:paraId="7A1A0F7D" w14:textId="0D45059D" w:rsidR="000368C7" w:rsidRDefault="000368C7">
      <w:pPr>
        <w:rPr>
          <w:rFonts w:cs="Gill Sans"/>
        </w:rPr>
      </w:pPr>
      <w:r>
        <w:rPr>
          <w:rFonts w:cs="Gill Sans"/>
        </w:rPr>
        <w:t>(iii) But (a) there are epistemological difficulties with bare particulars/substrata (i.e. is it possible to know anything of philosophical interest about them? (b) is the idea of a substratum even coherent?</w:t>
      </w:r>
    </w:p>
    <w:p w14:paraId="47D9E578" w14:textId="1DB3445F" w:rsidR="000368C7" w:rsidRDefault="000368C7">
      <w:pPr>
        <w:rPr>
          <w:rFonts w:cs="Gill Sans"/>
        </w:rPr>
      </w:pPr>
      <w:r>
        <w:rPr>
          <w:rFonts w:cs="Gill Sans"/>
        </w:rPr>
        <w:t>(iv) The view that ordinary particulars to be bundles of properties or constructions from properties (in the manner of Hume and Berkeley) (a) does not encounter such epistemological problems (properties can be sensed directly) and (b) doesn’t attempt to understand what a p</w:t>
      </w:r>
      <w:r w:rsidR="000857FB">
        <w:rPr>
          <w:rFonts w:cs="Gill Sans"/>
        </w:rPr>
        <w:t xml:space="preserve">articular is in a way that threatens incoherence; </w:t>
      </w:r>
    </w:p>
    <w:p w14:paraId="45CE7D8C" w14:textId="51A4A866" w:rsidR="000857FB" w:rsidRDefault="000857FB">
      <w:pPr>
        <w:rPr>
          <w:rFonts w:cs="Gill Sans"/>
        </w:rPr>
      </w:pPr>
      <w:r>
        <w:rPr>
          <w:rFonts w:cs="Gill Sans"/>
        </w:rPr>
        <w:t>(v) But bundle theory (a) is committed to the identity of indiscernibles, which is false; and (b) cannot account for change of properties by a particular (at least without considerable reworking or sophistication of the basic view).</w:t>
      </w:r>
    </w:p>
    <w:p w14:paraId="34DD3875" w14:textId="25CBAD75" w:rsidR="000857FB" w:rsidRDefault="000857FB">
      <w:pPr>
        <w:rPr>
          <w:rFonts w:cs="Gill Sans"/>
        </w:rPr>
      </w:pPr>
      <w:r>
        <w:rPr>
          <w:rFonts w:cs="Gill Sans"/>
        </w:rPr>
        <w:t>(vi) Does this mean that there is no satisfying account of what a particular is?</w:t>
      </w:r>
    </w:p>
    <w:p w14:paraId="7FAF0F1C" w14:textId="77777777" w:rsidR="000936EA" w:rsidRDefault="000936EA">
      <w:pPr>
        <w:rPr>
          <w:rFonts w:cs="Gill Sans"/>
        </w:rPr>
      </w:pPr>
    </w:p>
    <w:p w14:paraId="79E3A6DF" w14:textId="7ACC6B01" w:rsidR="000936EA" w:rsidRDefault="000936EA">
      <w:pPr>
        <w:rPr>
          <w:rFonts w:cs="Gill Sans"/>
        </w:rPr>
      </w:pPr>
      <w:r>
        <w:rPr>
          <w:rFonts w:cs="Gill Sans"/>
        </w:rPr>
        <w:t xml:space="preserve">3. </w:t>
      </w:r>
      <w:r w:rsidRPr="000936EA">
        <w:rPr>
          <w:rFonts w:cs="Gill Sans"/>
          <w:i/>
        </w:rPr>
        <w:t>Neo-Aristotelian theories of substance</w:t>
      </w:r>
    </w:p>
    <w:p w14:paraId="279477B3" w14:textId="07FC9507" w:rsidR="00DE523B" w:rsidRDefault="00DE523B">
      <w:pPr>
        <w:rPr>
          <w:rFonts w:cs="Gill Sans"/>
        </w:rPr>
      </w:pPr>
      <w:r>
        <w:rPr>
          <w:rFonts w:cs="Gill Sans"/>
        </w:rPr>
        <w:t>(i) There are different metaphysical ideas that might be described as ‘Aristotelian’ or ‘neo-Aristotelian’. One set of ideas emphasizes the idea of a natural kind. The second emphasizes the idea that ordinary objects are a particular kind of structure. This week I will talk about the first.</w:t>
      </w:r>
    </w:p>
    <w:p w14:paraId="2D85A309" w14:textId="7FEDE955" w:rsidR="000936EA" w:rsidRDefault="00FE368F">
      <w:pPr>
        <w:rPr>
          <w:rFonts w:cs="Gill Sans"/>
        </w:rPr>
      </w:pPr>
      <w:r>
        <w:rPr>
          <w:rFonts w:cs="Gill Sans"/>
        </w:rPr>
        <w:t>(i</w:t>
      </w:r>
      <w:r w:rsidR="00DE523B">
        <w:rPr>
          <w:rFonts w:cs="Gill Sans"/>
        </w:rPr>
        <w:t>i</w:t>
      </w:r>
      <w:r>
        <w:rPr>
          <w:rFonts w:cs="Gill Sans"/>
        </w:rPr>
        <w:t>) The basic category of particular is a substance. Aristotelian primary substances are things such a</w:t>
      </w:r>
      <w:r w:rsidR="000A3879">
        <w:rPr>
          <w:rFonts w:cs="Gill Sans"/>
        </w:rPr>
        <w:t>s human beings</w:t>
      </w:r>
      <w:r w:rsidR="00DE523B">
        <w:rPr>
          <w:rFonts w:cs="Gill Sans"/>
        </w:rPr>
        <w:t xml:space="preserve">, dogs and trees. </w:t>
      </w:r>
      <w:r>
        <w:rPr>
          <w:rFonts w:cs="Gill Sans"/>
        </w:rPr>
        <w:t xml:space="preserve">The </w:t>
      </w:r>
      <w:r w:rsidRPr="00FE368F">
        <w:rPr>
          <w:rFonts w:cs="Gill Sans"/>
          <w:i/>
        </w:rPr>
        <w:t>Categories</w:t>
      </w:r>
      <w:r>
        <w:rPr>
          <w:rFonts w:cs="Gill Sans"/>
        </w:rPr>
        <w:t xml:space="preserve"> develops a </w:t>
      </w:r>
      <w:r w:rsidR="00A4724F">
        <w:rPr>
          <w:rFonts w:cs="Gill Sans"/>
        </w:rPr>
        <w:t>range of themes taken up by a number of broadly neo-Aristotelian substance theorists</w:t>
      </w:r>
      <w:r>
        <w:rPr>
          <w:rFonts w:cs="Gill Sans"/>
        </w:rPr>
        <w:t xml:space="preserve">. (See Wiggins </w:t>
      </w:r>
      <w:r w:rsidR="00A4724F">
        <w:rPr>
          <w:rFonts w:cs="Gill Sans"/>
        </w:rPr>
        <w:t xml:space="preserve">(1980), </w:t>
      </w:r>
      <w:r>
        <w:rPr>
          <w:rFonts w:cs="Gill Sans"/>
        </w:rPr>
        <w:t xml:space="preserve">(2001), </w:t>
      </w:r>
      <w:r w:rsidR="00A4724F">
        <w:rPr>
          <w:rFonts w:cs="Gill Sans"/>
        </w:rPr>
        <w:t xml:space="preserve">P. F. </w:t>
      </w:r>
      <w:r w:rsidR="003C54F9">
        <w:rPr>
          <w:rFonts w:cs="Gill Sans"/>
        </w:rPr>
        <w:t xml:space="preserve">Strawson, (1959), </w:t>
      </w:r>
      <w:r w:rsidR="00A4724F">
        <w:rPr>
          <w:rFonts w:cs="Gill Sans"/>
        </w:rPr>
        <w:t xml:space="preserve">G. E. M. </w:t>
      </w:r>
      <w:r w:rsidR="000A3879">
        <w:rPr>
          <w:rFonts w:cs="Gill Sans"/>
        </w:rPr>
        <w:t>Anscombe (1953</w:t>
      </w:r>
      <w:r w:rsidR="003C54F9">
        <w:rPr>
          <w:rFonts w:cs="Gill Sans"/>
        </w:rPr>
        <w:t>)</w:t>
      </w:r>
      <w:r w:rsidR="000A3879">
        <w:rPr>
          <w:rFonts w:cs="Gill Sans"/>
        </w:rPr>
        <w:t>)</w:t>
      </w:r>
    </w:p>
    <w:p w14:paraId="52EB2491" w14:textId="651D6022" w:rsidR="00FE368F" w:rsidRDefault="00FE368F">
      <w:pPr>
        <w:rPr>
          <w:rFonts w:cs="Gill Sans"/>
        </w:rPr>
      </w:pPr>
      <w:r>
        <w:rPr>
          <w:rFonts w:cs="Gill Sans"/>
        </w:rPr>
        <w:t>(ii</w:t>
      </w:r>
      <w:r w:rsidR="00DE523B">
        <w:rPr>
          <w:rFonts w:cs="Gill Sans"/>
        </w:rPr>
        <w:t>i</w:t>
      </w:r>
      <w:r>
        <w:rPr>
          <w:rFonts w:cs="Gill Sans"/>
        </w:rPr>
        <w:t>) Aristotelian primary substances are ontologically basic. They are ‘not predicable of anything else’ but other things are ‘predicable of them’. Specific properties depend for their existence on substances, not vice versa.</w:t>
      </w:r>
      <w:r w:rsidR="00F13609">
        <w:rPr>
          <w:rFonts w:cs="Gill Sans"/>
        </w:rPr>
        <w:t xml:space="preserve"> Secondary substances are species and genus.</w:t>
      </w:r>
    </w:p>
    <w:p w14:paraId="083CC1DA" w14:textId="327A1E8F" w:rsidR="00920A59" w:rsidRDefault="00F13609" w:rsidP="00920A59">
      <w:pPr>
        <w:rPr>
          <w:rFonts w:cs="Gill Sans"/>
        </w:rPr>
      </w:pPr>
      <w:r>
        <w:rPr>
          <w:rFonts w:cs="Gill Sans"/>
        </w:rPr>
        <w:t>A substance—that which is called a substance most strictly, primarily, and most of all—is that which is neither said of a subject nor in a subject, e.g. the individual man or the individual horse. The species in which the things primaril</w:t>
      </w:r>
      <w:r w:rsidR="000A3879">
        <w:rPr>
          <w:rFonts w:cs="Gill Sans"/>
        </w:rPr>
        <w:t>y</w:t>
      </w:r>
      <w:r>
        <w:rPr>
          <w:rFonts w:cs="Gill Sans"/>
        </w:rPr>
        <w:t xml:space="preserve"> called substances are, are called secondary substances, as also are the genera of these species. For example, the individual man belongs in a species, man, and animal is a genus of the species; so these—both man and animal—are called secondary substances.” [</w:t>
      </w:r>
      <w:r w:rsidRPr="00920A59">
        <w:rPr>
          <w:rFonts w:cs="Gill Sans"/>
          <w:i/>
        </w:rPr>
        <w:t>Categories</w:t>
      </w:r>
      <w:r>
        <w:rPr>
          <w:rFonts w:cs="Gill Sans"/>
        </w:rPr>
        <w:t>, 2a 11-19]</w:t>
      </w:r>
      <w:r w:rsidR="00920A59" w:rsidRPr="00920A59">
        <w:rPr>
          <w:rFonts w:cs="Gill Sans"/>
        </w:rPr>
        <w:t xml:space="preserve"> </w:t>
      </w:r>
    </w:p>
    <w:p w14:paraId="110F7710" w14:textId="391B3A40" w:rsidR="00F13609" w:rsidRDefault="00920A59">
      <w:pPr>
        <w:rPr>
          <w:rFonts w:cs="Gill Sans"/>
        </w:rPr>
      </w:pPr>
      <w:r>
        <w:rPr>
          <w:rFonts w:cs="Gill Sans"/>
        </w:rPr>
        <w:t xml:space="preserve">‘It is reasonable that after, the primary substances, their species and genera should be the only other things called (secondary) substances. For only they, of things predicated, reveal the primary substance. For if one is to say of the individual man what he is, it </w:t>
      </w:r>
      <w:r>
        <w:rPr>
          <w:rFonts w:cs="Gill Sans"/>
        </w:rPr>
        <w:lastRenderedPageBreak/>
        <w:t>will be in place to give the species or the genus (though more informative to give man than animal); but to give any of the other things would be out of place—for example, to say ‘white’ or ‘runs’ or anything like that.’ [</w:t>
      </w:r>
      <w:r w:rsidRPr="00920A59">
        <w:rPr>
          <w:rFonts w:cs="Gill Sans"/>
          <w:i/>
        </w:rPr>
        <w:t>Categories</w:t>
      </w:r>
      <w:r>
        <w:rPr>
          <w:rFonts w:cs="Gill Sans"/>
        </w:rPr>
        <w:t>, 2b, 28-35]</w:t>
      </w:r>
    </w:p>
    <w:p w14:paraId="36F8F018" w14:textId="4ED72F13" w:rsidR="003C54F9" w:rsidRDefault="00DE523B">
      <w:pPr>
        <w:rPr>
          <w:rFonts w:cs="Gill Sans"/>
        </w:rPr>
      </w:pPr>
      <w:r>
        <w:rPr>
          <w:rFonts w:cs="Gill Sans"/>
        </w:rPr>
        <w:t>(iv)</w:t>
      </w:r>
      <w:r w:rsidR="003C54F9">
        <w:rPr>
          <w:rFonts w:cs="Gill Sans"/>
        </w:rPr>
        <w:t xml:space="preserve"> There is a difference between the questions: “What is it?” and “What is it like?”</w:t>
      </w:r>
    </w:p>
    <w:p w14:paraId="5DBABC39" w14:textId="1BDE4574" w:rsidR="000A3879" w:rsidRDefault="00DE523B">
      <w:pPr>
        <w:rPr>
          <w:rFonts w:cs="Gill Sans"/>
        </w:rPr>
      </w:pPr>
      <w:r>
        <w:rPr>
          <w:rFonts w:cs="Gill Sans"/>
        </w:rPr>
        <w:t>(</w:t>
      </w:r>
      <w:r w:rsidR="003C54F9">
        <w:rPr>
          <w:rFonts w:cs="Gill Sans"/>
        </w:rPr>
        <w:t xml:space="preserve">v) The first question invites an identification of a thing in terms of the kind </w:t>
      </w:r>
      <w:r w:rsidR="00A4724F">
        <w:rPr>
          <w:rFonts w:cs="Gill Sans"/>
        </w:rPr>
        <w:t xml:space="preserve">(paradigmatically, the </w:t>
      </w:r>
      <w:r w:rsidR="00A4724F" w:rsidRPr="00A4724F">
        <w:rPr>
          <w:rFonts w:cs="Gill Sans"/>
          <w:i/>
        </w:rPr>
        <w:t>natural kind</w:t>
      </w:r>
      <w:r w:rsidR="00A4724F">
        <w:rPr>
          <w:rFonts w:cs="Gill Sans"/>
        </w:rPr>
        <w:t xml:space="preserve">) </w:t>
      </w:r>
      <w:r w:rsidR="003C54F9">
        <w:rPr>
          <w:rFonts w:cs="Gill Sans"/>
        </w:rPr>
        <w:t xml:space="preserve">to which it belongs. (A </w:t>
      </w:r>
      <w:r w:rsidR="00A4724F">
        <w:rPr>
          <w:rFonts w:cs="Gill Sans"/>
        </w:rPr>
        <w:t xml:space="preserve">natural </w:t>
      </w:r>
      <w:r w:rsidR="003C54F9">
        <w:rPr>
          <w:rFonts w:cs="Gill Sans"/>
        </w:rPr>
        <w:t>kind is a universal t</w:t>
      </w:r>
      <w:r w:rsidR="00A4724F">
        <w:rPr>
          <w:rFonts w:cs="Gill Sans"/>
        </w:rPr>
        <w:t>hat the object instantiates; f</w:t>
      </w:r>
      <w:r w:rsidR="003C54F9">
        <w:rPr>
          <w:rFonts w:cs="Gill Sans"/>
        </w:rPr>
        <w:t>or example, human being, cat, dog, etc.)</w:t>
      </w:r>
      <w:r w:rsidR="00A4724F">
        <w:rPr>
          <w:rFonts w:cs="Gill Sans"/>
        </w:rPr>
        <w:t>.</w:t>
      </w:r>
      <w:r w:rsidR="00F13609">
        <w:rPr>
          <w:rFonts w:cs="Gill Sans"/>
        </w:rPr>
        <w:t xml:space="preserve"> Aristotle called the species and genus under which things fall ‘secondary substances’.</w:t>
      </w:r>
    </w:p>
    <w:p w14:paraId="580EB22F" w14:textId="64966B2F" w:rsidR="000A3879" w:rsidRDefault="000A3879">
      <w:pPr>
        <w:rPr>
          <w:rFonts w:cs="Gill Sans"/>
        </w:rPr>
      </w:pPr>
      <w:r>
        <w:rPr>
          <w:rFonts w:cs="Gill Sans"/>
        </w:rPr>
        <w:t>(v</w:t>
      </w:r>
      <w:r w:rsidR="00DE523B">
        <w:rPr>
          <w:rFonts w:cs="Gill Sans"/>
        </w:rPr>
        <w:t>i</w:t>
      </w:r>
      <w:r w:rsidR="000813D0">
        <w:rPr>
          <w:rFonts w:cs="Gill Sans"/>
        </w:rPr>
        <w:t xml:space="preserve">) </w:t>
      </w:r>
      <w:r w:rsidR="00920A59" w:rsidRPr="00920A59">
        <w:rPr>
          <w:rFonts w:cs="Gill Sans"/>
          <w:i/>
        </w:rPr>
        <w:t>Kinds and identity</w:t>
      </w:r>
      <w:r w:rsidR="00920A59">
        <w:rPr>
          <w:rFonts w:cs="Gill Sans"/>
        </w:rPr>
        <w:t xml:space="preserve">: </w:t>
      </w:r>
      <w:r w:rsidR="000813D0">
        <w:rPr>
          <w:rFonts w:cs="Gill Sans"/>
        </w:rPr>
        <w:t xml:space="preserve">The kind to which the individual belongs determines </w:t>
      </w:r>
      <w:r w:rsidR="00A4724F">
        <w:rPr>
          <w:rFonts w:cs="Gill Sans"/>
        </w:rPr>
        <w:t>the identity conditions for things of that kind (or associated with such conditions), both at a time and over time. Kinds embody information about how things grow and develop; what kinds of changes they survive, and what kinds of changes that they do not.</w:t>
      </w:r>
    </w:p>
    <w:p w14:paraId="56F2E56A" w14:textId="799AE447" w:rsidR="00A4724F" w:rsidRDefault="003C54F9">
      <w:pPr>
        <w:rPr>
          <w:rFonts w:cs="Gill Sans"/>
        </w:rPr>
      </w:pPr>
      <w:r>
        <w:rPr>
          <w:rFonts w:cs="Gill Sans"/>
        </w:rPr>
        <w:t>(vi</w:t>
      </w:r>
      <w:r w:rsidR="00DE523B">
        <w:rPr>
          <w:rFonts w:cs="Gill Sans"/>
        </w:rPr>
        <w:t>i</w:t>
      </w:r>
      <w:r>
        <w:rPr>
          <w:rFonts w:cs="Gill Sans"/>
        </w:rPr>
        <w:t xml:space="preserve">) </w:t>
      </w:r>
      <w:r w:rsidR="00920A59" w:rsidRPr="00920A59">
        <w:rPr>
          <w:rFonts w:cs="Gill Sans"/>
          <w:i/>
        </w:rPr>
        <w:t>Kinds and numerical distinctness</w:t>
      </w:r>
      <w:r w:rsidR="00920A59">
        <w:rPr>
          <w:rFonts w:cs="Gill Sans"/>
        </w:rPr>
        <w:t xml:space="preserve">: </w:t>
      </w:r>
      <w:r w:rsidR="00A4724F">
        <w:rPr>
          <w:rFonts w:cs="Gill Sans"/>
        </w:rPr>
        <w:t>Instances of</w:t>
      </w:r>
      <w:r w:rsidR="000813D0">
        <w:rPr>
          <w:rFonts w:cs="Gill Sans"/>
        </w:rPr>
        <w:t xml:space="preserve"> kind</w:t>
      </w:r>
      <w:r w:rsidR="00A4724F">
        <w:rPr>
          <w:rFonts w:cs="Gill Sans"/>
        </w:rPr>
        <w:t>s</w:t>
      </w:r>
      <w:r w:rsidR="000813D0">
        <w:rPr>
          <w:rFonts w:cs="Gill Sans"/>
        </w:rPr>
        <w:t xml:space="preserve"> </w:t>
      </w:r>
      <w:r w:rsidR="00A4724F">
        <w:rPr>
          <w:rFonts w:cs="Gill Sans"/>
        </w:rPr>
        <w:t>are concrete particulars</w:t>
      </w:r>
      <w:r w:rsidR="000813D0">
        <w:rPr>
          <w:rFonts w:cs="Gill Sans"/>
        </w:rPr>
        <w:t xml:space="preserve">. For there to be two instantiations of the kind human being is for there to be two </w:t>
      </w:r>
      <w:r w:rsidR="00A4724F">
        <w:rPr>
          <w:rFonts w:cs="Gill Sans"/>
        </w:rPr>
        <w:t xml:space="preserve">concrete particular </w:t>
      </w:r>
      <w:r w:rsidR="000813D0">
        <w:rPr>
          <w:rFonts w:cs="Gill Sans"/>
        </w:rPr>
        <w:t xml:space="preserve">human beings. </w:t>
      </w:r>
      <w:r w:rsidR="000A3879">
        <w:rPr>
          <w:rFonts w:cs="Gill Sans"/>
        </w:rPr>
        <w:t xml:space="preserve"> </w:t>
      </w:r>
    </w:p>
    <w:p w14:paraId="11F31284" w14:textId="77777777" w:rsidR="000A3879" w:rsidRDefault="000A3879">
      <w:pPr>
        <w:rPr>
          <w:rFonts w:cs="Gill Sans"/>
        </w:rPr>
      </w:pPr>
    </w:p>
    <w:p w14:paraId="1E1B35C7" w14:textId="1516E59F" w:rsidR="00A4724F" w:rsidRDefault="00A4724F">
      <w:pPr>
        <w:rPr>
          <w:rFonts w:cs="Gill Sans"/>
        </w:rPr>
      </w:pPr>
      <w:r>
        <w:rPr>
          <w:rFonts w:cs="Gill Sans"/>
        </w:rPr>
        <w:t xml:space="preserve">4. </w:t>
      </w:r>
      <w:r w:rsidRPr="00A4724F">
        <w:rPr>
          <w:rFonts w:cs="Gill Sans"/>
          <w:i/>
        </w:rPr>
        <w:t xml:space="preserve">Aristotelian </w:t>
      </w:r>
      <w:r>
        <w:rPr>
          <w:rFonts w:cs="Gill Sans"/>
          <w:i/>
        </w:rPr>
        <w:t xml:space="preserve">views about </w:t>
      </w:r>
      <w:r w:rsidRPr="00A4724F">
        <w:rPr>
          <w:rFonts w:cs="Gill Sans"/>
          <w:i/>
        </w:rPr>
        <w:t>substance</w:t>
      </w:r>
      <w:r>
        <w:rPr>
          <w:rFonts w:cs="Gill Sans"/>
          <w:i/>
        </w:rPr>
        <w:t>s</w:t>
      </w:r>
      <w:r w:rsidRPr="00A4724F">
        <w:rPr>
          <w:rFonts w:cs="Gill Sans"/>
          <w:i/>
        </w:rPr>
        <w:t xml:space="preserve"> and the substrata-bundle theory debate</w:t>
      </w:r>
    </w:p>
    <w:p w14:paraId="158E52E0" w14:textId="63C8C0C6" w:rsidR="003C54F9" w:rsidRDefault="00A4724F">
      <w:pPr>
        <w:rPr>
          <w:rFonts w:cs="Gill Sans"/>
        </w:rPr>
      </w:pPr>
      <w:r>
        <w:rPr>
          <w:rFonts w:cs="Gill Sans"/>
        </w:rPr>
        <w:t xml:space="preserve">(i) The </w:t>
      </w:r>
      <w:r w:rsidRPr="00A4724F">
        <w:rPr>
          <w:rFonts w:cs="Gill Sans"/>
          <w:i/>
        </w:rPr>
        <w:t>substratum</w:t>
      </w:r>
      <w:r>
        <w:rPr>
          <w:rFonts w:cs="Gill Sans"/>
        </w:rPr>
        <w:t xml:space="preserve"> theorist is correct that properties must be possessed by things, and that substance itself cannot be identified with a property or a collection of properties.</w:t>
      </w:r>
    </w:p>
    <w:p w14:paraId="2D7B0703" w14:textId="2B8A3EA8" w:rsidR="00A4724F" w:rsidRDefault="00A4724F">
      <w:pPr>
        <w:rPr>
          <w:rFonts w:cs="Gill Sans"/>
        </w:rPr>
      </w:pPr>
      <w:r>
        <w:rPr>
          <w:rFonts w:cs="Gill Sans"/>
        </w:rPr>
        <w:t xml:space="preserve">(ii) But the substratum theorist is mistaken in taking it to be the case that substances can be understood completely independent of any attributes that they possess, and that substances are, </w:t>
      </w:r>
      <w:r w:rsidR="00104CEE">
        <w:rPr>
          <w:rFonts w:cs="Gill Sans"/>
        </w:rPr>
        <w:t xml:space="preserve">considered </w:t>
      </w:r>
      <w:r>
        <w:rPr>
          <w:rFonts w:cs="Gill Sans"/>
        </w:rPr>
        <w:t>in themselves, featur</w:t>
      </w:r>
      <w:r w:rsidR="00104CEE">
        <w:rPr>
          <w:rFonts w:cs="Gill Sans"/>
        </w:rPr>
        <w:t>eless or characterless entities (things which don’t possess any properties essentially).</w:t>
      </w:r>
    </w:p>
    <w:p w14:paraId="0B33E241" w14:textId="6B85F872" w:rsidR="00A4724F" w:rsidRDefault="00A4724F">
      <w:pPr>
        <w:rPr>
          <w:rFonts w:cs="Gill Sans"/>
        </w:rPr>
      </w:pPr>
      <w:r>
        <w:rPr>
          <w:rFonts w:cs="Gill Sans"/>
        </w:rPr>
        <w:t>(iii) Substances are familiar objects like cats and human beings. These things possess such properties as being a cat or being a human being, in falling under the relevant natural kinds. It is essential to each of these things that they have such properties.</w:t>
      </w:r>
    </w:p>
    <w:p w14:paraId="39ED9BFC" w14:textId="1D527BD3" w:rsidR="00A4724F" w:rsidRDefault="00A4724F">
      <w:pPr>
        <w:rPr>
          <w:rFonts w:cs="Gill Sans"/>
        </w:rPr>
      </w:pPr>
      <w:r>
        <w:rPr>
          <w:rFonts w:cs="Gill Sans"/>
        </w:rPr>
        <w:t xml:space="preserve">(iv) Because substances are these familiar objects, the Aristotelian substance theorist will think that there is no more difficulty in knowing such </w:t>
      </w:r>
      <w:r w:rsidR="00104CEE">
        <w:rPr>
          <w:rFonts w:cs="Gill Sans"/>
        </w:rPr>
        <w:t>substances</w:t>
      </w:r>
      <w:r>
        <w:rPr>
          <w:rFonts w:cs="Gill Sans"/>
        </w:rPr>
        <w:t xml:space="preserve"> as there is in knowing familiar concrete particulars.</w:t>
      </w:r>
    </w:p>
    <w:p w14:paraId="1A373AB3" w14:textId="01A79A14" w:rsidR="00104CEE" w:rsidRDefault="00104CEE">
      <w:pPr>
        <w:rPr>
          <w:rFonts w:cs="Gill Sans"/>
        </w:rPr>
      </w:pPr>
      <w:r>
        <w:rPr>
          <w:rFonts w:cs="Gill Sans"/>
        </w:rPr>
        <w:t>(v) The bundle theorist is correct that substance is not something bare, which lacks any properties essentially. But such theorists cannot account for the fact that a substance cannot be a mere collection of properties, and that it is possible for substances to persist through changes of property.</w:t>
      </w:r>
      <w:r w:rsidR="000A3879">
        <w:rPr>
          <w:rFonts w:cs="Gill Sans"/>
        </w:rPr>
        <w:t xml:space="preserve"> What explains the possibility of change is a persisting substance of a single natural kind.</w:t>
      </w:r>
    </w:p>
    <w:p w14:paraId="4C96E55E" w14:textId="779B6E9E" w:rsidR="002B2EC1" w:rsidRDefault="00104CEE">
      <w:pPr>
        <w:rPr>
          <w:rFonts w:cs="Gill Sans"/>
        </w:rPr>
      </w:pPr>
      <w:r>
        <w:rPr>
          <w:rFonts w:cs="Gill Sans"/>
        </w:rPr>
        <w:t>(vi) Crucial to the Aristotelian’s diagnosis of the failings of both of these views is the failure to appreciate the importance of a certain kind of predication of substance; that which answers the “What is it?” question, and the facts about kind membership and essence that are implicated by correct answers to this question.</w:t>
      </w:r>
    </w:p>
    <w:p w14:paraId="308DA17D" w14:textId="508775DF" w:rsidR="000A3879" w:rsidRDefault="000A3879">
      <w:pPr>
        <w:rPr>
          <w:rFonts w:cs="Gill Sans"/>
        </w:rPr>
      </w:pPr>
      <w:r>
        <w:rPr>
          <w:rFonts w:cs="Gill Sans"/>
        </w:rPr>
        <w:t xml:space="preserve">(vii) What has been offered is an Aristotelian framework for responding to a problem about substance. The success of the approach depends on detailed workings through of the idea. </w:t>
      </w:r>
    </w:p>
    <w:p w14:paraId="0F32044C" w14:textId="77777777" w:rsidR="000936EA" w:rsidRDefault="000936EA">
      <w:pPr>
        <w:rPr>
          <w:rFonts w:cs="Gill Sans"/>
        </w:rPr>
      </w:pPr>
    </w:p>
    <w:p w14:paraId="34CBC9B2" w14:textId="3BC538A5" w:rsidR="00A4724F" w:rsidRDefault="00A4724F">
      <w:pPr>
        <w:rPr>
          <w:rFonts w:cs="Gill Sans"/>
        </w:rPr>
      </w:pPr>
      <w:r>
        <w:rPr>
          <w:rFonts w:cs="Gill Sans"/>
        </w:rPr>
        <w:t xml:space="preserve">5. </w:t>
      </w:r>
      <w:r w:rsidR="00104CEE" w:rsidRPr="00814B3D">
        <w:rPr>
          <w:rFonts w:cs="Gill Sans"/>
          <w:i/>
        </w:rPr>
        <w:t xml:space="preserve">Wiggins (2001) </w:t>
      </w:r>
      <w:r w:rsidR="00F437BC" w:rsidRPr="00814B3D">
        <w:rPr>
          <w:rFonts w:cs="Gill Sans"/>
          <w:i/>
        </w:rPr>
        <w:t>on substance and i</w:t>
      </w:r>
      <w:r w:rsidR="000A3879" w:rsidRPr="00814B3D">
        <w:rPr>
          <w:rFonts w:cs="Gill Sans"/>
          <w:i/>
        </w:rPr>
        <w:t>dentity</w:t>
      </w:r>
    </w:p>
    <w:p w14:paraId="2A833D50" w14:textId="1C9BC618" w:rsidR="00DE523B" w:rsidRDefault="00F437BC">
      <w:pPr>
        <w:rPr>
          <w:rFonts w:cs="Gill Sans"/>
        </w:rPr>
      </w:pPr>
      <w:r>
        <w:rPr>
          <w:rFonts w:cs="Gill Sans"/>
        </w:rPr>
        <w:t xml:space="preserve">5.1 </w:t>
      </w:r>
      <w:r w:rsidR="00DE523B" w:rsidRPr="00814B3D">
        <w:rPr>
          <w:rFonts w:cs="Gill Sans"/>
          <w:i/>
        </w:rPr>
        <w:t>Aristotelian background</w:t>
      </w:r>
    </w:p>
    <w:p w14:paraId="0E134F33" w14:textId="36F03AE8" w:rsidR="009141BD" w:rsidRDefault="00DE523B">
      <w:pPr>
        <w:rPr>
          <w:rFonts w:cs="Gill Sans"/>
        </w:rPr>
      </w:pPr>
      <w:r>
        <w:rPr>
          <w:rFonts w:cs="Gill Sans"/>
        </w:rPr>
        <w:t>(i) We can better understand substance by focusing on the conditions for individuation or singling out an object (the context of the ‘What is it?’ question).</w:t>
      </w:r>
    </w:p>
    <w:p w14:paraId="1BA22849" w14:textId="4A8C4914" w:rsidR="00DE523B" w:rsidRDefault="00DE523B">
      <w:pPr>
        <w:rPr>
          <w:rFonts w:cs="Gill Sans"/>
        </w:rPr>
      </w:pPr>
      <w:r>
        <w:rPr>
          <w:rFonts w:cs="Gill Sans"/>
        </w:rPr>
        <w:t>(ii) These conditions on singling out an object will take us to the idea of a kind of thing, a kind that makes it determinate what it is for something to be identical over an interval of time.</w:t>
      </w:r>
      <w:r w:rsidR="00F437BC">
        <w:rPr>
          <w:rFonts w:cs="Gill Sans"/>
        </w:rPr>
        <w:t xml:space="preserve"> This is a thesis he calls D: ‘Sortal Dependence’.</w:t>
      </w:r>
    </w:p>
    <w:p w14:paraId="3910AD93" w14:textId="0B642994" w:rsidR="00DE523B" w:rsidRDefault="00F437BC">
      <w:pPr>
        <w:rPr>
          <w:rFonts w:cs="Gill Sans"/>
        </w:rPr>
      </w:pPr>
      <w:r>
        <w:rPr>
          <w:rFonts w:cs="Gill Sans"/>
        </w:rPr>
        <w:t xml:space="preserve">(iii) Wiggins proposes a distinctive thesis called the absoluteness of identity, and rejects a view (that some people confuse with D) called R: ‘The Relativity of Identity’. </w:t>
      </w:r>
    </w:p>
    <w:p w14:paraId="463481D0" w14:textId="77777777" w:rsidR="00DE523B" w:rsidRDefault="00DE523B">
      <w:pPr>
        <w:rPr>
          <w:rFonts w:cs="Gill Sans"/>
        </w:rPr>
      </w:pPr>
    </w:p>
    <w:p w14:paraId="726CAAFC" w14:textId="77777777" w:rsidR="00387B16" w:rsidRDefault="00387B16">
      <w:pPr>
        <w:rPr>
          <w:rFonts w:cs="Gill Sans"/>
        </w:rPr>
      </w:pPr>
    </w:p>
    <w:p w14:paraId="4DE88A78" w14:textId="77777777" w:rsidR="00387B16" w:rsidRDefault="00387B16">
      <w:pPr>
        <w:rPr>
          <w:rFonts w:cs="Gill Sans"/>
        </w:rPr>
      </w:pPr>
    </w:p>
    <w:p w14:paraId="0B927B4D" w14:textId="5E99EA67" w:rsidR="009141BD" w:rsidRPr="00814B3D" w:rsidRDefault="00F437BC">
      <w:pPr>
        <w:rPr>
          <w:rFonts w:cs="Gill Sans"/>
          <w:i/>
        </w:rPr>
      </w:pPr>
      <w:r>
        <w:rPr>
          <w:rFonts w:cs="Gill Sans"/>
        </w:rPr>
        <w:t xml:space="preserve">5.2 </w:t>
      </w:r>
      <w:r w:rsidR="009141BD" w:rsidRPr="00814B3D">
        <w:rPr>
          <w:rFonts w:cs="Gill Sans"/>
          <w:i/>
        </w:rPr>
        <w:t>D: Sortal Dependency</w:t>
      </w:r>
    </w:p>
    <w:p w14:paraId="0B9645C4" w14:textId="27D79EDB" w:rsidR="00381C3C" w:rsidRDefault="00381C3C">
      <w:pPr>
        <w:rPr>
          <w:rFonts w:cs="Gill Sans"/>
        </w:rPr>
      </w:pPr>
      <w:r>
        <w:rPr>
          <w:rFonts w:cs="Gill Sans"/>
        </w:rPr>
        <w:t>(i) A sortal concept is the kind of concept that is expressed or referred to by a term used to give an answer to the “What is it?” question, as asked of some x. (For Wiggins (2001), concepts are universals (think of them as kinds), conceptions are the ideas we have of them).</w:t>
      </w:r>
    </w:p>
    <w:p w14:paraId="44C11464" w14:textId="3E38293A" w:rsidR="009141BD" w:rsidRDefault="009141BD">
      <w:pPr>
        <w:rPr>
          <w:rFonts w:cs="Gill Sans"/>
        </w:rPr>
      </w:pPr>
      <w:r>
        <w:rPr>
          <w:rFonts w:cs="Gill Sans"/>
        </w:rPr>
        <w:t xml:space="preserve">(ii) Wiggins </w:t>
      </w:r>
    </w:p>
    <w:p w14:paraId="15F5F839" w14:textId="0861604C" w:rsidR="00381C3C" w:rsidRDefault="00381C3C">
      <w:pPr>
        <w:rPr>
          <w:rFonts w:cs="Gill Sans"/>
        </w:rPr>
      </w:pPr>
      <w:r>
        <w:rPr>
          <w:rFonts w:cs="Gill Sans"/>
        </w:rPr>
        <w:t xml:space="preserve">‘If somebody claims of something named or unnamed that it moves, or runs or is white, he is liable to be asked the question by which Aristotle sought to define the category of substance: What is it that moves (or runs or is white)? Perhaps one who makes the claim that something moves does not need to know the answer to this question in order to enter his claim. It is not hard to envisage circumstances in which he can know that it moves without knowing what the thing is. Yet it seems certain… that, for each thing that satisfies a predicate such as ‘moves’, ‘runs’ or ‘white’, there must exist some known or unknown, named or nameable, kind to which the item belongs and by reference which the ‘what is it’ question could be answered. Everything that exists is a </w:t>
      </w:r>
      <w:r w:rsidRPr="00381C3C">
        <w:rPr>
          <w:rFonts w:cs="Gill Sans"/>
          <w:i/>
        </w:rPr>
        <w:t>this such</w:t>
      </w:r>
      <w:r>
        <w:rPr>
          <w:rFonts w:cs="Gill Sans"/>
        </w:rPr>
        <w:t xml:space="preserve">. Where someone </w:t>
      </w:r>
      <w:r w:rsidRPr="00D21936">
        <w:rPr>
          <w:rFonts w:cs="Gill Sans"/>
          <w:i/>
        </w:rPr>
        <w:t>fully</w:t>
      </w:r>
      <w:r>
        <w:rPr>
          <w:rFonts w:cs="Gill Sans"/>
        </w:rPr>
        <w:t xml:space="preserve"> understands what he is judging when he says that this, that or the other thing moves, or runs or is white, he will know what the thing in question is.</w:t>
      </w:r>
    </w:p>
    <w:p w14:paraId="6CF183FD" w14:textId="1B2EC229" w:rsidR="00381C3C" w:rsidRDefault="00381C3C">
      <w:pPr>
        <w:rPr>
          <w:rFonts w:cs="Gill Sans"/>
        </w:rPr>
      </w:pPr>
      <w:r>
        <w:rPr>
          <w:rFonts w:cs="Gill Sans"/>
        </w:rPr>
        <w:t xml:space="preserve">Secondly, if someone reports </w:t>
      </w:r>
      <w:r w:rsidR="00D21936">
        <w:rPr>
          <w:rFonts w:cs="Gill Sans"/>
        </w:rPr>
        <w:t xml:space="preserve">further that the thing that runs is the same as the thing that is white, then his judgement cannot be true unless at least two conditions are satisfied. These conditions are that the thing that runs should be </w:t>
      </w:r>
      <w:r w:rsidR="00D21936" w:rsidRPr="00D21936">
        <w:rPr>
          <w:rFonts w:cs="Gill Sans"/>
          <w:i/>
        </w:rPr>
        <w:t>the same something or other</w:t>
      </w:r>
      <w:r w:rsidR="00D21936">
        <w:rPr>
          <w:rFonts w:cs="Gill Sans"/>
        </w:rPr>
        <w:t xml:space="preserve"> as the thing that is white (the same horse, say, or the same man or whatever) and that the something in question be correlative with or associated with a principle by which entities of a particular kind may be traced or kept track of and re-identified as one and the same.” (2000, p.21-2)</w:t>
      </w:r>
    </w:p>
    <w:p w14:paraId="757B6DC3" w14:textId="15E6A34A" w:rsidR="00D21936" w:rsidRDefault="00D21936">
      <w:pPr>
        <w:rPr>
          <w:rFonts w:cs="Gill Sans"/>
        </w:rPr>
      </w:pPr>
      <w:r>
        <w:rPr>
          <w:rFonts w:cs="Gill Sans"/>
        </w:rPr>
        <w:t xml:space="preserve">(ii) </w:t>
      </w:r>
      <w:r w:rsidR="002B2EC1">
        <w:rPr>
          <w:rFonts w:cs="Gill Sans"/>
        </w:rPr>
        <w:t>Thesis D</w:t>
      </w:r>
      <w:r w:rsidR="00F437BC">
        <w:rPr>
          <w:rFonts w:cs="Gill Sans"/>
        </w:rPr>
        <w:t xml:space="preserve"> (See (2001), chapter 2)</w:t>
      </w:r>
    </w:p>
    <w:p w14:paraId="7D0FEC64" w14:textId="05D81D40" w:rsidR="00D21936" w:rsidRDefault="003B4C20">
      <w:pPr>
        <w:rPr>
          <w:rFonts w:cs="Gill Sans"/>
        </w:rPr>
      </w:pPr>
      <w:r>
        <w:rPr>
          <w:rFonts w:cs="Gill Sans"/>
        </w:rPr>
        <w:t>(1</w:t>
      </w:r>
      <w:r w:rsidR="00D21936">
        <w:rPr>
          <w:rFonts w:cs="Gill Sans"/>
        </w:rPr>
        <w:t xml:space="preserve">) Anything that exists is a </w:t>
      </w:r>
      <w:r w:rsidR="00D21936" w:rsidRPr="00F437BC">
        <w:rPr>
          <w:rFonts w:cs="Gill Sans"/>
          <w:i/>
        </w:rPr>
        <w:t>this such</w:t>
      </w:r>
      <w:r w:rsidR="00D21936">
        <w:rPr>
          <w:rFonts w:cs="Gill Sans"/>
        </w:rPr>
        <w:t xml:space="preserve"> (there is a kind, known or unknown, under which this thing falls.</w:t>
      </w:r>
    </w:p>
    <w:p w14:paraId="58CC1AB4" w14:textId="07B73F5C" w:rsidR="00D21936" w:rsidRDefault="003B4C20" w:rsidP="003B4C20">
      <w:pPr>
        <w:rPr>
          <w:rFonts w:cs="Gill Sans"/>
        </w:rPr>
      </w:pPr>
      <w:r>
        <w:rPr>
          <w:rFonts w:cs="Gill Sans"/>
        </w:rPr>
        <w:t>(2) x = y iff:</w:t>
      </w:r>
    </w:p>
    <w:p w14:paraId="7E34852F" w14:textId="32918CEA" w:rsidR="00D21936" w:rsidRDefault="003B4C20">
      <w:pPr>
        <w:rPr>
          <w:rFonts w:cs="Gill Sans"/>
        </w:rPr>
      </w:pPr>
      <w:r>
        <w:rPr>
          <w:rFonts w:cs="Gill Sans"/>
        </w:rPr>
        <w:t>(a</w:t>
      </w:r>
      <w:r w:rsidR="00D21936">
        <w:rPr>
          <w:rFonts w:cs="Gill Sans"/>
        </w:rPr>
        <w:t xml:space="preserve">) </w:t>
      </w:r>
      <w:r>
        <w:rPr>
          <w:rFonts w:cs="Gill Sans"/>
        </w:rPr>
        <w:t>x and y fall under f</w:t>
      </w:r>
    </w:p>
    <w:p w14:paraId="00FE305A" w14:textId="5D5B17BD" w:rsidR="003B4C20" w:rsidRDefault="003B4C20">
      <w:pPr>
        <w:rPr>
          <w:rFonts w:cs="Gill Sans"/>
        </w:rPr>
      </w:pPr>
      <w:r>
        <w:rPr>
          <w:rFonts w:cs="Gill Sans"/>
        </w:rPr>
        <w:t>(b) to say that x fall</w:t>
      </w:r>
      <w:r w:rsidR="00F437BC">
        <w:rPr>
          <w:rFonts w:cs="Gill Sans"/>
        </w:rPr>
        <w:t>s</w:t>
      </w:r>
      <w:r>
        <w:rPr>
          <w:rFonts w:cs="Gill Sans"/>
        </w:rPr>
        <w:t xml:space="preserve"> under f is to say what x is</w:t>
      </w:r>
    </w:p>
    <w:p w14:paraId="6239906C" w14:textId="1AD070FC" w:rsidR="0089790F" w:rsidRDefault="00D21936">
      <w:pPr>
        <w:rPr>
          <w:rFonts w:cs="Gill Sans"/>
        </w:rPr>
      </w:pPr>
      <w:r>
        <w:rPr>
          <w:rFonts w:cs="Gill Sans"/>
        </w:rPr>
        <w:t xml:space="preserve">(c) The kind under which </w:t>
      </w:r>
      <w:r w:rsidR="00F437BC">
        <w:rPr>
          <w:rFonts w:cs="Gill Sans"/>
        </w:rPr>
        <w:t>x and y</w:t>
      </w:r>
      <w:r>
        <w:rPr>
          <w:rFonts w:cs="Gill Sans"/>
        </w:rPr>
        <w:t xml:space="preserve"> fall is associated with criterion of identity for things of that particular kind (something that provides information about what is required for things of that to be the same thing, and a grasp of which allows for things of that kind to be tracked or re-identified.)</w:t>
      </w:r>
      <w:r w:rsidR="0089790F">
        <w:rPr>
          <w:rFonts w:cs="Gill Sans"/>
        </w:rPr>
        <w:t xml:space="preserve"> and </w:t>
      </w:r>
    </w:p>
    <w:p w14:paraId="09FDB4A0" w14:textId="7AC97E52" w:rsidR="00D21936" w:rsidRDefault="0089790F">
      <w:pPr>
        <w:rPr>
          <w:rFonts w:cs="Gill Sans"/>
        </w:rPr>
      </w:pPr>
      <w:r>
        <w:rPr>
          <w:rFonts w:cs="Gill Sans"/>
        </w:rPr>
        <w:t xml:space="preserve">(d) </w:t>
      </w:r>
      <w:r w:rsidR="00F437BC">
        <w:rPr>
          <w:rFonts w:cs="Gill Sans"/>
        </w:rPr>
        <w:t>x is the same f as y, that is to say, x coincides with y under the criterion of identity for f things</w:t>
      </w:r>
      <w:r>
        <w:rPr>
          <w:rFonts w:cs="Gill Sans"/>
        </w:rPr>
        <w:t xml:space="preserve"> (according to the criterion of identity for fs) </w:t>
      </w:r>
    </w:p>
    <w:p w14:paraId="1F0018C3" w14:textId="1E742A2B" w:rsidR="00F437BC" w:rsidRDefault="00F437BC">
      <w:pPr>
        <w:rPr>
          <w:rFonts w:cs="Gill Sans"/>
        </w:rPr>
      </w:pPr>
      <w:r>
        <w:rPr>
          <w:rFonts w:cs="Gill Sans"/>
        </w:rPr>
        <w:t>(3) For any x, there is a single sortal concept f that x falls under at each and every time at which it exists. (If you have a substance, there is a single kind that it exemplifies at all times, that subsumes all others. This is that which provides a ‘fundamental identification’ of that substance.</w:t>
      </w:r>
    </w:p>
    <w:p w14:paraId="56680016" w14:textId="77777777" w:rsidR="00381C3C" w:rsidRDefault="00381C3C">
      <w:pPr>
        <w:rPr>
          <w:rFonts w:cs="Gill Sans"/>
        </w:rPr>
      </w:pPr>
    </w:p>
    <w:p w14:paraId="0C0E4D60" w14:textId="5A257BD7" w:rsidR="00814B3D" w:rsidRDefault="00814B3D">
      <w:pPr>
        <w:rPr>
          <w:rFonts w:cs="Gill Sans"/>
          <w:i/>
        </w:rPr>
      </w:pPr>
      <w:r>
        <w:rPr>
          <w:rFonts w:cs="Gill Sans"/>
        </w:rPr>
        <w:t xml:space="preserve">5.3 </w:t>
      </w:r>
      <w:r>
        <w:rPr>
          <w:rFonts w:cs="Gill Sans"/>
          <w:i/>
        </w:rPr>
        <w:t>Identity as Absolute and t</w:t>
      </w:r>
      <w:r w:rsidRPr="00814B3D">
        <w:rPr>
          <w:rFonts w:cs="Gill Sans"/>
          <w:i/>
        </w:rPr>
        <w:t xml:space="preserve">he rejection of </w:t>
      </w:r>
      <w:r w:rsidR="009141BD" w:rsidRPr="00814B3D">
        <w:rPr>
          <w:rFonts w:cs="Gill Sans"/>
          <w:i/>
        </w:rPr>
        <w:t>Thesis R: The Relativity of Identity</w:t>
      </w:r>
    </w:p>
    <w:p w14:paraId="6B0CC596" w14:textId="77777777" w:rsidR="00814B3D" w:rsidRPr="00814B3D" w:rsidRDefault="00814B3D">
      <w:pPr>
        <w:rPr>
          <w:rFonts w:cs="Gill Sans"/>
          <w:i/>
        </w:rPr>
      </w:pPr>
    </w:p>
    <w:p w14:paraId="3AF2D7C4" w14:textId="0D7D5B85" w:rsidR="009141BD" w:rsidRDefault="009141BD">
      <w:pPr>
        <w:rPr>
          <w:rFonts w:cs="Gill Sans"/>
        </w:rPr>
      </w:pPr>
      <w:r>
        <w:rPr>
          <w:rFonts w:cs="Gill Sans"/>
        </w:rPr>
        <w:t>‘The universally accessible question to which these locutions naturally give rise is whether a can be the same f as b without being the same g as b. Better and more precisely, the question is whether a can be the same f as b, and not the same g as b, even where a or b is itself a g.’ (2000, 22)</w:t>
      </w:r>
    </w:p>
    <w:p w14:paraId="13B06927" w14:textId="77777777" w:rsidR="00814B3D" w:rsidRDefault="00814B3D">
      <w:pPr>
        <w:rPr>
          <w:rFonts w:cs="Gill Sans"/>
        </w:rPr>
      </w:pPr>
    </w:p>
    <w:p w14:paraId="64050D91" w14:textId="6F75C26B" w:rsidR="00814B3D" w:rsidRDefault="00814B3D">
      <w:pPr>
        <w:rPr>
          <w:rFonts w:cs="Gill Sans"/>
        </w:rPr>
      </w:pPr>
      <w:r>
        <w:rPr>
          <w:rFonts w:cs="Gill Sans"/>
        </w:rPr>
        <w:t>Absoluteness of identity: If a is the same f as b, and a (or b) is a g, then a is the same g as b. (For example if x is the same man as y and a is an animal then a is the same animal as y.)</w:t>
      </w:r>
    </w:p>
    <w:p w14:paraId="71BEAE65" w14:textId="77777777" w:rsidR="00814B3D" w:rsidRDefault="00814B3D">
      <w:pPr>
        <w:rPr>
          <w:rFonts w:cs="Gill Sans"/>
        </w:rPr>
      </w:pPr>
    </w:p>
    <w:p w14:paraId="383ACA4D" w14:textId="1D2CAA33" w:rsidR="009141BD" w:rsidRDefault="009141BD">
      <w:pPr>
        <w:rPr>
          <w:rFonts w:cs="Gill Sans"/>
        </w:rPr>
      </w:pPr>
      <w:r w:rsidRPr="009A74F1">
        <w:rPr>
          <w:rFonts w:cs="Gill Sans"/>
          <w:b/>
        </w:rPr>
        <w:t>R</w:t>
      </w:r>
      <w:r>
        <w:rPr>
          <w:rFonts w:cs="Gill Sans"/>
        </w:rPr>
        <w:t>: It is possible that a is the same f as b, but not the same g as b, even though a or b is a g.</w:t>
      </w:r>
    </w:p>
    <w:p w14:paraId="408AB723" w14:textId="3DD3D112" w:rsidR="00870363" w:rsidRDefault="009141BD">
      <w:pPr>
        <w:rPr>
          <w:rFonts w:cs="Gill Sans"/>
        </w:rPr>
      </w:pPr>
      <w:r>
        <w:rPr>
          <w:rFonts w:cs="Gill Sans"/>
        </w:rPr>
        <w:t>(i) W</w:t>
      </w:r>
      <w:r w:rsidR="00870363">
        <w:rPr>
          <w:rFonts w:cs="Gill Sans"/>
        </w:rPr>
        <w:t>iggins (2000), ch. 1 opposes R. His argument works by taking ‘a is the same F as b’ to inherit features of the identity statement ‘x=y’ and following through the consequences.</w:t>
      </w:r>
    </w:p>
    <w:p w14:paraId="02087795" w14:textId="4DDD89A9" w:rsidR="00870363" w:rsidRDefault="00870363">
      <w:pPr>
        <w:rPr>
          <w:rFonts w:cs="Gill Sans"/>
        </w:rPr>
      </w:pPr>
      <w:r>
        <w:rPr>
          <w:rFonts w:cs="Gill Sans"/>
        </w:rPr>
        <w:t>(ii) Two assumptions</w:t>
      </w:r>
    </w:p>
    <w:p w14:paraId="19E05304" w14:textId="723475B0" w:rsidR="00870363" w:rsidRDefault="00870363">
      <w:pPr>
        <w:rPr>
          <w:rFonts w:cs="Gill Sans"/>
        </w:rPr>
      </w:pPr>
      <w:r>
        <w:rPr>
          <w:rFonts w:cs="Gill Sans"/>
        </w:rPr>
        <w:t>(a) Everything that is F is the same F as itself. (This is the counterpart of x is self-identical)</w:t>
      </w:r>
    </w:p>
    <w:p w14:paraId="46F6F4A2" w14:textId="6193CB42" w:rsidR="00870363" w:rsidRDefault="00870363">
      <w:pPr>
        <w:rPr>
          <w:rFonts w:cs="Gill Sans"/>
        </w:rPr>
      </w:pPr>
      <w:r>
        <w:rPr>
          <w:rFonts w:cs="Gill Sans"/>
        </w:rPr>
        <w:t>(b) If x is the same F as y then whatever is true of x is true of y  (The counterpart of LL)</w:t>
      </w:r>
    </w:p>
    <w:p w14:paraId="31DBB023" w14:textId="459B2DCD" w:rsidR="00E805B5" w:rsidRDefault="00E805B5">
      <w:pPr>
        <w:rPr>
          <w:rFonts w:cs="Gill Sans"/>
        </w:rPr>
      </w:pPr>
      <w:r>
        <w:rPr>
          <w:rFonts w:cs="Gill Sans"/>
        </w:rPr>
        <w:t>(iii) R says that the following is possible:</w:t>
      </w:r>
    </w:p>
    <w:p w14:paraId="54010149" w14:textId="48925706" w:rsidR="00E805B5" w:rsidRDefault="00E805B5">
      <w:pPr>
        <w:rPr>
          <w:rFonts w:cs="Gill Sans"/>
        </w:rPr>
      </w:pPr>
      <w:r>
        <w:rPr>
          <w:rFonts w:cs="Gill Sans"/>
        </w:rPr>
        <w:t>a is the same F as b and a is not the same G as b but a is G</w:t>
      </w:r>
    </w:p>
    <w:p w14:paraId="031E9DA4" w14:textId="65D64CB3" w:rsidR="00E805B5" w:rsidRDefault="00E805B5">
      <w:pPr>
        <w:rPr>
          <w:rFonts w:cs="Gill Sans"/>
        </w:rPr>
      </w:pPr>
      <w:r>
        <w:rPr>
          <w:rFonts w:cs="Gill Sans"/>
        </w:rPr>
        <w:t xml:space="preserve">(iv) Step 1: </w:t>
      </w:r>
    </w:p>
    <w:p w14:paraId="31214EBC" w14:textId="3D9C85E1" w:rsidR="00E805B5" w:rsidRDefault="00E805B5">
      <w:pPr>
        <w:rPr>
          <w:rFonts w:cs="Gill Sans"/>
        </w:rPr>
      </w:pPr>
      <w:r>
        <w:rPr>
          <w:rFonts w:cs="Gill Sans"/>
        </w:rPr>
        <w:t>Suppose that a is the same F as b</w:t>
      </w:r>
    </w:p>
    <w:p w14:paraId="69495707" w14:textId="0BDA4E43" w:rsidR="00E805B5" w:rsidRDefault="00E805B5">
      <w:pPr>
        <w:rPr>
          <w:rFonts w:cs="Gill Sans"/>
        </w:rPr>
      </w:pPr>
      <w:r>
        <w:rPr>
          <w:rFonts w:cs="Gill Sans"/>
        </w:rPr>
        <w:t>(v) Step 2:</w:t>
      </w:r>
    </w:p>
    <w:p w14:paraId="38C8D684" w14:textId="4BA29619" w:rsidR="00E805B5" w:rsidRDefault="00E805B5">
      <w:pPr>
        <w:rPr>
          <w:rFonts w:cs="Gill Sans"/>
        </w:rPr>
      </w:pPr>
      <w:r>
        <w:rPr>
          <w:rFonts w:cs="Gill Sans"/>
        </w:rPr>
        <w:t>We know from assumption (b) that if a is the same F as b then whatever is true of a is true of b</w:t>
      </w:r>
    </w:p>
    <w:p w14:paraId="2E609E38" w14:textId="3D8BDDA1" w:rsidR="00E805B5" w:rsidRDefault="00E805B5">
      <w:pPr>
        <w:rPr>
          <w:rFonts w:cs="Gill Sans"/>
        </w:rPr>
      </w:pPr>
      <w:r>
        <w:rPr>
          <w:rFonts w:cs="Gill Sans"/>
        </w:rPr>
        <w:t>(vi) Step 3:</w:t>
      </w:r>
    </w:p>
    <w:p w14:paraId="37652010" w14:textId="16A2CFB8" w:rsidR="00E805B5" w:rsidRDefault="00E805B5">
      <w:pPr>
        <w:rPr>
          <w:rFonts w:cs="Gill Sans"/>
        </w:rPr>
      </w:pPr>
      <w:r>
        <w:rPr>
          <w:rFonts w:cs="Gill Sans"/>
        </w:rPr>
        <w:t xml:space="preserve">We know from the combination of assumption </w:t>
      </w:r>
      <w:r w:rsidR="00C413EC">
        <w:rPr>
          <w:rFonts w:cs="Gill Sans"/>
        </w:rPr>
        <w:t>(a) with the claim that a is g, that a is the same g as a. (If a is g</w:t>
      </w:r>
      <w:r>
        <w:rPr>
          <w:rFonts w:cs="Gill Sans"/>
        </w:rPr>
        <w:t xml:space="preserve"> then a must be the</w:t>
      </w:r>
      <w:r w:rsidR="00C413EC">
        <w:rPr>
          <w:rFonts w:cs="Gill Sans"/>
        </w:rPr>
        <w:t xml:space="preserve"> same g</w:t>
      </w:r>
      <w:r>
        <w:rPr>
          <w:rFonts w:cs="Gill Sans"/>
        </w:rPr>
        <w:t xml:space="preserve"> as itself).</w:t>
      </w:r>
    </w:p>
    <w:p w14:paraId="3C2F6141" w14:textId="26016E87" w:rsidR="00E805B5" w:rsidRDefault="00E805B5">
      <w:pPr>
        <w:rPr>
          <w:rFonts w:cs="Gill Sans"/>
        </w:rPr>
      </w:pPr>
      <w:r>
        <w:rPr>
          <w:rFonts w:cs="Gill Sans"/>
        </w:rPr>
        <w:t>(vii) Step 4:</w:t>
      </w:r>
    </w:p>
    <w:p w14:paraId="2F5D23D5" w14:textId="5EE27825" w:rsidR="00C413EC" w:rsidRDefault="00C413EC">
      <w:pPr>
        <w:rPr>
          <w:rFonts w:cs="Gill Sans"/>
        </w:rPr>
      </w:pPr>
      <w:r>
        <w:rPr>
          <w:rFonts w:cs="Gill Sans"/>
        </w:rPr>
        <w:t>But now take ‘is the same g as a’. This is true of a.</w:t>
      </w:r>
    </w:p>
    <w:p w14:paraId="35FD3E49" w14:textId="6DCD40BC" w:rsidR="00C413EC" w:rsidRDefault="00C413EC">
      <w:pPr>
        <w:rPr>
          <w:rFonts w:cs="Gill Sans"/>
        </w:rPr>
      </w:pPr>
      <w:r>
        <w:rPr>
          <w:rFonts w:cs="Gill Sans"/>
        </w:rPr>
        <w:t>So, if a is the same f as b then a is the same g as a iff a is the same g as b</w:t>
      </w:r>
    </w:p>
    <w:p w14:paraId="586507FF" w14:textId="45AF61E3" w:rsidR="00C413EC" w:rsidRDefault="00C413EC">
      <w:pPr>
        <w:rPr>
          <w:rFonts w:cs="Gill Sans"/>
        </w:rPr>
      </w:pPr>
      <w:r>
        <w:rPr>
          <w:rFonts w:cs="Gill Sans"/>
        </w:rPr>
        <w:t>(viii) Step 5:</w:t>
      </w:r>
    </w:p>
    <w:p w14:paraId="15D211F9" w14:textId="4A2D99BD" w:rsidR="009141BD" w:rsidRDefault="00C413EC">
      <w:pPr>
        <w:rPr>
          <w:rFonts w:cs="Gill Sans"/>
        </w:rPr>
      </w:pPr>
      <w:r>
        <w:rPr>
          <w:rFonts w:cs="Gill Sans"/>
        </w:rPr>
        <w:t>Because we have assumed that a is the same F as b and we have assumed that a is g, it follows that a is the same g as b.</w:t>
      </w:r>
    </w:p>
    <w:p w14:paraId="37084B02" w14:textId="52115D3D" w:rsidR="009141BD" w:rsidRDefault="00C413EC">
      <w:pPr>
        <w:rPr>
          <w:rFonts w:cs="Gill Sans"/>
        </w:rPr>
      </w:pPr>
      <w:r>
        <w:rPr>
          <w:rFonts w:cs="Gill Sans"/>
        </w:rPr>
        <w:t>So, what R says is possible is not possible.</w:t>
      </w:r>
    </w:p>
    <w:p w14:paraId="5432657D" w14:textId="77777777" w:rsidR="009141BD" w:rsidRDefault="009141BD">
      <w:pPr>
        <w:rPr>
          <w:rFonts w:cs="Gill Sans"/>
        </w:rPr>
      </w:pPr>
    </w:p>
    <w:p w14:paraId="42D3BA3F" w14:textId="13D26E5A" w:rsidR="00104CEE" w:rsidRPr="003B4C20" w:rsidRDefault="003404D1">
      <w:pPr>
        <w:rPr>
          <w:rFonts w:cs="Gill Sans"/>
          <w:i/>
        </w:rPr>
      </w:pPr>
      <w:r>
        <w:rPr>
          <w:rFonts w:cs="Gill Sans"/>
        </w:rPr>
        <w:t>6</w:t>
      </w:r>
      <w:r w:rsidR="00BD7F68">
        <w:rPr>
          <w:rFonts w:cs="Gill Sans"/>
        </w:rPr>
        <w:t xml:space="preserve">. </w:t>
      </w:r>
      <w:r>
        <w:rPr>
          <w:rFonts w:cs="Gill Sans"/>
          <w:i/>
        </w:rPr>
        <w:t>Is Wiggins’s rejection of R correct?</w:t>
      </w:r>
    </w:p>
    <w:p w14:paraId="020C863A" w14:textId="0D1D99D2" w:rsidR="00315C5E" w:rsidRDefault="00315C5E">
      <w:pPr>
        <w:rPr>
          <w:rFonts w:cs="Gill Sans"/>
        </w:rPr>
      </w:pPr>
      <w:r>
        <w:rPr>
          <w:rFonts w:cs="Gill Sans"/>
        </w:rPr>
        <w:t>Wigg</w:t>
      </w:r>
      <w:r w:rsidR="003404D1">
        <w:rPr>
          <w:rFonts w:cs="Gill Sans"/>
        </w:rPr>
        <w:t>ins (2001) considers a number of potential worries for his rejection of R.</w:t>
      </w:r>
    </w:p>
    <w:p w14:paraId="752073C7" w14:textId="77777777" w:rsidR="00CD1756" w:rsidRDefault="00CD1756">
      <w:pPr>
        <w:rPr>
          <w:rFonts w:cs="Gill Sans"/>
        </w:rPr>
      </w:pPr>
    </w:p>
    <w:p w14:paraId="79069D9D" w14:textId="6D3D5464" w:rsidR="00CD1756" w:rsidRDefault="00CD1756">
      <w:pPr>
        <w:rPr>
          <w:rFonts w:cs="Gill Sans"/>
        </w:rPr>
      </w:pPr>
      <w:r>
        <w:rPr>
          <w:rFonts w:cs="Gill Sans"/>
        </w:rPr>
        <w:t>(1) John Doe/The Lord Mayor</w:t>
      </w:r>
    </w:p>
    <w:p w14:paraId="0DD987D9" w14:textId="3251F084" w:rsidR="00CD1756" w:rsidRDefault="00CD1756">
      <w:pPr>
        <w:rPr>
          <w:rFonts w:cs="Gill Sans"/>
        </w:rPr>
      </w:pPr>
      <w:r>
        <w:rPr>
          <w:rFonts w:cs="Gill Sans"/>
        </w:rPr>
        <w:t xml:space="preserve">(i) John Doe </w:t>
      </w:r>
      <w:r w:rsidRPr="00CD1756">
        <w:rPr>
          <w:rFonts w:cs="Gill Sans"/>
          <w:i/>
        </w:rPr>
        <w:t>is the same human being as</w:t>
      </w:r>
      <w:r>
        <w:rPr>
          <w:rFonts w:cs="Gill Sans"/>
        </w:rPr>
        <w:t xml:space="preserve"> Sir John Doe, the Lord Mayor of London but </w:t>
      </w:r>
      <w:r w:rsidRPr="00CD1756">
        <w:rPr>
          <w:rFonts w:cs="Gill Sans"/>
          <w:i/>
        </w:rPr>
        <w:t>not the same boy as</w:t>
      </w:r>
      <w:r>
        <w:rPr>
          <w:rFonts w:cs="Gill Sans"/>
        </w:rPr>
        <w:t xml:space="preserve"> Sir John Doe, and he is </w:t>
      </w:r>
      <w:r w:rsidRPr="00CD1756">
        <w:rPr>
          <w:rFonts w:cs="Gill Sans"/>
          <w:i/>
        </w:rPr>
        <w:t>not the same mayor/ex-cabinet minister/father of five marriageable daughters</w:t>
      </w:r>
      <w:r>
        <w:rPr>
          <w:rFonts w:cs="Gill Sans"/>
        </w:rPr>
        <w:t>.</w:t>
      </w:r>
    </w:p>
    <w:p w14:paraId="31C23DD6" w14:textId="77777777" w:rsidR="002B2EC1" w:rsidRDefault="00CD1756">
      <w:pPr>
        <w:rPr>
          <w:rFonts w:cs="Gill Sans"/>
        </w:rPr>
      </w:pPr>
      <w:r>
        <w:rPr>
          <w:rFonts w:cs="Gill Sans"/>
        </w:rPr>
        <w:t>(ii) But human being, boy, mayor, etc. are all sortal terms (acceptable answers t</w:t>
      </w:r>
      <w:r w:rsidR="002B2EC1">
        <w:rPr>
          <w:rFonts w:cs="Gill Sans"/>
        </w:rPr>
        <w:t xml:space="preserve">o the ‘What is it?’ question), </w:t>
      </w:r>
    </w:p>
    <w:p w14:paraId="794441AB" w14:textId="7FF8BB65" w:rsidR="00CD1756" w:rsidRDefault="002B2EC1">
      <w:pPr>
        <w:rPr>
          <w:rFonts w:cs="Gill Sans"/>
        </w:rPr>
      </w:pPr>
      <w:r>
        <w:rPr>
          <w:rFonts w:cs="Gill Sans"/>
        </w:rPr>
        <w:t>(iii) S</w:t>
      </w:r>
      <w:r w:rsidR="00CD1756">
        <w:rPr>
          <w:rFonts w:cs="Gill Sans"/>
        </w:rPr>
        <w:t xml:space="preserve">o R </w:t>
      </w:r>
      <w:r>
        <w:rPr>
          <w:rFonts w:cs="Gill Sans"/>
        </w:rPr>
        <w:t>is</w:t>
      </w:r>
      <w:r w:rsidR="00CD1756">
        <w:rPr>
          <w:rFonts w:cs="Gill Sans"/>
        </w:rPr>
        <w:t xml:space="preserve"> true.</w:t>
      </w:r>
    </w:p>
    <w:p w14:paraId="246B3738" w14:textId="0D8B8611" w:rsidR="00CD1756" w:rsidRDefault="00CD1756">
      <w:pPr>
        <w:rPr>
          <w:rFonts w:cs="Gill Sans"/>
        </w:rPr>
      </w:pPr>
      <w:r>
        <w:rPr>
          <w:rFonts w:cs="Gill Sans"/>
        </w:rPr>
        <w:t>Replies:</w:t>
      </w:r>
    </w:p>
    <w:p w14:paraId="157B31A0" w14:textId="68AB0EFA" w:rsidR="002B2EC1" w:rsidRDefault="002B2EC1" w:rsidP="001A35B2">
      <w:pPr>
        <w:rPr>
          <w:rFonts w:cs="Gill Sans"/>
        </w:rPr>
      </w:pPr>
      <w:r>
        <w:rPr>
          <w:rFonts w:cs="Gill Sans"/>
        </w:rPr>
        <w:t>(a</w:t>
      </w:r>
      <w:r w:rsidR="00C56316">
        <w:rPr>
          <w:rFonts w:cs="Gill Sans"/>
        </w:rPr>
        <w:t xml:space="preserve">) </w:t>
      </w:r>
      <w:r w:rsidR="00A538F8">
        <w:rPr>
          <w:rFonts w:cs="Gill Sans"/>
        </w:rPr>
        <w:t xml:space="preserve">(i) </w:t>
      </w:r>
      <w:r>
        <w:rPr>
          <w:rFonts w:cs="Gill Sans"/>
        </w:rPr>
        <w:t>Wiggins argues that t</w:t>
      </w:r>
      <w:r w:rsidR="001A35B2">
        <w:rPr>
          <w:rFonts w:cs="Gill Sans"/>
        </w:rPr>
        <w:t>he putative counterexample illuminates the fact that we need to be careful about considerations of tense when dealing with Leibniz’s law and when talking about identity.</w:t>
      </w:r>
    </w:p>
    <w:p w14:paraId="478281CC" w14:textId="3C37CAFB" w:rsidR="002B2EC1" w:rsidRDefault="002B2EC1" w:rsidP="002B2EC1">
      <w:pPr>
        <w:rPr>
          <w:rFonts w:cs="Gill Sans"/>
        </w:rPr>
      </w:pPr>
      <w:r>
        <w:rPr>
          <w:rFonts w:cs="Gill Sans"/>
        </w:rPr>
        <w:t>(ii) (Speaking about the mature human being late in life) Sir John Doe was the same boy as John Doe (was). (Even if he is not, at that later time, a boy).</w:t>
      </w:r>
    </w:p>
    <w:p w14:paraId="50558619" w14:textId="17088089" w:rsidR="002B2EC1" w:rsidRDefault="002B2EC1" w:rsidP="002B2EC1">
      <w:pPr>
        <w:rPr>
          <w:rFonts w:cs="Gill Sans"/>
        </w:rPr>
      </w:pPr>
      <w:r>
        <w:rPr>
          <w:rFonts w:cs="Gill Sans"/>
        </w:rPr>
        <w:t>(iii) (Speaking about the young man) John Doe will be the same mayor that Sir John Doe is/was (even if he was not, at that time, a mayor).</w:t>
      </w:r>
    </w:p>
    <w:p w14:paraId="532DBBFC" w14:textId="5017026B" w:rsidR="002B2EC1" w:rsidRDefault="002B2EC1" w:rsidP="002B2EC1">
      <w:pPr>
        <w:rPr>
          <w:rFonts w:cs="Gill Sans"/>
        </w:rPr>
      </w:pPr>
      <w:r>
        <w:rPr>
          <w:rFonts w:cs="Gill Sans"/>
        </w:rPr>
        <w:t>(iv) Therefore we do not have a case in which John Doe is the same human being and is not the same boy or mayor as Sir John Doe. (If supposed to be tenseless construal then is the same f as needs to be understood as was, is, or will be. But this is also true)</w:t>
      </w:r>
    </w:p>
    <w:p w14:paraId="166E8DD5" w14:textId="77777777" w:rsidR="002B2EC1" w:rsidRDefault="002B2EC1" w:rsidP="002B2EC1">
      <w:pPr>
        <w:rPr>
          <w:rFonts w:cs="Gill Sans"/>
        </w:rPr>
      </w:pPr>
    </w:p>
    <w:p w14:paraId="24935E43" w14:textId="1A620383" w:rsidR="001A35B2" w:rsidRDefault="002B2EC1" w:rsidP="001A35B2">
      <w:pPr>
        <w:rPr>
          <w:rFonts w:cs="Gill Sans"/>
        </w:rPr>
      </w:pPr>
      <w:r>
        <w:rPr>
          <w:rFonts w:cs="Gill Sans"/>
        </w:rPr>
        <w:t xml:space="preserve">(b) </w:t>
      </w:r>
      <w:r w:rsidR="00A538F8">
        <w:rPr>
          <w:rFonts w:cs="Gill Sans"/>
        </w:rPr>
        <w:t xml:space="preserve">(i) </w:t>
      </w:r>
      <w:r>
        <w:rPr>
          <w:rFonts w:cs="Gill Sans"/>
        </w:rPr>
        <w:t>Wiggins takes the case to be interesting and significant because it is reveals the category of a phased-sortal. A phased sortal is an answer to the ‘What is it?’ question that some particular object</w:t>
      </w:r>
      <w:r w:rsidR="00A538F8">
        <w:rPr>
          <w:rFonts w:cs="Gill Sans"/>
        </w:rPr>
        <w:t xml:space="preserve"> instantiates only temporarily (e.g. boy, baker, artist, pensioner)</w:t>
      </w:r>
    </w:p>
    <w:p w14:paraId="3BCB931D" w14:textId="2CEF7BE3" w:rsidR="00A538F8" w:rsidRDefault="00A538F8" w:rsidP="001A35B2">
      <w:pPr>
        <w:rPr>
          <w:rFonts w:cs="Gill Sans"/>
        </w:rPr>
      </w:pPr>
      <w:r>
        <w:rPr>
          <w:rFonts w:cs="Gill Sans"/>
        </w:rPr>
        <w:t>(ii) These sortal terms are all restrictions of some underlying sortal term that picks out a kind that the relevant entity falls under throughout its whole existence (in this case, human being). A boy is a young human being. A baker is a human being who bakes. An artist is a human being who produces works of art).</w:t>
      </w:r>
    </w:p>
    <w:p w14:paraId="5EBB5C3A" w14:textId="1DC9CACC" w:rsidR="00A538F8" w:rsidRDefault="00EE32D5" w:rsidP="001A35B2">
      <w:pPr>
        <w:rPr>
          <w:rFonts w:cs="Gill Sans"/>
        </w:rPr>
      </w:pPr>
      <w:r>
        <w:rPr>
          <w:rFonts w:cs="Gill Sans"/>
        </w:rPr>
        <w:t>(iii) It c</w:t>
      </w:r>
      <w:r w:rsidR="00A538F8">
        <w:rPr>
          <w:rFonts w:cs="Gill Sans"/>
        </w:rPr>
        <w:t>an’t be the case that x is the same boy as y without being the same human being</w:t>
      </w:r>
      <w:r w:rsidR="003404D1">
        <w:rPr>
          <w:rFonts w:cs="Gill Sans"/>
        </w:rPr>
        <w:t xml:space="preserve"> (because boy is a restriction of human being (a young male human being)</w:t>
      </w:r>
      <w:r w:rsidR="00A538F8">
        <w:rPr>
          <w:rFonts w:cs="Gill Sans"/>
        </w:rPr>
        <w:t>.</w:t>
      </w:r>
    </w:p>
    <w:p w14:paraId="123728DE" w14:textId="2A022F00" w:rsidR="00A538F8" w:rsidRDefault="00A538F8" w:rsidP="001A35B2">
      <w:pPr>
        <w:rPr>
          <w:rFonts w:cs="Gill Sans"/>
        </w:rPr>
      </w:pPr>
      <w:r>
        <w:rPr>
          <w:rFonts w:cs="Gill Sans"/>
        </w:rPr>
        <w:t>(iv) Given that the sameness of boy requires sameness of human being, it can’t be that one is (was, is, or will be) the same boy without being the same human being.</w:t>
      </w:r>
    </w:p>
    <w:p w14:paraId="4D6B38A9" w14:textId="77777777" w:rsidR="00104CEE" w:rsidRDefault="00104CEE">
      <w:pPr>
        <w:rPr>
          <w:rFonts w:cs="Gill Sans"/>
        </w:rPr>
      </w:pPr>
    </w:p>
    <w:p w14:paraId="01B40A51" w14:textId="2B6BA8F7" w:rsidR="00104CEE" w:rsidRDefault="002D6927">
      <w:pPr>
        <w:rPr>
          <w:rFonts w:cs="Gill Sans"/>
        </w:rPr>
      </w:pPr>
      <w:r>
        <w:rPr>
          <w:rFonts w:cs="Gill Sans"/>
        </w:rPr>
        <w:t>(2) Statue and Lump</w:t>
      </w:r>
    </w:p>
    <w:p w14:paraId="4A6BFA3C" w14:textId="485ED8A1" w:rsidR="002D6927" w:rsidRDefault="00D17B69">
      <w:pPr>
        <w:rPr>
          <w:rFonts w:cs="Gill Sans"/>
        </w:rPr>
      </w:pPr>
      <w:r>
        <w:rPr>
          <w:rFonts w:cs="Gill Sans"/>
        </w:rPr>
        <w:t>(i) The other objection that Wiggins (2001) addresses in chapter 1 is the problem of the statue and the piece of clay.</w:t>
      </w:r>
    </w:p>
    <w:p w14:paraId="362519E3" w14:textId="0508BB4A" w:rsidR="00D17B69" w:rsidRDefault="00D17B69">
      <w:pPr>
        <w:rPr>
          <w:rFonts w:cs="Gill Sans"/>
        </w:rPr>
      </w:pPr>
      <w:r>
        <w:rPr>
          <w:rFonts w:cs="Gill Sans"/>
        </w:rPr>
        <w:t>(ii) The proponent of the relativity of identity maintains that a is the same mass of matter or lump of clay as b but not the same statue.</w:t>
      </w:r>
    </w:p>
    <w:p w14:paraId="12D4B3F7" w14:textId="63EFE3C0" w:rsidR="00D17B69" w:rsidRDefault="00D17B69">
      <w:pPr>
        <w:rPr>
          <w:rFonts w:cs="Gill Sans"/>
        </w:rPr>
      </w:pPr>
      <w:r>
        <w:rPr>
          <w:rFonts w:cs="Gill Sans"/>
        </w:rPr>
        <w:t>(iii) Therefore R is correct.</w:t>
      </w:r>
    </w:p>
    <w:p w14:paraId="3B05ADF8" w14:textId="179E1B94" w:rsidR="00D17B69" w:rsidRPr="000A3879" w:rsidRDefault="00D17B69">
      <w:pPr>
        <w:rPr>
          <w:rFonts w:cs="Gill Sans"/>
          <w:i/>
        </w:rPr>
      </w:pPr>
      <w:r w:rsidRPr="000A3879">
        <w:rPr>
          <w:rFonts w:cs="Gill Sans"/>
          <w:i/>
        </w:rPr>
        <w:t>Reply</w:t>
      </w:r>
    </w:p>
    <w:p w14:paraId="65B3720D" w14:textId="3329C90F" w:rsidR="00D17B69" w:rsidRDefault="00D17B69">
      <w:pPr>
        <w:rPr>
          <w:rFonts w:cs="Gill Sans"/>
        </w:rPr>
      </w:pPr>
      <w:r>
        <w:rPr>
          <w:rFonts w:cs="Gill Sans"/>
        </w:rPr>
        <w:t xml:space="preserve">(i) We have discussed the kind of strategy that Wiggins adopts in response. The statue and the lump are </w:t>
      </w:r>
      <w:r w:rsidRPr="000A3879">
        <w:rPr>
          <w:rFonts w:cs="Gill Sans"/>
          <w:i/>
        </w:rPr>
        <w:t>distinct</w:t>
      </w:r>
      <w:r>
        <w:rPr>
          <w:rFonts w:cs="Gill Sans"/>
        </w:rPr>
        <w:t xml:space="preserve">, though </w:t>
      </w:r>
      <w:r w:rsidRPr="000A3879">
        <w:rPr>
          <w:rFonts w:cs="Gill Sans"/>
          <w:i/>
        </w:rPr>
        <w:t>coincident</w:t>
      </w:r>
      <w:r>
        <w:rPr>
          <w:rFonts w:cs="Gill Sans"/>
        </w:rPr>
        <w:t xml:space="preserve">. Statue is </w:t>
      </w:r>
      <w:r w:rsidRPr="000A3879">
        <w:rPr>
          <w:rFonts w:cs="Gill Sans"/>
          <w:i/>
        </w:rPr>
        <w:t>constituted</w:t>
      </w:r>
      <w:r>
        <w:rPr>
          <w:rFonts w:cs="Gill Sans"/>
        </w:rPr>
        <w:t xml:space="preserve"> by lump. (See 2001, ch.1 for more details on this).</w:t>
      </w:r>
    </w:p>
    <w:p w14:paraId="07E12112" w14:textId="494BF266" w:rsidR="00D17B69" w:rsidRPr="000A3879" w:rsidRDefault="00D17B69">
      <w:pPr>
        <w:rPr>
          <w:rFonts w:cs="Gill Sans"/>
          <w:i/>
        </w:rPr>
      </w:pPr>
      <w:r w:rsidRPr="000A3879">
        <w:rPr>
          <w:rFonts w:cs="Gill Sans"/>
          <w:i/>
        </w:rPr>
        <w:t>Response</w:t>
      </w:r>
    </w:p>
    <w:p w14:paraId="25DA7875" w14:textId="7227D945" w:rsidR="00D17B69" w:rsidRDefault="00D17B69">
      <w:pPr>
        <w:rPr>
          <w:rFonts w:cs="Gill Sans"/>
        </w:rPr>
      </w:pPr>
      <w:r>
        <w:rPr>
          <w:rFonts w:cs="Gill Sans"/>
        </w:rPr>
        <w:t xml:space="preserve">We have seen that this Standard Story about constitution faces a range of difficulties (e.g. the grounding problem, and the </w:t>
      </w:r>
      <w:r w:rsidR="000A3879">
        <w:rPr>
          <w:rFonts w:cs="Gill Sans"/>
        </w:rPr>
        <w:t>“</w:t>
      </w:r>
      <w:r>
        <w:rPr>
          <w:rFonts w:cs="Gill Sans"/>
        </w:rPr>
        <w:t>too many objects</w:t>
      </w:r>
      <w:r w:rsidR="000A3879">
        <w:rPr>
          <w:rFonts w:cs="Gill Sans"/>
        </w:rPr>
        <w:t>”</w:t>
      </w:r>
      <w:r>
        <w:rPr>
          <w:rFonts w:cs="Gill Sans"/>
        </w:rPr>
        <w:t xml:space="preserve"> worry).</w:t>
      </w:r>
    </w:p>
    <w:p w14:paraId="50F28435" w14:textId="77777777" w:rsidR="000936EA" w:rsidRDefault="000936EA">
      <w:pPr>
        <w:rPr>
          <w:rFonts w:cs="Gill Sans"/>
        </w:rPr>
      </w:pPr>
    </w:p>
    <w:p w14:paraId="20FC2698" w14:textId="2C433FCB" w:rsidR="000936EA" w:rsidRDefault="003404D1">
      <w:pPr>
        <w:rPr>
          <w:rFonts w:cs="Gill Sans"/>
        </w:rPr>
      </w:pPr>
      <w:r>
        <w:rPr>
          <w:rFonts w:cs="Gill Sans"/>
        </w:rPr>
        <w:t>7</w:t>
      </w:r>
      <w:r w:rsidR="000936EA">
        <w:rPr>
          <w:rFonts w:cs="Gill Sans"/>
        </w:rPr>
        <w:t xml:space="preserve">. </w:t>
      </w:r>
      <w:r>
        <w:rPr>
          <w:rFonts w:cs="Gill Sans"/>
          <w:i/>
        </w:rPr>
        <w:t>Worries about D: sortal d</w:t>
      </w:r>
      <w:r w:rsidR="00D17B69">
        <w:rPr>
          <w:rFonts w:cs="Gill Sans"/>
          <w:i/>
        </w:rPr>
        <w:t>ependenc</w:t>
      </w:r>
      <w:r>
        <w:rPr>
          <w:rFonts w:cs="Gill Sans"/>
          <w:i/>
        </w:rPr>
        <w:t>e</w:t>
      </w:r>
    </w:p>
    <w:p w14:paraId="278FCAE7" w14:textId="2B751A81" w:rsidR="000936EA" w:rsidRDefault="00D17B69">
      <w:pPr>
        <w:rPr>
          <w:rFonts w:cs="Gill Sans"/>
        </w:rPr>
      </w:pPr>
      <w:r>
        <w:rPr>
          <w:rFonts w:cs="Gill Sans"/>
        </w:rPr>
        <w:t>(i) Michael Ayers (1974), (1991a) and (1991b) raises questions about the sortal dependence requirements that Wiggins account places on identity.</w:t>
      </w:r>
    </w:p>
    <w:p w14:paraId="25D65B31" w14:textId="66ACE6D2" w:rsidR="00D17B69" w:rsidRDefault="00D17B69">
      <w:pPr>
        <w:rPr>
          <w:rFonts w:cs="Gill Sans"/>
        </w:rPr>
      </w:pPr>
      <w:r>
        <w:rPr>
          <w:rFonts w:cs="Gill Sans"/>
        </w:rPr>
        <w:t xml:space="preserve">(ii) </w:t>
      </w:r>
      <w:r w:rsidR="00F83267">
        <w:rPr>
          <w:rFonts w:cs="Gill Sans"/>
        </w:rPr>
        <w:t xml:space="preserve">According to D, a requirement of x being identical to y is that there is </w:t>
      </w:r>
      <w:r w:rsidR="00B366A5">
        <w:rPr>
          <w:rFonts w:cs="Gill Sans"/>
        </w:rPr>
        <w:t>a concept f that is known or unknown that answers the ‘What is it?’ question. This concept must be such that it is or is associated with a criterion of identity that makes it determinate whether x is the same f as y, and for any other thing at any other time, whether that thing is the same f as y.</w:t>
      </w:r>
    </w:p>
    <w:p w14:paraId="2622DBFB" w14:textId="158505F3" w:rsidR="00B366A5" w:rsidRDefault="00464210">
      <w:pPr>
        <w:rPr>
          <w:rFonts w:cs="Gill Sans"/>
        </w:rPr>
      </w:pPr>
      <w:r>
        <w:rPr>
          <w:rFonts w:cs="Gill Sans"/>
        </w:rPr>
        <w:t>(iii) On Wiggins’s view, t</w:t>
      </w:r>
      <w:r w:rsidR="00B366A5">
        <w:rPr>
          <w:rFonts w:cs="Gill Sans"/>
        </w:rPr>
        <w:t xml:space="preserve">his role is primarily played in our general conceptual scheme by concepts of natural kinds (e.g. cat, dog, human being). </w:t>
      </w:r>
      <w:r>
        <w:rPr>
          <w:rFonts w:cs="Gill Sans"/>
        </w:rPr>
        <w:t>Each of these have their own distinctive principles of change and development that account for their persistence throughout all the time they are in existence.</w:t>
      </w:r>
      <w:r w:rsidR="00127DAE">
        <w:rPr>
          <w:rFonts w:cs="Gill Sans"/>
        </w:rPr>
        <w:t xml:space="preserve"> (Though he also maintains that there is a role for artefactual kinds).</w:t>
      </w:r>
    </w:p>
    <w:p w14:paraId="0288FAA9" w14:textId="12E94704" w:rsidR="00B366A5" w:rsidRDefault="00B366A5">
      <w:pPr>
        <w:rPr>
          <w:rFonts w:cs="Gill Sans"/>
        </w:rPr>
      </w:pPr>
      <w:r>
        <w:rPr>
          <w:rFonts w:cs="Gill Sans"/>
        </w:rPr>
        <w:t xml:space="preserve">(iv) </w:t>
      </w:r>
      <w:r w:rsidR="00464210">
        <w:rPr>
          <w:rFonts w:cs="Gill Sans"/>
        </w:rPr>
        <w:t>One worry about this view is that it overlooks the role played by th</w:t>
      </w:r>
      <w:r w:rsidR="000A3879">
        <w:rPr>
          <w:rFonts w:cs="Gill Sans"/>
        </w:rPr>
        <w:t xml:space="preserve">e much more general notions of </w:t>
      </w:r>
      <w:r w:rsidR="00464210">
        <w:rPr>
          <w:rFonts w:cs="Gill Sans"/>
        </w:rPr>
        <w:t>material object</w:t>
      </w:r>
      <w:r w:rsidR="000A3879">
        <w:rPr>
          <w:rFonts w:cs="Gill Sans"/>
        </w:rPr>
        <w:t>s</w:t>
      </w:r>
      <w:r w:rsidR="00464210">
        <w:rPr>
          <w:rFonts w:cs="Gill Sans"/>
        </w:rPr>
        <w:t xml:space="preserve"> or material thing</w:t>
      </w:r>
      <w:r w:rsidR="000A3879">
        <w:rPr>
          <w:rFonts w:cs="Gill Sans"/>
        </w:rPr>
        <w:t>s</w:t>
      </w:r>
      <w:r w:rsidR="00464210">
        <w:rPr>
          <w:rFonts w:cs="Gill Sans"/>
        </w:rPr>
        <w:t xml:space="preserve"> in our thinking about primary substances.</w:t>
      </w:r>
    </w:p>
    <w:p w14:paraId="463EBF96" w14:textId="2353FDAC" w:rsidR="00464210" w:rsidRDefault="000A3879">
      <w:pPr>
        <w:rPr>
          <w:rFonts w:cs="Gill Sans"/>
        </w:rPr>
      </w:pPr>
      <w:r>
        <w:rPr>
          <w:rFonts w:cs="Gill Sans"/>
        </w:rPr>
        <w:t>“(I)f we are neither Aristotelians nor conceptualists, it might seem that a lump of lead is quite an impressive individual in its own right, perhaps no less so than a plant; and that artifacts, while sometimes physically unitary, like most teaspoons, are sometimes hardly more than notionally so, like a steam engine. In that case, since ‘lumps’ and ‘pieces’ do not form a kind in any significant sense, the principle that all individual substances belong to kinds would seem dispensable.” (Ayers, (1991), p.89)</w:t>
      </w:r>
    </w:p>
    <w:p w14:paraId="302146E4" w14:textId="77777777" w:rsidR="00464210" w:rsidRDefault="00464210">
      <w:pPr>
        <w:rPr>
          <w:rFonts w:cs="Gill Sans"/>
        </w:rPr>
      </w:pPr>
    </w:p>
    <w:p w14:paraId="07A97345" w14:textId="5C4831B8" w:rsidR="00464210" w:rsidRDefault="00464210">
      <w:pPr>
        <w:rPr>
          <w:rFonts w:cs="Gill Sans"/>
        </w:rPr>
      </w:pPr>
      <w:r>
        <w:rPr>
          <w:rFonts w:cs="Gill Sans"/>
        </w:rPr>
        <w:t>(v) According to Ayers, a chunk of lead or a lump of clay has a good claim to be amongst the basic particulars, and to have membership in the category of substance. These things are coherent and unified, they persist by enduring through time, they can be the bearers of different properties at different times, and they have qualitative properties that depend on them.</w:t>
      </w:r>
    </w:p>
    <w:p w14:paraId="58A835C9" w14:textId="212D9D7E" w:rsidR="00464210" w:rsidRDefault="00464210">
      <w:pPr>
        <w:rPr>
          <w:rFonts w:cs="Gill Sans"/>
        </w:rPr>
      </w:pPr>
      <w:r>
        <w:rPr>
          <w:rFonts w:cs="Gill Sans"/>
        </w:rPr>
        <w:t>(vi) But lumps of clay and chunks of lead don’t instantiate sortal concep</w:t>
      </w:r>
      <w:r w:rsidR="00EE32D5">
        <w:rPr>
          <w:rFonts w:cs="Gill Sans"/>
        </w:rPr>
        <w:t xml:space="preserve">ts, or the natural kinds of this specific </w:t>
      </w:r>
      <w:r>
        <w:rPr>
          <w:rFonts w:cs="Gill Sans"/>
        </w:rPr>
        <w:t xml:space="preserve">neo-Aristotelian picture.  </w:t>
      </w:r>
    </w:p>
    <w:p w14:paraId="2B42005D" w14:textId="677F681B" w:rsidR="00127DAE" w:rsidRDefault="00127DAE">
      <w:pPr>
        <w:rPr>
          <w:rFonts w:cs="Gill Sans"/>
        </w:rPr>
      </w:pPr>
      <w:r>
        <w:rPr>
          <w:rFonts w:cs="Gill Sans"/>
        </w:rPr>
        <w:t>(vii) So D, the sortal dependence thesis, is false.</w:t>
      </w:r>
      <w:r w:rsidR="00EE32D5">
        <w:rPr>
          <w:rFonts w:cs="Gill Sans"/>
        </w:rPr>
        <w:t xml:space="preserve"> (But note that this wouldn’t make Ayers, necessarily a substratum or bundle theorist. On the face of it, he thinks that the ‘What is it?’ question is distinct from the ‘What is it like?’ question. It is simply that the question can be answered by: “A material thing”</w:t>
      </w:r>
      <w:r w:rsidR="003404D1">
        <w:rPr>
          <w:rFonts w:cs="Gill Sans"/>
        </w:rPr>
        <w:t xml:space="preserve"> or “A lump of stuff”</w:t>
      </w:r>
      <w:r w:rsidR="00EE32D5">
        <w:rPr>
          <w:rFonts w:cs="Gill Sans"/>
        </w:rPr>
        <w:t>.)</w:t>
      </w:r>
    </w:p>
    <w:p w14:paraId="06526B91" w14:textId="66B8A692" w:rsidR="00EE32D5" w:rsidRDefault="00EE32D5">
      <w:pPr>
        <w:rPr>
          <w:rFonts w:cs="Gill Sans"/>
          <w:i/>
        </w:rPr>
      </w:pPr>
      <w:r w:rsidRPr="000A3879">
        <w:rPr>
          <w:rFonts w:cs="Gill Sans"/>
          <w:i/>
        </w:rPr>
        <w:t>Repl</w:t>
      </w:r>
      <w:r w:rsidR="0039658E">
        <w:rPr>
          <w:rFonts w:cs="Gill Sans"/>
          <w:i/>
        </w:rPr>
        <w:t>ies:</w:t>
      </w:r>
    </w:p>
    <w:p w14:paraId="58E5108C" w14:textId="3D4B60F7" w:rsidR="0039658E" w:rsidRDefault="0039658E">
      <w:pPr>
        <w:rPr>
          <w:rFonts w:cs="Gill Sans"/>
        </w:rPr>
      </w:pPr>
      <w:r>
        <w:rPr>
          <w:rFonts w:cs="Gill Sans"/>
        </w:rPr>
        <w:t>(i) For something to be a substance it must have determinate identity conditions. The notion of a ‘material object’ or a ‘lump of stuff’ doesn’t make identity conditions determinate. For x to be a lump of stuff isn’t for it to be an f such that f is associated with conditions that settle whether, for any y, at any time t, it is the same lump of stuff as y. (Is this convincing? Same malleable and coherent entity. Won’t survive smashing or dispersal)</w:t>
      </w:r>
    </w:p>
    <w:p w14:paraId="17C6B646" w14:textId="1AD4D7EF" w:rsidR="0039658E" w:rsidRPr="0039658E" w:rsidRDefault="0039658E">
      <w:pPr>
        <w:rPr>
          <w:rFonts w:cs="Gill Sans"/>
        </w:rPr>
      </w:pPr>
      <w:r>
        <w:rPr>
          <w:rFonts w:cs="Gill Sans"/>
        </w:rPr>
        <w:t>(ii) A different idea (drawing on Wiggins (1995) and his discussion of artifact identity) is that we can think o</w:t>
      </w:r>
      <w:r w:rsidR="00387B16">
        <w:rPr>
          <w:rFonts w:cs="Gill Sans"/>
        </w:rPr>
        <w:t>f lumps of stuff as things that have an identity which is understandable as a specific kind of departure from the central or paradigmatic case of substance. What we say is that they are like substances, but for their lacking the organization of a natural kind.</w:t>
      </w:r>
    </w:p>
    <w:p w14:paraId="423D2F88" w14:textId="77777777" w:rsidR="00B366A5" w:rsidRDefault="00B366A5">
      <w:pPr>
        <w:rPr>
          <w:rFonts w:cs="Gill Sans"/>
        </w:rPr>
      </w:pPr>
    </w:p>
    <w:p w14:paraId="5AED489A" w14:textId="48BD5BD7" w:rsidR="000936EA" w:rsidRPr="00D17B69" w:rsidRDefault="002D6927">
      <w:pPr>
        <w:rPr>
          <w:rFonts w:cs="Gill Sans"/>
          <w:i/>
        </w:rPr>
      </w:pPr>
      <w:r>
        <w:rPr>
          <w:rFonts w:cs="Gill Sans"/>
        </w:rPr>
        <w:t xml:space="preserve">6. </w:t>
      </w:r>
      <w:r w:rsidRPr="00D17B69">
        <w:rPr>
          <w:rFonts w:cs="Gill Sans"/>
          <w:i/>
        </w:rPr>
        <w:t>Take-home messages</w:t>
      </w:r>
    </w:p>
    <w:p w14:paraId="5C3DC50D" w14:textId="5E3C1143" w:rsidR="002D6927" w:rsidRDefault="002D6927">
      <w:pPr>
        <w:rPr>
          <w:rFonts w:cs="Gill Sans"/>
        </w:rPr>
      </w:pPr>
      <w:r>
        <w:rPr>
          <w:rFonts w:cs="Gill Sans"/>
        </w:rPr>
        <w:t>(i) An Aristotelian, or a neo-Aristotelian approach to substance provides the general theoretical resources to navigate between substratum and bundle theories of particulars.</w:t>
      </w:r>
    </w:p>
    <w:p w14:paraId="5D8F51A5" w14:textId="22DA7F29" w:rsidR="002D6927" w:rsidRDefault="002D6927">
      <w:pPr>
        <w:rPr>
          <w:rFonts w:cs="Gill Sans"/>
        </w:rPr>
      </w:pPr>
      <w:r>
        <w:rPr>
          <w:rFonts w:cs="Gill Sans"/>
        </w:rPr>
        <w:t>(ii) The success of the approach will depend on working through the details of the account.</w:t>
      </w:r>
    </w:p>
    <w:p w14:paraId="68626C1D" w14:textId="68DBD656" w:rsidR="002D6927" w:rsidRDefault="002D6927">
      <w:pPr>
        <w:rPr>
          <w:rFonts w:cs="Gill Sans"/>
        </w:rPr>
      </w:pPr>
      <w:r>
        <w:rPr>
          <w:rFonts w:cs="Gill Sans"/>
        </w:rPr>
        <w:t>(iii) Wiggins (2001) develops a neo-Aristotelian approach at the core of which is (a) the absoluteness of identity and (b) the sortal dependency thesis.</w:t>
      </w:r>
    </w:p>
    <w:p w14:paraId="02C208E4" w14:textId="1896D676" w:rsidR="002D6927" w:rsidRDefault="002D6927">
      <w:pPr>
        <w:rPr>
          <w:rFonts w:cs="Gill Sans"/>
          <w:i/>
        </w:rPr>
      </w:pPr>
      <w:r>
        <w:rPr>
          <w:rFonts w:cs="Gill Sans"/>
        </w:rPr>
        <w:t xml:space="preserve">(iv) We have discussed challenges to both (a) and (b). </w:t>
      </w:r>
      <w:r w:rsidR="00EE32D5">
        <w:rPr>
          <w:rFonts w:cs="Gill Sans"/>
        </w:rPr>
        <w:t xml:space="preserve">These challenges must be taken seriously. But they appear to be replies to them. </w:t>
      </w:r>
      <w:r>
        <w:rPr>
          <w:rFonts w:cs="Gill Sans"/>
        </w:rPr>
        <w:t xml:space="preserve">Even if </w:t>
      </w:r>
      <w:r w:rsidR="00EE32D5">
        <w:rPr>
          <w:rFonts w:cs="Gill Sans"/>
        </w:rPr>
        <w:t>these challenges were successful, and showed that the role of natural kinds in an account of substance is not as was initially proposed in this neo-Aristotelian account, that would be consistent with a core Aristotelian insight about the difference between identifying and characterizing.</w:t>
      </w:r>
    </w:p>
    <w:p w14:paraId="5C071DA7" w14:textId="77777777" w:rsidR="000936EA" w:rsidRPr="00D17B69" w:rsidRDefault="000936EA">
      <w:pPr>
        <w:rPr>
          <w:rFonts w:cs="Gill Sans"/>
        </w:rPr>
      </w:pPr>
    </w:p>
    <w:p w14:paraId="1809641D" w14:textId="77777777" w:rsidR="000936EA" w:rsidRDefault="000936EA">
      <w:pPr>
        <w:rPr>
          <w:rFonts w:cs="Gill Sans"/>
          <w:i/>
        </w:rPr>
      </w:pPr>
    </w:p>
    <w:p w14:paraId="30DC509C" w14:textId="6D15006C" w:rsidR="000936EA" w:rsidRDefault="00387B16">
      <w:pPr>
        <w:rPr>
          <w:rFonts w:cs="Gill Sans"/>
        </w:rPr>
      </w:pPr>
      <w:r>
        <w:rPr>
          <w:rFonts w:cs="Gill Sans"/>
        </w:rPr>
        <w:t>References</w:t>
      </w:r>
    </w:p>
    <w:p w14:paraId="0589C621" w14:textId="77777777" w:rsidR="00186316" w:rsidRPr="00387B16" w:rsidRDefault="00186316">
      <w:pPr>
        <w:rPr>
          <w:rFonts w:cs="Gill Sans"/>
        </w:rPr>
      </w:pPr>
      <w:bookmarkStart w:id="0" w:name="_GoBack"/>
      <w:bookmarkEnd w:id="0"/>
    </w:p>
    <w:p w14:paraId="7ED4AFE6" w14:textId="77777777" w:rsidR="000936EA" w:rsidRDefault="000936EA" w:rsidP="000936EA">
      <w:r>
        <w:t>For general background on Aristotle’s theory of substance</w:t>
      </w:r>
    </w:p>
    <w:p w14:paraId="406D0942" w14:textId="77777777" w:rsidR="000936EA" w:rsidRDefault="000936EA" w:rsidP="000936EA">
      <w:r>
        <w:t xml:space="preserve">Aristotle, </w:t>
      </w:r>
      <w:r w:rsidRPr="004D4162">
        <w:rPr>
          <w:i/>
        </w:rPr>
        <w:t>Categories</w:t>
      </w:r>
      <w:r>
        <w:t>.</w:t>
      </w:r>
    </w:p>
    <w:p w14:paraId="320908D0" w14:textId="77777777" w:rsidR="000936EA" w:rsidRDefault="000936EA" w:rsidP="000936EA">
      <w:r>
        <w:t xml:space="preserve">Aristotle, </w:t>
      </w:r>
      <w:r w:rsidRPr="004D4162">
        <w:rPr>
          <w:i/>
        </w:rPr>
        <w:t>Metaphysics</w:t>
      </w:r>
      <w:r>
        <w:t>, Books Z and H. (These books are demanding. Use the resources listed immediately below as guides.)</w:t>
      </w:r>
    </w:p>
    <w:p w14:paraId="1FA3D341" w14:textId="77777777" w:rsidR="000936EA" w:rsidRDefault="000936EA" w:rsidP="000936EA">
      <w:r>
        <w:t xml:space="preserve">J. L. Ackrill (1981), </w:t>
      </w:r>
      <w:r w:rsidRPr="004D4162">
        <w:rPr>
          <w:i/>
        </w:rPr>
        <w:t>Aristotle the Philosopher</w:t>
      </w:r>
      <w:r>
        <w:t>. Oxford, Clarendon. Chapter 9.</w:t>
      </w:r>
    </w:p>
    <w:p w14:paraId="6AEC2739" w14:textId="77777777" w:rsidR="000936EA" w:rsidRDefault="000936EA" w:rsidP="000936EA">
      <w:r>
        <w:t xml:space="preserve">C. Shields (2014), </w:t>
      </w:r>
      <w:r w:rsidRPr="004D4162">
        <w:rPr>
          <w:i/>
        </w:rPr>
        <w:t>Aristotle</w:t>
      </w:r>
      <w:r>
        <w:t>. London, Routledge.</w:t>
      </w:r>
    </w:p>
    <w:p w14:paraId="463DC695" w14:textId="77777777" w:rsidR="00387B16" w:rsidRDefault="00387B16" w:rsidP="000936EA"/>
    <w:p w14:paraId="318AF28F" w14:textId="325F18A6" w:rsidR="00387B16" w:rsidRDefault="00387B16" w:rsidP="000936EA">
      <w:r>
        <w:t xml:space="preserve">G. E. M. Anscombe, (1953), ‘The Principle of Individuation’, </w:t>
      </w:r>
      <w:r w:rsidRPr="00387B16">
        <w:rPr>
          <w:i/>
        </w:rPr>
        <w:t>Proceedings of the Aristotelian Society</w:t>
      </w:r>
      <w:r>
        <w:t>, Supp. Vol. 27, 83- 96.</w:t>
      </w:r>
    </w:p>
    <w:p w14:paraId="4AF82901" w14:textId="3D2EA710" w:rsidR="00387B16" w:rsidRDefault="00387B16" w:rsidP="000936EA">
      <w:r>
        <w:t xml:space="preserve">M. R. Ayers (1974) ‘Individuals without Sortals’. </w:t>
      </w:r>
      <w:r w:rsidRPr="00387B16">
        <w:rPr>
          <w:i/>
        </w:rPr>
        <w:t>Canadian Journal of Philosophy</w:t>
      </w:r>
      <w:r>
        <w:t>, 4, 113- 48.</w:t>
      </w:r>
    </w:p>
    <w:p w14:paraId="5EEC377D" w14:textId="000D543A" w:rsidR="00387B16" w:rsidRDefault="00387B16" w:rsidP="000936EA">
      <w:r>
        <w:t xml:space="preserve">M. R. Ayers (1991a), </w:t>
      </w:r>
      <w:r w:rsidRPr="00387B16">
        <w:rPr>
          <w:i/>
        </w:rPr>
        <w:t>Locke</w:t>
      </w:r>
      <w:r>
        <w:t>. London, Routledge.</w:t>
      </w:r>
    </w:p>
    <w:p w14:paraId="1A64F4D6" w14:textId="23A06B18" w:rsidR="00387B16" w:rsidRDefault="00387B16" w:rsidP="000936EA">
      <w:r>
        <w:t xml:space="preserve">M. R. Ayers (1991b), ‘Substance: A Prolegomena to a Realist Theory of Identity’.  </w:t>
      </w:r>
      <w:r w:rsidRPr="00387B16">
        <w:rPr>
          <w:i/>
        </w:rPr>
        <w:t>The Journal of Philosophy</w:t>
      </w:r>
      <w:r>
        <w:t>, vol. 88, No. 2: 69- 90.</w:t>
      </w:r>
    </w:p>
    <w:p w14:paraId="3EB642F8" w14:textId="19857FF7" w:rsidR="000936EA" w:rsidRDefault="00387B16" w:rsidP="000936EA">
      <w:r>
        <w:t xml:space="preserve">P.F. Strawson (1959). </w:t>
      </w:r>
      <w:r w:rsidRPr="00B10F55">
        <w:rPr>
          <w:i/>
        </w:rPr>
        <w:t>Individuals</w:t>
      </w:r>
      <w:r>
        <w:t>. London, Methuen. Part One.</w:t>
      </w:r>
    </w:p>
    <w:p w14:paraId="68C7F502" w14:textId="75BBBFB4" w:rsidR="000936EA" w:rsidRDefault="000936EA" w:rsidP="000936EA">
      <w:r>
        <w:t xml:space="preserve">D. Wiggins (1995), “Substance” in A. C. Grayling (ed.) </w:t>
      </w:r>
      <w:r w:rsidRPr="003F684B">
        <w:rPr>
          <w:i/>
        </w:rPr>
        <w:t>Philosophy: A Guide through the Subject</w:t>
      </w:r>
      <w:r>
        <w:t>.</w:t>
      </w:r>
    </w:p>
    <w:p w14:paraId="0F0D2DBE" w14:textId="36D99440" w:rsidR="000936EA" w:rsidRPr="00387B16" w:rsidRDefault="000936EA">
      <w:r>
        <w:t xml:space="preserve">D. Wiggins (2001) </w:t>
      </w:r>
      <w:r w:rsidRPr="00BC6F3D">
        <w:rPr>
          <w:i/>
        </w:rPr>
        <w:t>Sameness and Substance Renewed</w:t>
      </w:r>
      <w:r>
        <w:t>. Cambridge, C.U.P. (First ed. (1980), Oxford, Blackwell)</w:t>
      </w:r>
      <w:r w:rsidR="00387B16">
        <w:t>.</w:t>
      </w:r>
    </w:p>
    <w:sectPr w:rsidR="000936EA" w:rsidRPr="00387B16" w:rsidSect="00E4396D">
      <w:footerReference w:type="even" r:id="rId7"/>
      <w:footerReference w:type="default" r:id="rId8"/>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DBA14F1" w14:textId="77777777" w:rsidR="00387B16" w:rsidRDefault="00387B16" w:rsidP="009E41A5">
      <w:r>
        <w:separator/>
      </w:r>
    </w:p>
  </w:endnote>
  <w:endnote w:type="continuationSeparator" w:id="0">
    <w:p w14:paraId="4A387A58" w14:textId="77777777" w:rsidR="00387B16" w:rsidRDefault="00387B16" w:rsidP="009E41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12 Sabon* Roman 05232">
    <w:panose1 w:val="00000000000000000000"/>
    <w:charset w:val="00"/>
    <w:family w:val="auto"/>
    <w:pitch w:val="variable"/>
    <w:sig w:usb0="8000002F" w:usb1="40000048" w:usb2="00000000" w:usb3="00000000" w:csb0="00000111"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Gill Sans">
    <w:panose1 w:val="020B0502020104020203"/>
    <w:charset w:val="00"/>
    <w:family w:val="auto"/>
    <w:pitch w:val="variable"/>
    <w:sig w:usb0="80000267" w:usb1="00000000" w:usb2="00000000" w:usb3="00000000" w:csb0="000001F7"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E29712" w14:textId="77777777" w:rsidR="00387B16" w:rsidRDefault="00387B16" w:rsidP="009E41A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8CA7206" w14:textId="77777777" w:rsidR="00387B16" w:rsidRDefault="00387B16">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801182" w14:textId="77777777" w:rsidR="00387B16" w:rsidRDefault="00387B16" w:rsidP="009E41A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186316">
      <w:rPr>
        <w:rStyle w:val="PageNumber"/>
        <w:noProof/>
      </w:rPr>
      <w:t>1</w:t>
    </w:r>
    <w:r>
      <w:rPr>
        <w:rStyle w:val="PageNumber"/>
      </w:rPr>
      <w:fldChar w:fldCharType="end"/>
    </w:r>
  </w:p>
  <w:p w14:paraId="382C854A" w14:textId="77777777" w:rsidR="00387B16" w:rsidRDefault="00387B16">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D09736" w14:textId="77777777" w:rsidR="00387B16" w:rsidRDefault="00387B16" w:rsidP="009E41A5">
      <w:r>
        <w:separator/>
      </w:r>
    </w:p>
  </w:footnote>
  <w:footnote w:type="continuationSeparator" w:id="0">
    <w:p w14:paraId="39CFAA05" w14:textId="77777777" w:rsidR="00387B16" w:rsidRDefault="00387B16" w:rsidP="009E41A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41A5"/>
    <w:rsid w:val="000278E8"/>
    <w:rsid w:val="00032409"/>
    <w:rsid w:val="000368C7"/>
    <w:rsid w:val="00050BA6"/>
    <w:rsid w:val="000552FF"/>
    <w:rsid w:val="00057259"/>
    <w:rsid w:val="00061EA7"/>
    <w:rsid w:val="0006575E"/>
    <w:rsid w:val="00080AD2"/>
    <w:rsid w:val="000813D0"/>
    <w:rsid w:val="000857FB"/>
    <w:rsid w:val="000936EA"/>
    <w:rsid w:val="00095B90"/>
    <w:rsid w:val="000A3879"/>
    <w:rsid w:val="000A4042"/>
    <w:rsid w:val="000A5BA4"/>
    <w:rsid w:val="000B1999"/>
    <w:rsid w:val="000B3344"/>
    <w:rsid w:val="000C308A"/>
    <w:rsid w:val="000D33F4"/>
    <w:rsid w:val="000D799E"/>
    <w:rsid w:val="000E25C0"/>
    <w:rsid w:val="000E3654"/>
    <w:rsid w:val="000E3E2D"/>
    <w:rsid w:val="000E71F7"/>
    <w:rsid w:val="000F2101"/>
    <w:rsid w:val="000F62BB"/>
    <w:rsid w:val="00104CEE"/>
    <w:rsid w:val="00110B42"/>
    <w:rsid w:val="00115BFC"/>
    <w:rsid w:val="00116B7A"/>
    <w:rsid w:val="00124997"/>
    <w:rsid w:val="00127DAE"/>
    <w:rsid w:val="001365DC"/>
    <w:rsid w:val="0014240A"/>
    <w:rsid w:val="001425B5"/>
    <w:rsid w:val="00146B27"/>
    <w:rsid w:val="00147208"/>
    <w:rsid w:val="00162437"/>
    <w:rsid w:val="0017568A"/>
    <w:rsid w:val="00177DD2"/>
    <w:rsid w:val="001822B1"/>
    <w:rsid w:val="00186316"/>
    <w:rsid w:val="00193494"/>
    <w:rsid w:val="001936EC"/>
    <w:rsid w:val="0019440C"/>
    <w:rsid w:val="00195493"/>
    <w:rsid w:val="001A35B2"/>
    <w:rsid w:val="001A6BFB"/>
    <w:rsid w:val="001A7AD9"/>
    <w:rsid w:val="001D16C9"/>
    <w:rsid w:val="001F0A1C"/>
    <w:rsid w:val="001F112D"/>
    <w:rsid w:val="001F4352"/>
    <w:rsid w:val="001F67BB"/>
    <w:rsid w:val="00206903"/>
    <w:rsid w:val="00210690"/>
    <w:rsid w:val="002174BC"/>
    <w:rsid w:val="00221782"/>
    <w:rsid w:val="0022650D"/>
    <w:rsid w:val="002339AD"/>
    <w:rsid w:val="00243EB9"/>
    <w:rsid w:val="00251E25"/>
    <w:rsid w:val="0026006E"/>
    <w:rsid w:val="0026148D"/>
    <w:rsid w:val="00263AC7"/>
    <w:rsid w:val="00264D46"/>
    <w:rsid w:val="00275A3A"/>
    <w:rsid w:val="00282705"/>
    <w:rsid w:val="00282BD0"/>
    <w:rsid w:val="002831F5"/>
    <w:rsid w:val="00284456"/>
    <w:rsid w:val="0028671D"/>
    <w:rsid w:val="002874B8"/>
    <w:rsid w:val="002A549B"/>
    <w:rsid w:val="002A6A14"/>
    <w:rsid w:val="002B05D2"/>
    <w:rsid w:val="002B2EC1"/>
    <w:rsid w:val="002C0C48"/>
    <w:rsid w:val="002D6927"/>
    <w:rsid w:val="002D7F12"/>
    <w:rsid w:val="002E330A"/>
    <w:rsid w:val="002E41CF"/>
    <w:rsid w:val="002F1146"/>
    <w:rsid w:val="003059A5"/>
    <w:rsid w:val="00315C5E"/>
    <w:rsid w:val="003404D1"/>
    <w:rsid w:val="003429BF"/>
    <w:rsid w:val="003529C8"/>
    <w:rsid w:val="00360A8F"/>
    <w:rsid w:val="00362038"/>
    <w:rsid w:val="0036242C"/>
    <w:rsid w:val="00364D84"/>
    <w:rsid w:val="0036678F"/>
    <w:rsid w:val="00366803"/>
    <w:rsid w:val="00371049"/>
    <w:rsid w:val="00381C3C"/>
    <w:rsid w:val="00382E35"/>
    <w:rsid w:val="0038424A"/>
    <w:rsid w:val="00385C55"/>
    <w:rsid w:val="00387B16"/>
    <w:rsid w:val="00393D33"/>
    <w:rsid w:val="0039490F"/>
    <w:rsid w:val="0039658E"/>
    <w:rsid w:val="003A069F"/>
    <w:rsid w:val="003A2813"/>
    <w:rsid w:val="003B157A"/>
    <w:rsid w:val="003B1819"/>
    <w:rsid w:val="003B4C20"/>
    <w:rsid w:val="003B5A64"/>
    <w:rsid w:val="003C54F9"/>
    <w:rsid w:val="003C635E"/>
    <w:rsid w:val="003C6B90"/>
    <w:rsid w:val="003E2389"/>
    <w:rsid w:val="003E65A8"/>
    <w:rsid w:val="003F15D5"/>
    <w:rsid w:val="003F1986"/>
    <w:rsid w:val="003F4BA9"/>
    <w:rsid w:val="003F7E06"/>
    <w:rsid w:val="0040062B"/>
    <w:rsid w:val="00402F82"/>
    <w:rsid w:val="00410352"/>
    <w:rsid w:val="0041495E"/>
    <w:rsid w:val="00421B0C"/>
    <w:rsid w:val="00426E88"/>
    <w:rsid w:val="00427919"/>
    <w:rsid w:val="00443607"/>
    <w:rsid w:val="00443DB9"/>
    <w:rsid w:val="00445ECD"/>
    <w:rsid w:val="00456F05"/>
    <w:rsid w:val="004637B9"/>
    <w:rsid w:val="00464210"/>
    <w:rsid w:val="00467E44"/>
    <w:rsid w:val="00476A9C"/>
    <w:rsid w:val="004776BB"/>
    <w:rsid w:val="00485205"/>
    <w:rsid w:val="0049085C"/>
    <w:rsid w:val="004C5072"/>
    <w:rsid w:val="004C605D"/>
    <w:rsid w:val="004C7B7E"/>
    <w:rsid w:val="004D65C2"/>
    <w:rsid w:val="004E1EE9"/>
    <w:rsid w:val="004E7715"/>
    <w:rsid w:val="004F58A1"/>
    <w:rsid w:val="0050244F"/>
    <w:rsid w:val="00503691"/>
    <w:rsid w:val="00504C28"/>
    <w:rsid w:val="00511F22"/>
    <w:rsid w:val="005129D3"/>
    <w:rsid w:val="00512A04"/>
    <w:rsid w:val="00524C9F"/>
    <w:rsid w:val="00536276"/>
    <w:rsid w:val="00536B42"/>
    <w:rsid w:val="00543702"/>
    <w:rsid w:val="00544213"/>
    <w:rsid w:val="00551A13"/>
    <w:rsid w:val="00555433"/>
    <w:rsid w:val="005558EC"/>
    <w:rsid w:val="00556DC9"/>
    <w:rsid w:val="00557000"/>
    <w:rsid w:val="00560494"/>
    <w:rsid w:val="00563AA5"/>
    <w:rsid w:val="00564CAE"/>
    <w:rsid w:val="005776BB"/>
    <w:rsid w:val="0058157B"/>
    <w:rsid w:val="00586FC9"/>
    <w:rsid w:val="00587833"/>
    <w:rsid w:val="005A1142"/>
    <w:rsid w:val="005A262B"/>
    <w:rsid w:val="005C7659"/>
    <w:rsid w:val="005E4987"/>
    <w:rsid w:val="005F32A0"/>
    <w:rsid w:val="00603CBA"/>
    <w:rsid w:val="006068CD"/>
    <w:rsid w:val="006217BE"/>
    <w:rsid w:val="006275DE"/>
    <w:rsid w:val="00630D80"/>
    <w:rsid w:val="006350C0"/>
    <w:rsid w:val="00645A8F"/>
    <w:rsid w:val="00646F92"/>
    <w:rsid w:val="00650782"/>
    <w:rsid w:val="00660F4F"/>
    <w:rsid w:val="006631E3"/>
    <w:rsid w:val="00677C6D"/>
    <w:rsid w:val="006836D6"/>
    <w:rsid w:val="00683CEE"/>
    <w:rsid w:val="00685CA7"/>
    <w:rsid w:val="00691428"/>
    <w:rsid w:val="00694DC4"/>
    <w:rsid w:val="00695AC9"/>
    <w:rsid w:val="006A24AE"/>
    <w:rsid w:val="006A2AC2"/>
    <w:rsid w:val="006B6539"/>
    <w:rsid w:val="006B7AF6"/>
    <w:rsid w:val="006D787E"/>
    <w:rsid w:val="006E2047"/>
    <w:rsid w:val="006E7048"/>
    <w:rsid w:val="006F6BAE"/>
    <w:rsid w:val="007111F8"/>
    <w:rsid w:val="00711D9B"/>
    <w:rsid w:val="007204B0"/>
    <w:rsid w:val="0072594A"/>
    <w:rsid w:val="00727D20"/>
    <w:rsid w:val="007315FE"/>
    <w:rsid w:val="00746645"/>
    <w:rsid w:val="00752549"/>
    <w:rsid w:val="00752BCC"/>
    <w:rsid w:val="0075306E"/>
    <w:rsid w:val="0076683D"/>
    <w:rsid w:val="007932AE"/>
    <w:rsid w:val="007937DB"/>
    <w:rsid w:val="00794F7E"/>
    <w:rsid w:val="0079667D"/>
    <w:rsid w:val="007A3631"/>
    <w:rsid w:val="007A3F7D"/>
    <w:rsid w:val="007B60BC"/>
    <w:rsid w:val="007D143E"/>
    <w:rsid w:val="007D541A"/>
    <w:rsid w:val="007D67C6"/>
    <w:rsid w:val="007D6B59"/>
    <w:rsid w:val="007F1EE6"/>
    <w:rsid w:val="007F2AB1"/>
    <w:rsid w:val="007F526E"/>
    <w:rsid w:val="008048D0"/>
    <w:rsid w:val="00814B3D"/>
    <w:rsid w:val="00816C21"/>
    <w:rsid w:val="00817683"/>
    <w:rsid w:val="00822C0C"/>
    <w:rsid w:val="008329F6"/>
    <w:rsid w:val="00835CB0"/>
    <w:rsid w:val="00837C86"/>
    <w:rsid w:val="008469B5"/>
    <w:rsid w:val="0085533A"/>
    <w:rsid w:val="008606B8"/>
    <w:rsid w:val="00864943"/>
    <w:rsid w:val="00864976"/>
    <w:rsid w:val="00870099"/>
    <w:rsid w:val="00870363"/>
    <w:rsid w:val="00873919"/>
    <w:rsid w:val="008801C5"/>
    <w:rsid w:val="00886638"/>
    <w:rsid w:val="008965B5"/>
    <w:rsid w:val="0089790F"/>
    <w:rsid w:val="008A54D2"/>
    <w:rsid w:val="008B0B8A"/>
    <w:rsid w:val="008B38DC"/>
    <w:rsid w:val="008B3F71"/>
    <w:rsid w:val="008B6EE3"/>
    <w:rsid w:val="008C7AD2"/>
    <w:rsid w:val="008D5750"/>
    <w:rsid w:val="008E443A"/>
    <w:rsid w:val="008E4986"/>
    <w:rsid w:val="008E525A"/>
    <w:rsid w:val="008E65F5"/>
    <w:rsid w:val="008F063F"/>
    <w:rsid w:val="008F069F"/>
    <w:rsid w:val="008F210A"/>
    <w:rsid w:val="00900694"/>
    <w:rsid w:val="0091229B"/>
    <w:rsid w:val="00912FAD"/>
    <w:rsid w:val="009141BD"/>
    <w:rsid w:val="00920A59"/>
    <w:rsid w:val="00924459"/>
    <w:rsid w:val="00926A4E"/>
    <w:rsid w:val="00931AA7"/>
    <w:rsid w:val="00940C2F"/>
    <w:rsid w:val="00956D0A"/>
    <w:rsid w:val="00964AA8"/>
    <w:rsid w:val="009722BA"/>
    <w:rsid w:val="009735E3"/>
    <w:rsid w:val="00974196"/>
    <w:rsid w:val="009868FF"/>
    <w:rsid w:val="00997571"/>
    <w:rsid w:val="009A74F1"/>
    <w:rsid w:val="009B0BD5"/>
    <w:rsid w:val="009C0C0D"/>
    <w:rsid w:val="009C3E6B"/>
    <w:rsid w:val="009C42A4"/>
    <w:rsid w:val="009C7EEF"/>
    <w:rsid w:val="009D0681"/>
    <w:rsid w:val="009D2562"/>
    <w:rsid w:val="009D6DDA"/>
    <w:rsid w:val="009E14CD"/>
    <w:rsid w:val="009E41A5"/>
    <w:rsid w:val="009F547A"/>
    <w:rsid w:val="009F725C"/>
    <w:rsid w:val="00A07A7D"/>
    <w:rsid w:val="00A1422E"/>
    <w:rsid w:val="00A22FC6"/>
    <w:rsid w:val="00A24F25"/>
    <w:rsid w:val="00A310FC"/>
    <w:rsid w:val="00A40C96"/>
    <w:rsid w:val="00A42464"/>
    <w:rsid w:val="00A43B11"/>
    <w:rsid w:val="00A4724F"/>
    <w:rsid w:val="00A538F8"/>
    <w:rsid w:val="00A618FF"/>
    <w:rsid w:val="00A674DE"/>
    <w:rsid w:val="00A70A63"/>
    <w:rsid w:val="00A70E4F"/>
    <w:rsid w:val="00A755BD"/>
    <w:rsid w:val="00A8108B"/>
    <w:rsid w:val="00A8254B"/>
    <w:rsid w:val="00AA4CFD"/>
    <w:rsid w:val="00AB0F54"/>
    <w:rsid w:val="00AB556F"/>
    <w:rsid w:val="00AB73CE"/>
    <w:rsid w:val="00AC2243"/>
    <w:rsid w:val="00AD0016"/>
    <w:rsid w:val="00AD15F3"/>
    <w:rsid w:val="00AE0714"/>
    <w:rsid w:val="00AE7149"/>
    <w:rsid w:val="00AF3946"/>
    <w:rsid w:val="00AF3A3F"/>
    <w:rsid w:val="00AF5909"/>
    <w:rsid w:val="00AF5A9D"/>
    <w:rsid w:val="00B10CA9"/>
    <w:rsid w:val="00B13BFA"/>
    <w:rsid w:val="00B13D17"/>
    <w:rsid w:val="00B1536E"/>
    <w:rsid w:val="00B17353"/>
    <w:rsid w:val="00B22D87"/>
    <w:rsid w:val="00B3485C"/>
    <w:rsid w:val="00B34EB0"/>
    <w:rsid w:val="00B366A5"/>
    <w:rsid w:val="00B5121C"/>
    <w:rsid w:val="00B56907"/>
    <w:rsid w:val="00B715DD"/>
    <w:rsid w:val="00B71A5A"/>
    <w:rsid w:val="00B72FED"/>
    <w:rsid w:val="00B753F0"/>
    <w:rsid w:val="00B77AE3"/>
    <w:rsid w:val="00B8054D"/>
    <w:rsid w:val="00B818F4"/>
    <w:rsid w:val="00B84166"/>
    <w:rsid w:val="00B85A43"/>
    <w:rsid w:val="00B86C7E"/>
    <w:rsid w:val="00B920EE"/>
    <w:rsid w:val="00B93149"/>
    <w:rsid w:val="00BA03B5"/>
    <w:rsid w:val="00BA056F"/>
    <w:rsid w:val="00BA74F7"/>
    <w:rsid w:val="00BC0E47"/>
    <w:rsid w:val="00BC2A89"/>
    <w:rsid w:val="00BC33BB"/>
    <w:rsid w:val="00BC7675"/>
    <w:rsid w:val="00BD6BD9"/>
    <w:rsid w:val="00BD7F68"/>
    <w:rsid w:val="00BE58FF"/>
    <w:rsid w:val="00BE7EBB"/>
    <w:rsid w:val="00BF0836"/>
    <w:rsid w:val="00C02C65"/>
    <w:rsid w:val="00C0429B"/>
    <w:rsid w:val="00C0599E"/>
    <w:rsid w:val="00C07D46"/>
    <w:rsid w:val="00C1480E"/>
    <w:rsid w:val="00C20E79"/>
    <w:rsid w:val="00C3721B"/>
    <w:rsid w:val="00C40CE2"/>
    <w:rsid w:val="00C413EC"/>
    <w:rsid w:val="00C4154E"/>
    <w:rsid w:val="00C531E3"/>
    <w:rsid w:val="00C56316"/>
    <w:rsid w:val="00C64EF6"/>
    <w:rsid w:val="00C73806"/>
    <w:rsid w:val="00C75B7C"/>
    <w:rsid w:val="00C817C5"/>
    <w:rsid w:val="00C8787A"/>
    <w:rsid w:val="00C946E6"/>
    <w:rsid w:val="00CA162C"/>
    <w:rsid w:val="00CA287F"/>
    <w:rsid w:val="00CA3CA3"/>
    <w:rsid w:val="00CB7B7C"/>
    <w:rsid w:val="00CC2C37"/>
    <w:rsid w:val="00CD1756"/>
    <w:rsid w:val="00CD41AA"/>
    <w:rsid w:val="00CD5AD0"/>
    <w:rsid w:val="00CE4974"/>
    <w:rsid w:val="00CE4B64"/>
    <w:rsid w:val="00CE6EE4"/>
    <w:rsid w:val="00D06A10"/>
    <w:rsid w:val="00D17691"/>
    <w:rsid w:val="00D17B69"/>
    <w:rsid w:val="00D21936"/>
    <w:rsid w:val="00D27144"/>
    <w:rsid w:val="00D301DA"/>
    <w:rsid w:val="00D31239"/>
    <w:rsid w:val="00D3142E"/>
    <w:rsid w:val="00D53DD3"/>
    <w:rsid w:val="00D57D08"/>
    <w:rsid w:val="00D63391"/>
    <w:rsid w:val="00D65C6C"/>
    <w:rsid w:val="00D74E68"/>
    <w:rsid w:val="00D824E3"/>
    <w:rsid w:val="00D85BB4"/>
    <w:rsid w:val="00D87247"/>
    <w:rsid w:val="00D9162C"/>
    <w:rsid w:val="00DC0E21"/>
    <w:rsid w:val="00DC2E4A"/>
    <w:rsid w:val="00DD0A49"/>
    <w:rsid w:val="00DD4695"/>
    <w:rsid w:val="00DD6E2E"/>
    <w:rsid w:val="00DE111D"/>
    <w:rsid w:val="00DE523B"/>
    <w:rsid w:val="00E0087C"/>
    <w:rsid w:val="00E0355A"/>
    <w:rsid w:val="00E04EC3"/>
    <w:rsid w:val="00E06BF6"/>
    <w:rsid w:val="00E11628"/>
    <w:rsid w:val="00E17199"/>
    <w:rsid w:val="00E231CF"/>
    <w:rsid w:val="00E240D5"/>
    <w:rsid w:val="00E378C1"/>
    <w:rsid w:val="00E41B55"/>
    <w:rsid w:val="00E4396D"/>
    <w:rsid w:val="00E443FC"/>
    <w:rsid w:val="00E55753"/>
    <w:rsid w:val="00E655C9"/>
    <w:rsid w:val="00E7278C"/>
    <w:rsid w:val="00E805B5"/>
    <w:rsid w:val="00E81D81"/>
    <w:rsid w:val="00E83962"/>
    <w:rsid w:val="00E87FFA"/>
    <w:rsid w:val="00E909D7"/>
    <w:rsid w:val="00E910F9"/>
    <w:rsid w:val="00E91166"/>
    <w:rsid w:val="00E93DC7"/>
    <w:rsid w:val="00E945DA"/>
    <w:rsid w:val="00E948A4"/>
    <w:rsid w:val="00E96D0A"/>
    <w:rsid w:val="00EA13AC"/>
    <w:rsid w:val="00EC2916"/>
    <w:rsid w:val="00EC620F"/>
    <w:rsid w:val="00EC6E09"/>
    <w:rsid w:val="00ED3F9E"/>
    <w:rsid w:val="00ED6FAE"/>
    <w:rsid w:val="00EE31D8"/>
    <w:rsid w:val="00EE32D5"/>
    <w:rsid w:val="00EE4E3F"/>
    <w:rsid w:val="00EE6543"/>
    <w:rsid w:val="00EF02CB"/>
    <w:rsid w:val="00EF5852"/>
    <w:rsid w:val="00EF6211"/>
    <w:rsid w:val="00F03148"/>
    <w:rsid w:val="00F06AD4"/>
    <w:rsid w:val="00F1009E"/>
    <w:rsid w:val="00F10717"/>
    <w:rsid w:val="00F11245"/>
    <w:rsid w:val="00F13068"/>
    <w:rsid w:val="00F13609"/>
    <w:rsid w:val="00F17A3A"/>
    <w:rsid w:val="00F26A2A"/>
    <w:rsid w:val="00F372B4"/>
    <w:rsid w:val="00F3754E"/>
    <w:rsid w:val="00F4105D"/>
    <w:rsid w:val="00F437BC"/>
    <w:rsid w:val="00F4529E"/>
    <w:rsid w:val="00F52CD6"/>
    <w:rsid w:val="00F538FE"/>
    <w:rsid w:val="00F53CE2"/>
    <w:rsid w:val="00F53F7E"/>
    <w:rsid w:val="00F540C1"/>
    <w:rsid w:val="00F5756A"/>
    <w:rsid w:val="00F615A5"/>
    <w:rsid w:val="00F65BC4"/>
    <w:rsid w:val="00F70E70"/>
    <w:rsid w:val="00F74237"/>
    <w:rsid w:val="00F83136"/>
    <w:rsid w:val="00F83267"/>
    <w:rsid w:val="00F84371"/>
    <w:rsid w:val="00FA44C2"/>
    <w:rsid w:val="00FA551B"/>
    <w:rsid w:val="00FC18F6"/>
    <w:rsid w:val="00FC205D"/>
    <w:rsid w:val="00FC23D4"/>
    <w:rsid w:val="00FC7098"/>
    <w:rsid w:val="00FE1BC0"/>
    <w:rsid w:val="00FE368F"/>
    <w:rsid w:val="00FE66C2"/>
    <w:rsid w:val="00FF37C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4A3827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12 Sabon* Roman 05232" w:eastAsiaTheme="minorEastAsia" w:hAnsi="12 Sabon* Roman 05232" w:cs="Calibri"/>
        <w:sz w:val="22"/>
        <w:szCs w:val="22"/>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9E41A5"/>
    <w:pPr>
      <w:tabs>
        <w:tab w:val="center" w:pos="4320"/>
        <w:tab w:val="right" w:pos="8640"/>
      </w:tabs>
    </w:pPr>
  </w:style>
  <w:style w:type="character" w:customStyle="1" w:styleId="FooterChar">
    <w:name w:val="Footer Char"/>
    <w:basedOn w:val="DefaultParagraphFont"/>
    <w:link w:val="Footer"/>
    <w:uiPriority w:val="99"/>
    <w:rsid w:val="009E41A5"/>
  </w:style>
  <w:style w:type="character" w:styleId="PageNumber">
    <w:name w:val="page number"/>
    <w:basedOn w:val="DefaultParagraphFont"/>
    <w:uiPriority w:val="99"/>
    <w:semiHidden/>
    <w:unhideWhenUsed/>
    <w:rsid w:val="009E41A5"/>
  </w:style>
  <w:style w:type="paragraph" w:styleId="Header">
    <w:name w:val="header"/>
    <w:basedOn w:val="Normal"/>
    <w:link w:val="HeaderChar"/>
    <w:uiPriority w:val="99"/>
    <w:unhideWhenUsed/>
    <w:rsid w:val="00243EB9"/>
    <w:pPr>
      <w:tabs>
        <w:tab w:val="center" w:pos="4320"/>
        <w:tab w:val="right" w:pos="8640"/>
      </w:tabs>
    </w:pPr>
  </w:style>
  <w:style w:type="character" w:customStyle="1" w:styleId="HeaderChar">
    <w:name w:val="Header Char"/>
    <w:basedOn w:val="DefaultParagraphFont"/>
    <w:link w:val="Header"/>
    <w:uiPriority w:val="99"/>
    <w:rsid w:val="00243EB9"/>
  </w:style>
  <w:style w:type="paragraph" w:styleId="BalloonText">
    <w:name w:val="Balloon Text"/>
    <w:basedOn w:val="Normal"/>
    <w:link w:val="BalloonTextChar"/>
    <w:uiPriority w:val="99"/>
    <w:semiHidden/>
    <w:unhideWhenUsed/>
    <w:rsid w:val="004E7715"/>
    <w:rPr>
      <w:rFonts w:ascii="Lucida Grande" w:hAnsi="Lucida Grande"/>
      <w:sz w:val="18"/>
      <w:szCs w:val="18"/>
    </w:rPr>
  </w:style>
  <w:style w:type="character" w:customStyle="1" w:styleId="BalloonTextChar">
    <w:name w:val="Balloon Text Char"/>
    <w:basedOn w:val="DefaultParagraphFont"/>
    <w:link w:val="BalloonText"/>
    <w:uiPriority w:val="99"/>
    <w:semiHidden/>
    <w:rsid w:val="004E7715"/>
    <w:rPr>
      <w:rFonts w:ascii="Lucida Grande" w:hAnsi="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12 Sabon* Roman 05232" w:eastAsiaTheme="minorEastAsia" w:hAnsi="12 Sabon* Roman 05232" w:cs="Calibri"/>
        <w:sz w:val="22"/>
        <w:szCs w:val="22"/>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9E41A5"/>
    <w:pPr>
      <w:tabs>
        <w:tab w:val="center" w:pos="4320"/>
        <w:tab w:val="right" w:pos="8640"/>
      </w:tabs>
    </w:pPr>
  </w:style>
  <w:style w:type="character" w:customStyle="1" w:styleId="FooterChar">
    <w:name w:val="Footer Char"/>
    <w:basedOn w:val="DefaultParagraphFont"/>
    <w:link w:val="Footer"/>
    <w:uiPriority w:val="99"/>
    <w:rsid w:val="009E41A5"/>
  </w:style>
  <w:style w:type="character" w:styleId="PageNumber">
    <w:name w:val="page number"/>
    <w:basedOn w:val="DefaultParagraphFont"/>
    <w:uiPriority w:val="99"/>
    <w:semiHidden/>
    <w:unhideWhenUsed/>
    <w:rsid w:val="009E41A5"/>
  </w:style>
  <w:style w:type="paragraph" w:styleId="Header">
    <w:name w:val="header"/>
    <w:basedOn w:val="Normal"/>
    <w:link w:val="HeaderChar"/>
    <w:uiPriority w:val="99"/>
    <w:unhideWhenUsed/>
    <w:rsid w:val="00243EB9"/>
    <w:pPr>
      <w:tabs>
        <w:tab w:val="center" w:pos="4320"/>
        <w:tab w:val="right" w:pos="8640"/>
      </w:tabs>
    </w:pPr>
  </w:style>
  <w:style w:type="character" w:customStyle="1" w:styleId="HeaderChar">
    <w:name w:val="Header Char"/>
    <w:basedOn w:val="DefaultParagraphFont"/>
    <w:link w:val="Header"/>
    <w:uiPriority w:val="99"/>
    <w:rsid w:val="00243EB9"/>
  </w:style>
  <w:style w:type="paragraph" w:styleId="BalloonText">
    <w:name w:val="Balloon Text"/>
    <w:basedOn w:val="Normal"/>
    <w:link w:val="BalloonTextChar"/>
    <w:uiPriority w:val="99"/>
    <w:semiHidden/>
    <w:unhideWhenUsed/>
    <w:rsid w:val="004E7715"/>
    <w:rPr>
      <w:rFonts w:ascii="Lucida Grande" w:hAnsi="Lucida Grande"/>
      <w:sz w:val="18"/>
      <w:szCs w:val="18"/>
    </w:rPr>
  </w:style>
  <w:style w:type="character" w:customStyle="1" w:styleId="BalloonTextChar">
    <w:name w:val="Balloon Text Char"/>
    <w:basedOn w:val="DefaultParagraphFont"/>
    <w:link w:val="BalloonText"/>
    <w:uiPriority w:val="99"/>
    <w:semiHidden/>
    <w:rsid w:val="004E7715"/>
    <w:rPr>
      <w:rFonts w:ascii="Lucida Grande" w:hAnsi="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4221</TotalTime>
  <Pages>6</Pages>
  <Words>2989</Words>
  <Characters>17038</Characters>
  <Application>Microsoft Macintosh Word</Application>
  <DocSecurity>0</DocSecurity>
  <Lines>141</Lines>
  <Paragraphs>39</Paragraphs>
  <ScaleCrop>false</ScaleCrop>
  <Company>Warwick University</Company>
  <LinksUpToDate>false</LinksUpToDate>
  <CharactersWithSpaces>19988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Crowther</dc:creator>
  <cp:keywords/>
  <dc:description/>
  <cp:lastModifiedBy>Thomas Crowther</cp:lastModifiedBy>
  <cp:revision>96</cp:revision>
  <dcterms:created xsi:type="dcterms:W3CDTF">2015-01-02T10:38:00Z</dcterms:created>
  <dcterms:modified xsi:type="dcterms:W3CDTF">2015-03-04T22:37:00Z</dcterms:modified>
</cp:coreProperties>
</file>