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eg"/>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454C59B0" w14:textId="67EE177E" w:rsidR="00ED6FAE" w:rsidRPr="008B6EE3" w:rsidRDefault="009E41A5">
      <w:pPr>
        <w:rPr>
          <w:rFonts w:ascii="Gill Sans" w:hAnsi="Gill Sans" w:cs="Gill Sans"/>
          <w:sz w:val="24"/>
          <w:szCs w:val="24"/>
        </w:rPr>
      </w:pPr>
      <w:r w:rsidRPr="008B6EE3">
        <w:rPr>
          <w:rFonts w:ascii="Gill Sans" w:hAnsi="Gill Sans" w:cs="Gill Sans"/>
          <w:sz w:val="24"/>
          <w:szCs w:val="24"/>
        </w:rPr>
        <w:t xml:space="preserve">PH251 Metaphysics </w:t>
      </w:r>
      <w:r w:rsidR="00AA4CFD">
        <w:rPr>
          <w:rFonts w:ascii="Gill Sans" w:hAnsi="Gill Sans" w:cs="Gill Sans"/>
          <w:sz w:val="24"/>
          <w:szCs w:val="24"/>
        </w:rPr>
        <w:t xml:space="preserve">  </w:t>
      </w:r>
      <w:r w:rsidR="005129D3">
        <w:rPr>
          <w:rFonts w:ascii="Gill Sans" w:hAnsi="Gill Sans" w:cs="Gill Sans"/>
          <w:sz w:val="24"/>
          <w:szCs w:val="24"/>
        </w:rPr>
        <w:t>Week 2</w:t>
      </w:r>
    </w:p>
    <w:p w14:paraId="34FDD553" w14:textId="3A9F59ED" w:rsidR="009E41A5" w:rsidRPr="008B6EE3" w:rsidRDefault="005129D3">
      <w:pPr>
        <w:rPr>
          <w:rFonts w:ascii="Gill Sans" w:hAnsi="Gill Sans" w:cs="Gill Sans"/>
          <w:sz w:val="24"/>
          <w:szCs w:val="24"/>
        </w:rPr>
      </w:pPr>
      <w:r>
        <w:rPr>
          <w:rFonts w:ascii="Gill Sans" w:hAnsi="Gill Sans" w:cs="Gill Sans"/>
          <w:sz w:val="24"/>
          <w:szCs w:val="24"/>
        </w:rPr>
        <w:t>Abstract Objects</w:t>
      </w:r>
    </w:p>
    <w:p w14:paraId="1D618B01" w14:textId="77777777" w:rsidR="009E41A5" w:rsidRDefault="009E41A5">
      <w:pPr>
        <w:rPr>
          <w:rFonts w:ascii="Gill Sans" w:hAnsi="Gill Sans" w:cs="Gill Sans"/>
        </w:rPr>
      </w:pPr>
    </w:p>
    <w:p w14:paraId="421E6953" w14:textId="77777777" w:rsidR="009E41A5" w:rsidRPr="00BC33BB" w:rsidRDefault="00BC33BB">
      <w:pPr>
        <w:rPr>
          <w:rFonts w:cs="Gill Sans"/>
        </w:rPr>
      </w:pPr>
      <w:r w:rsidRPr="00BC33BB">
        <w:rPr>
          <w:rFonts w:cs="Gill Sans"/>
        </w:rPr>
        <w:t xml:space="preserve">1. </w:t>
      </w:r>
      <w:r w:rsidR="00E240D5">
        <w:rPr>
          <w:rFonts w:cs="Gill Sans"/>
        </w:rPr>
        <w:t>Introductory remarks</w:t>
      </w:r>
      <w:r>
        <w:rPr>
          <w:rFonts w:cs="Gill Sans"/>
        </w:rPr>
        <w:t xml:space="preserve"> </w:t>
      </w:r>
    </w:p>
    <w:p w14:paraId="4A44273A" w14:textId="0CD9FF5A" w:rsidR="005A262B" w:rsidRDefault="00F1009E">
      <w:r>
        <w:t>A central dispute within ontology concerns the existence of abstract objects. We will discuss the issue generally this week, and concentrate on the traditional problem of universals next week.</w:t>
      </w:r>
    </w:p>
    <w:p w14:paraId="26A6962D" w14:textId="77777777" w:rsidR="005129D3" w:rsidRDefault="005129D3"/>
    <w:p w14:paraId="5FDBF524" w14:textId="2C53CDE1" w:rsidR="005129D3" w:rsidRDefault="005129D3">
      <w:r>
        <w:t>2. What are abstract objects?</w:t>
      </w:r>
      <w:r w:rsidR="00603CBA">
        <w:t xml:space="preserve"> (See Lowe (2002)</w:t>
      </w:r>
      <w:r w:rsidR="00F1009E">
        <w:t xml:space="preserve"> and Lewis (1986))</w:t>
      </w:r>
    </w:p>
    <w:p w14:paraId="14585A25" w14:textId="1B575BB9" w:rsidR="005129D3" w:rsidRDefault="00F1009E">
      <w:r>
        <w:t>(i) The notion of the ‘abstract’ derives from a contrast between ‘abstract’ and ‘concrete’. Concrete objects, you, a tree, my cat are ‘spatio-temporal’.</w:t>
      </w:r>
      <w:r w:rsidR="00D27144">
        <w:t xml:space="preserve"> Concrete objects are i</w:t>
      </w:r>
      <w:r w:rsidR="00CA287F">
        <w:t>n space and time and they can enter into causal relations.</w:t>
      </w:r>
    </w:p>
    <w:p w14:paraId="77D4EA1D" w14:textId="6D82E2F5" w:rsidR="00F1009E" w:rsidRDefault="00F1009E">
      <w:r>
        <w:t>(ii) D1</w:t>
      </w:r>
      <w:r w:rsidR="00D27144">
        <w:t>:</w:t>
      </w:r>
      <w:r>
        <w:t xml:space="preserve"> x is an abstract object iff x is ‘outside’ space and time</w:t>
      </w:r>
      <w:r w:rsidR="00603CBA">
        <w:t xml:space="preserve"> (and x cannot enter into causal relations)</w:t>
      </w:r>
      <w:r>
        <w:t>. But (a) ‘outside’ is a spatial relation; (b) God might exist outside space and time but that wouldn’t make Him abstract.</w:t>
      </w:r>
    </w:p>
    <w:p w14:paraId="5E7A9AE7" w14:textId="4C274C06" w:rsidR="00D27144" w:rsidRDefault="00D27144">
      <w:r>
        <w:t>(iii) An object which is in space and time in the relevant respect is “a possible subject of true tensed predications” (2002: 371). Which is to say that “we can truly say of this object that it now has, or formerly had, or will in future have some property.” (ibid. 371). “My hair was brown but now it is grey.”</w:t>
      </w:r>
    </w:p>
    <w:p w14:paraId="5961E58D" w14:textId="48F4AC4D" w:rsidR="00F1009E" w:rsidRDefault="00F1009E" w:rsidP="00D27144">
      <w:r>
        <w:t>(iii) D2</w:t>
      </w:r>
      <w:r w:rsidR="00D27144">
        <w:t>:</w:t>
      </w:r>
      <w:r>
        <w:t xml:space="preserve"> x is an abstract object iff </w:t>
      </w:r>
      <w:r w:rsidR="00D27144">
        <w:t xml:space="preserve">x is </w:t>
      </w:r>
      <w:r w:rsidR="00D27144" w:rsidRPr="00D27144">
        <w:rPr>
          <w:i/>
        </w:rPr>
        <w:t>not</w:t>
      </w:r>
      <w:r w:rsidR="00D27144">
        <w:t xml:space="preserve"> a possible subject of true tensed predications</w:t>
      </w:r>
      <w:r w:rsidR="00603CBA">
        <w:t xml:space="preserve"> (and x cannot enter into causal relations)</w:t>
      </w:r>
      <w:r w:rsidR="00D27144">
        <w:t>.</w:t>
      </w:r>
    </w:p>
    <w:p w14:paraId="511C1369" w14:textId="478ADC75" w:rsidR="00146B27" w:rsidRDefault="00CA287F">
      <w:r>
        <w:t>(“7+5</w:t>
      </w:r>
      <w:r w:rsidR="00D27144">
        <w:t>=12” is not tensed; it doesn’t make reference to the present and say how things are at some time relative to the present).</w:t>
      </w:r>
    </w:p>
    <w:p w14:paraId="1E53E48F" w14:textId="751F17A6" w:rsidR="00146B27" w:rsidRDefault="00D27144">
      <w:r>
        <w:t>(iv) But D2 needs to be finessed (“13 was, for much of the last 500 years, considered to be a lucky, not an unlucky, number.”)</w:t>
      </w:r>
    </w:p>
    <w:p w14:paraId="38388339" w14:textId="7B8B432D" w:rsidR="00603CBA" w:rsidRDefault="00050BA6">
      <w:r>
        <w:t>(v) D3: x is an abstract object iff the only true tensed predications of x are contingent truths about x</w:t>
      </w:r>
      <w:r w:rsidR="00603CBA">
        <w:t xml:space="preserve"> (and x cannot enter into causal relations)</w:t>
      </w:r>
      <w:r>
        <w:t>. (That 13 was considered unlucky is a contingent fact about 13. Even though it is or was true, it is not necessarily true of that number.) Lowe (2002) thinks that D3 needs to be refined. See (2002: 371) for those refinements.)</w:t>
      </w:r>
    </w:p>
    <w:p w14:paraId="095CBE1B" w14:textId="721BE263" w:rsidR="00050BA6" w:rsidRDefault="00050BA6">
      <w:r>
        <w:t xml:space="preserve">(vi) Despite these issues of refinement, is D3 satisfactory? If 7+5=12 then isn’t it the case that that was true, is now true, and will be true. (?) </w:t>
      </w:r>
    </w:p>
    <w:p w14:paraId="62DCBA28" w14:textId="77777777" w:rsidR="005129D3" w:rsidRDefault="005129D3"/>
    <w:p w14:paraId="48DE7DB4" w14:textId="79248924" w:rsidR="005129D3" w:rsidRDefault="005129D3">
      <w:r>
        <w:t>3. Are there any abstract objects? Yes</w:t>
      </w:r>
    </w:p>
    <w:p w14:paraId="1D30EDEE" w14:textId="75534688" w:rsidR="005129D3" w:rsidRDefault="005558EC">
      <w:r>
        <w:t xml:space="preserve">(i) Three traditional </w:t>
      </w:r>
      <w:r w:rsidR="00050BA6">
        <w:t>positions; (a) realism (Platonic realism)</w:t>
      </w:r>
      <w:r>
        <w:t>; (b) conceptualism; and (c) nominalism. Both (a) and (b) can answer in the affirmative (though they differ in whether these objects exist independently of classifying and categorization). ‘Nominalists’ hold that abstract objects do not exist. (There are many different varieties of the latter position. We will discuss some next week.) I will set aside conceptualism. We will consider arguments for (a). And we will also focus on numbers.</w:t>
      </w:r>
    </w:p>
    <w:p w14:paraId="76E60894" w14:textId="77777777" w:rsidR="005558EC" w:rsidRDefault="005558EC"/>
    <w:p w14:paraId="461A4A4B" w14:textId="40B8E2B8" w:rsidR="008D5750" w:rsidRDefault="005558EC">
      <w:r>
        <w:t>(</w:t>
      </w:r>
      <w:r w:rsidR="00282BD0">
        <w:t>3.</w:t>
      </w:r>
      <w:r>
        <w:t>1)</w:t>
      </w:r>
      <w:r w:rsidR="00282BD0">
        <w:t xml:space="preserve"> </w:t>
      </w:r>
      <w:r w:rsidR="008D5750">
        <w:t>Scientific Indispensability Arguments</w:t>
      </w:r>
    </w:p>
    <w:p w14:paraId="48C6BE70" w14:textId="3EF60DC4" w:rsidR="00CA287F" w:rsidRDefault="00CA287F">
      <w:r>
        <w:t>The basic idea of these arguments is that we should exploit an analogy between claims about the existence of number and claim</w:t>
      </w:r>
      <w:r w:rsidR="00EC2916">
        <w:t>s about such things as electrons</w:t>
      </w:r>
      <w:r>
        <w:t xml:space="preserve"> a</w:t>
      </w:r>
    </w:p>
    <w:p w14:paraId="04AECB46" w14:textId="2AA411DE" w:rsidR="008D5750" w:rsidRDefault="008D5750">
      <w:r>
        <w:t>1. We ought to have ontological commitment to all and only those entities that are indispensable to our best scientific theories;</w:t>
      </w:r>
    </w:p>
    <w:p w14:paraId="2615BA98" w14:textId="19CA7917" w:rsidR="008D5750" w:rsidRDefault="008D5750">
      <w:r>
        <w:t>2. Mathematical entities are essential to our best scientific theories.</w:t>
      </w:r>
    </w:p>
    <w:p w14:paraId="734E3169" w14:textId="59FE1638" w:rsidR="008D5750" w:rsidRDefault="008D5750">
      <w:r>
        <w:t>3. Therefore, we ought to have ontological commitment to mathematical entities.</w:t>
      </w:r>
    </w:p>
    <w:p w14:paraId="07942939" w14:textId="02336C3E" w:rsidR="008D5750" w:rsidRDefault="008D5750">
      <w:r>
        <w:t>(ii) This kind of argument is generally credited to Quine and Putnam. (See Quine (1948), (1951), (1981) and elsewhere, and Putnam (1971))</w:t>
      </w:r>
    </w:p>
    <w:p w14:paraId="1CCB7071" w14:textId="121B051A" w:rsidR="008D5750" w:rsidRDefault="008D5750">
      <w:r>
        <w:t>‘Ordinary interpreted scientific discourse is as irredeemably committed to ab</w:t>
      </w:r>
      <w:r w:rsidR="00A674DE">
        <w:t>s</w:t>
      </w:r>
      <w:r>
        <w:t xml:space="preserve">tract objects—to nations, species, numbers, functions, sets—as it is to applies and other bodies. All these things figure as values of the variables in our overall system of the </w:t>
      </w:r>
      <w:r>
        <w:lastRenderedPageBreak/>
        <w:t>world. The numbers and functions contribute just as genuinely to physical theory as do hypothetical particles.” (Quine (1981): 149-</w:t>
      </w:r>
      <w:r w:rsidR="00A674DE">
        <w:t>50).</w:t>
      </w:r>
    </w:p>
    <w:p w14:paraId="319F644D" w14:textId="01B0A128" w:rsidR="00A674DE" w:rsidRDefault="00A674DE">
      <w:r>
        <w:t>(</w:t>
      </w:r>
      <w:r w:rsidR="000552FF">
        <w:t>iii) Newton’s law of gravitation</w:t>
      </w:r>
      <w:r w:rsidR="009D2562">
        <w:t xml:space="preserve"> is a law about the physical world that is used to calculate the gravitational force that obtains between objects of different masses and distances apart. That force varies depending on how far apart the objects and what their masses are. This law is used in designing vehicles to send into space, amongst other things.</w:t>
      </w:r>
    </w:p>
    <w:p w14:paraId="12FBD4B6" w14:textId="08E8BBAB" w:rsidR="00A674DE" w:rsidRPr="009D2562" w:rsidRDefault="009D2562">
      <w:r>
        <w:t>F= [G(m</w:t>
      </w:r>
      <w:r>
        <w:rPr>
          <w:vertAlign w:val="subscript"/>
        </w:rPr>
        <w:t>a</w:t>
      </w:r>
      <w:r>
        <w:t xml:space="preserve"> x m</w:t>
      </w:r>
      <w:r>
        <w:rPr>
          <w:vertAlign w:val="subscript"/>
        </w:rPr>
        <w:t>b</w:t>
      </w:r>
      <w:r>
        <w:t>)]/r</w:t>
      </w:r>
      <w:r>
        <w:rPr>
          <w:vertAlign w:val="superscript"/>
        </w:rPr>
        <w:t>2</w:t>
      </w:r>
      <w:r>
        <w:t xml:space="preserve">  (where F is the force, ma and mb are the masses of two objects, and r is distance between them) The G is the gravitational constant—6.7x10</w:t>
      </w:r>
      <w:r>
        <w:rPr>
          <w:vertAlign w:val="superscript"/>
        </w:rPr>
        <w:t>-11</w:t>
      </w:r>
      <w:r>
        <w:t>. This piece of theory, that refers to a number, gives the correct value of the force between objects of those different masses, and at different distances, when force is measured in newtons. So if one wants to understand the notion of gravitation, one needs numbers- to serve both as the value of the constant and to describe gravitational force, in newtons.</w:t>
      </w:r>
    </w:p>
    <w:p w14:paraId="0FDE7FB8" w14:textId="77777777" w:rsidR="008D5750" w:rsidRDefault="008D5750"/>
    <w:p w14:paraId="0242722A" w14:textId="4A226F54" w:rsidR="008D5750" w:rsidRDefault="008D5750">
      <w:r>
        <w:t>(3.2) Semantic Indispensability Arguments (the terminology is from Colyvan (2001)</w:t>
      </w:r>
    </w:p>
    <w:p w14:paraId="4553828C" w14:textId="77777777" w:rsidR="008D5750" w:rsidRDefault="008D5750"/>
    <w:p w14:paraId="55AF01BD" w14:textId="0EEC74E6" w:rsidR="00677C6D" w:rsidRDefault="00677C6D">
      <w:r>
        <w:t>(i) A basic semantic indispensability argument</w:t>
      </w:r>
    </w:p>
    <w:p w14:paraId="35E28754" w14:textId="23E28A75" w:rsidR="00677C6D" w:rsidRDefault="00677C6D">
      <w:r>
        <w:t>1. If “7 and 13 prime” is true, then there are numbers.</w:t>
      </w:r>
    </w:p>
    <w:p w14:paraId="63AEE116" w14:textId="3C694B2B" w:rsidR="00677C6D" w:rsidRDefault="00677C6D">
      <w:r>
        <w:t>2. “7 and 13 are prime” is true</w:t>
      </w:r>
    </w:p>
    <w:p w14:paraId="17273DB5" w14:textId="4D7B0895" w:rsidR="00677C6D" w:rsidRDefault="00677C6D">
      <w:r>
        <w:t>3. Therefore, there are numbers. (And this is just for ‘numbers to exist’ given Quine’s views about ontological commitment).</w:t>
      </w:r>
    </w:p>
    <w:p w14:paraId="18984542" w14:textId="77777777" w:rsidR="00A674DE" w:rsidRDefault="00A674DE"/>
    <w:p w14:paraId="163AAC2B" w14:textId="061EB61D" w:rsidR="00677C6D" w:rsidRDefault="00677C6D">
      <w:r>
        <w:t xml:space="preserve">(ii) Premise 2. is true because if this number sentence is true, then there must be numbers, the existence of which is what makes the sentence true. </w:t>
      </w:r>
    </w:p>
    <w:p w14:paraId="5B32AB1C" w14:textId="15F50C0D" w:rsidR="00282BD0" w:rsidRDefault="00677C6D">
      <w:r>
        <w:t>(iii)</w:t>
      </w:r>
      <w:r w:rsidR="00282BD0">
        <w:t xml:space="preserve"> Chris Swoyer (2008) lists a range of </w:t>
      </w:r>
      <w:r>
        <w:t>different features of the semantics of number sentences that he takes to be explained by an ontology of numbers as abstract objects.</w:t>
      </w:r>
    </w:p>
    <w:p w14:paraId="1871F704" w14:textId="77777777" w:rsidR="00677C6D" w:rsidRDefault="00677C6D">
      <w:r>
        <w:t>a</w:t>
      </w:r>
      <w:r w:rsidR="00282BD0">
        <w:t xml:space="preserve"> mathematical sentence such as “7+5=12” is true, and its truth is independ</w:t>
      </w:r>
      <w:r>
        <w:t xml:space="preserve">ent of what we or anyone thinks; </w:t>
      </w:r>
    </w:p>
    <w:p w14:paraId="7CC8F52B" w14:textId="671E0621" w:rsidR="00E04EC3" w:rsidRDefault="00677C6D">
      <w:r>
        <w:t>a</w:t>
      </w:r>
      <w:r w:rsidR="00E04EC3">
        <w:t xml:space="preserve"> sentence such </w:t>
      </w:r>
      <w:r>
        <w:t>as “7+5=12” is necessarily true;</w:t>
      </w:r>
    </w:p>
    <w:p w14:paraId="2156340A" w14:textId="323B8F5E" w:rsidR="00E04EC3" w:rsidRDefault="00677C6D">
      <w:r>
        <w:t>t</w:t>
      </w:r>
      <w:r w:rsidR="00E04EC3">
        <w:t>here are infinitely many natural numbers.</w:t>
      </w:r>
    </w:p>
    <w:p w14:paraId="03172CEB" w14:textId="1F610FC7" w:rsidR="00E04EC3" w:rsidRDefault="00677C6D">
      <w:r>
        <w:t>t</w:t>
      </w:r>
      <w:r w:rsidR="00E04EC3">
        <w:t xml:space="preserve">he structure of the sentence “7 is prime” appears to be analogous to the structure of </w:t>
      </w:r>
      <w:r>
        <w:t>the sentence “Tom is 6ft tall”.</w:t>
      </w:r>
    </w:p>
    <w:p w14:paraId="6BE93442" w14:textId="1170BB7A" w:rsidR="00E41B55" w:rsidRDefault="00677C6D">
      <w:r>
        <w:t>t</w:t>
      </w:r>
      <w:r w:rsidR="00E04EC3">
        <w:t xml:space="preserve">he </w:t>
      </w:r>
      <w:r w:rsidR="00E41B55">
        <w:t xml:space="preserve">truth of the </w:t>
      </w:r>
      <w:r w:rsidR="00E04EC3">
        <w:t xml:space="preserve">sentence ‘There is something that is prime’ </w:t>
      </w:r>
      <w:r w:rsidR="00E41B55">
        <w:t>follows</w:t>
      </w:r>
      <w:r w:rsidR="00E04EC3">
        <w:t xml:space="preserve"> from </w:t>
      </w:r>
      <w:r w:rsidR="00E41B55">
        <w:t xml:space="preserve">the truth of </w:t>
      </w:r>
      <w:r>
        <w:t>‘7 is prime’.</w:t>
      </w:r>
    </w:p>
    <w:p w14:paraId="58517ABE" w14:textId="49B3EA64" w:rsidR="00E04EC3" w:rsidRDefault="00E41B55">
      <w:r>
        <w:t>We are capable of knowing the truth of mathematical sentences a priori, without requiring experience for the justification of those beliefs.</w:t>
      </w:r>
      <w:r w:rsidR="00E04EC3">
        <w:t xml:space="preserve"> </w:t>
      </w:r>
    </w:p>
    <w:p w14:paraId="687BD92B" w14:textId="0201F191" w:rsidR="005129D3" w:rsidRDefault="000552FF">
      <w:r>
        <w:t xml:space="preserve">(iv) Swoyer (2008) suggests the following picture explains these features. </w:t>
      </w:r>
      <w:r w:rsidR="008E525A">
        <w:t>Natural numbers (0, 1, 2…) are things that do not exist in space and time, they do not change, there is an infinite series of them, they exist necessarily, any mathematical properties they possess they possess necessarily (being grea</w:t>
      </w:r>
      <w:r>
        <w:t>ter than, or equal to a sum of), and that they possess these properties is independent of whatever we may think about their properties.</w:t>
      </w:r>
    </w:p>
    <w:p w14:paraId="1A120F6F" w14:textId="77777777" w:rsidR="005129D3" w:rsidRDefault="005129D3"/>
    <w:p w14:paraId="41E6D131" w14:textId="0708E297" w:rsidR="005129D3" w:rsidRDefault="005129D3">
      <w:r>
        <w:t>4. Are there any abstract objects? No</w:t>
      </w:r>
    </w:p>
    <w:p w14:paraId="4EF423A9" w14:textId="23537D80" w:rsidR="005129D3" w:rsidRDefault="007315FE">
      <w:r>
        <w:t xml:space="preserve">There are many different kinds arguments for nominalism. </w:t>
      </w:r>
      <w:r w:rsidR="00EC2916">
        <w:t>We will discuss the variety of nominalist strategies about properties next week. Are there any constraints on nominalist accounts?</w:t>
      </w:r>
    </w:p>
    <w:p w14:paraId="5FF778C7" w14:textId="77777777" w:rsidR="007315FE" w:rsidRDefault="007315FE"/>
    <w:p w14:paraId="7AE96650" w14:textId="625F9E25" w:rsidR="005129D3" w:rsidRDefault="005558EC">
      <w:r>
        <w:t xml:space="preserve">(1) </w:t>
      </w:r>
      <w:r w:rsidR="005129D3">
        <w:t>Paraphrase</w:t>
      </w:r>
      <w:r w:rsidR="003529C8">
        <w:t xml:space="preserve"> Strategies</w:t>
      </w:r>
    </w:p>
    <w:p w14:paraId="4CF5E493" w14:textId="6232534A" w:rsidR="000552FF" w:rsidRDefault="000552FF">
      <w:r>
        <w:t>(i) The general idea behind a paraphrase strategy is that we can maintain that mathematical claims are true, but without that committing us to the idea that there are things, numbers, that are their truth-makers. (cf. “The average London flat is 200 ft square”. We don’t think that this means that there is a thing, an average flat.)</w:t>
      </w:r>
    </w:p>
    <w:p w14:paraId="6E96A691" w14:textId="45B24075" w:rsidR="003529C8" w:rsidRDefault="003529C8">
      <w:r>
        <w:t>(ii) If a paraphrase strategy can be made to work, then premise 2 of the scientific indispensability argument is false, and premise 1 of the semantic indispensability argument is false.</w:t>
      </w:r>
    </w:p>
    <w:p w14:paraId="33FBE94F" w14:textId="588D4721" w:rsidR="000552FF" w:rsidRDefault="000552FF">
      <w:r>
        <w:t xml:space="preserve">(ii) </w:t>
      </w:r>
      <w:r w:rsidR="003529C8">
        <w:t xml:space="preserve">Here is </w:t>
      </w:r>
      <w:r w:rsidR="008F063F">
        <w:t>a familiar</w:t>
      </w:r>
      <w:r w:rsidR="003529C8">
        <w:t xml:space="preserve"> strategy for removing reference to numbers and for avoiding quantification over numbers.</w:t>
      </w:r>
    </w:p>
    <w:p w14:paraId="7A808AB4" w14:textId="611CF230" w:rsidR="008F063F" w:rsidRDefault="008F063F">
      <w:r>
        <w:t>(T) There are three dogs     (Dx = x is a dog)</w:t>
      </w:r>
    </w:p>
    <w:p w14:paraId="65052F51" w14:textId="70331B25" w:rsidR="008F063F" w:rsidRDefault="008F063F">
      <w:r>
        <w:t>This says:</w:t>
      </w:r>
    </w:p>
    <w:p w14:paraId="6146B24D" w14:textId="66F6F08D" w:rsidR="008F063F" w:rsidRPr="00C0429B" w:rsidRDefault="008F063F">
      <w:pPr>
        <w:rPr>
          <w:rFonts w:ascii="Symbol" w:hAnsi="Symbol"/>
        </w:rPr>
      </w:pPr>
      <w:r>
        <w:t xml:space="preserve">(Para) </w:t>
      </w:r>
      <w:r>
        <w:rPr>
          <w:rFonts w:ascii="Symbol" w:hAnsi="Symbol"/>
        </w:rPr>
        <w:t></w:t>
      </w:r>
      <w:r>
        <w:t>x</w:t>
      </w:r>
      <w:r>
        <w:rPr>
          <w:rFonts w:ascii="Symbol" w:hAnsi="Symbol"/>
        </w:rPr>
        <w:t></w:t>
      </w:r>
      <w:r>
        <w:t>y</w:t>
      </w:r>
      <w:r>
        <w:rPr>
          <w:rFonts w:ascii="Symbol" w:hAnsi="Symbol"/>
        </w:rPr>
        <w:t></w:t>
      </w:r>
      <w:r w:rsidR="00FC18F6">
        <w:t>z ((</w:t>
      </w:r>
      <w:r w:rsidR="00C0429B">
        <w:t xml:space="preserve">Dx &amp; Dy &amp; Dz) &amp; (x </w:t>
      </w:r>
      <w:r w:rsidR="00C0429B">
        <w:rPr>
          <w:rFonts w:ascii="ＭＳ ゴシック" w:eastAsia="ＭＳ ゴシック" w:hint="eastAsia"/>
        </w:rPr>
        <w:t>≠</w:t>
      </w:r>
      <w:r w:rsidR="00C0429B">
        <w:t xml:space="preserve"> y &amp; x </w:t>
      </w:r>
      <w:r w:rsidR="00C0429B">
        <w:rPr>
          <w:rFonts w:ascii="ＭＳ ゴシック" w:eastAsia="ＭＳ ゴシック" w:hint="eastAsia"/>
        </w:rPr>
        <w:t>≠</w:t>
      </w:r>
      <w:r w:rsidR="00C0429B">
        <w:t xml:space="preserve"> z &amp; y </w:t>
      </w:r>
      <w:r w:rsidR="00C0429B">
        <w:rPr>
          <w:rFonts w:ascii="ＭＳ ゴシック" w:eastAsia="ＭＳ ゴシック" w:hint="eastAsia"/>
        </w:rPr>
        <w:t>≠</w:t>
      </w:r>
      <w:r w:rsidR="00C0429B">
        <w:t xml:space="preserve"> z) &amp; (</w:t>
      </w:r>
      <w:r w:rsidR="00C0429B">
        <w:rPr>
          <w:rFonts w:ascii="Symbol" w:hAnsi="Symbol"/>
        </w:rPr>
        <w:t></w:t>
      </w:r>
      <w:r w:rsidR="00C0429B">
        <w:t xml:space="preserve">xDn (Dn </w:t>
      </w:r>
      <w:r w:rsidR="00C0429B">
        <w:sym w:font="Symbol" w:char="F0AE"/>
      </w:r>
      <w:r w:rsidR="00C0429B">
        <w:t xml:space="preserve"> (n=x v n=y v n=z))</w:t>
      </w:r>
      <w:r w:rsidR="00FC18F6">
        <w:t>))</w:t>
      </w:r>
    </w:p>
    <w:p w14:paraId="62301560" w14:textId="23020B2F" w:rsidR="005129D3" w:rsidRDefault="00CA287F">
      <w:r>
        <w:t xml:space="preserve">(iii) This sentence says that there is an x which is a dog and a y which is a dog and a z which is a dog and these are not identical with one another and for anything that is a dog, it is either identical with x or y or z. We have not mentioned </w:t>
      </w:r>
      <w:r w:rsidR="009E14CD">
        <w:t xml:space="preserve">the number </w:t>
      </w:r>
      <w:r>
        <w:t xml:space="preserve">three or quantified over number. (See Melia (1995) for </w:t>
      </w:r>
      <w:r w:rsidR="00393D33">
        <w:t>discussion and criticism</w:t>
      </w:r>
      <w:r w:rsidR="009E14CD">
        <w:t>.</w:t>
      </w:r>
      <w:r>
        <w:t>)</w:t>
      </w:r>
    </w:p>
    <w:p w14:paraId="3006F55E" w14:textId="77777777" w:rsidR="007315FE" w:rsidRDefault="00CA287F">
      <w:r>
        <w:t xml:space="preserve">(iv) </w:t>
      </w:r>
      <w:r w:rsidR="007315FE">
        <w:t xml:space="preserve">A dilemma: </w:t>
      </w:r>
    </w:p>
    <w:p w14:paraId="7DE56808" w14:textId="784C7F08" w:rsidR="007315FE" w:rsidRDefault="007315FE">
      <w:r>
        <w:t xml:space="preserve">(a) The usual way to think of paraphrase: ‘x is a paraphrase of y’ entails that ‘x has </w:t>
      </w:r>
      <w:r w:rsidR="000D799E">
        <w:t>the same meaning as y’. But if that is true then (on the face of it)</w:t>
      </w:r>
      <w:r>
        <w:t xml:space="preserve"> if x is true then y is true. So the paraphrasing sentence (Para) would appear to entail ‘There are three dogs’. </w:t>
      </w:r>
      <w:r w:rsidR="000D799E">
        <w:t>(Paraphrase is symmetrical).</w:t>
      </w:r>
    </w:p>
    <w:p w14:paraId="79AE39E9" w14:textId="3CA229D7" w:rsidR="00CA287F" w:rsidRDefault="007315FE">
      <w:r>
        <w:t>(b) The nominalist may deny that a paraphrase of a sentence has the same meaning as the original. But that is problematic, if the goal was to establish th</w:t>
      </w:r>
      <w:r w:rsidR="00CB7B7C">
        <w:t>at the truth of the origin</w:t>
      </w:r>
      <w:r w:rsidR="00EC2916">
        <w:t>al (‘to-be</w:t>
      </w:r>
      <w:r w:rsidR="00CB7B7C">
        <w:t>-</w:t>
      </w:r>
      <w:r>
        <w:t>paraphrased</w:t>
      </w:r>
      <w:r w:rsidR="00CB7B7C">
        <w:t>’</w:t>
      </w:r>
      <w:r>
        <w:t>) sentence does not entail that th</w:t>
      </w:r>
      <w:r w:rsidR="00CB7B7C">
        <w:t>ere are abstract objects. It does not establish that there is no commitment to abstrac</w:t>
      </w:r>
      <w:r w:rsidR="00EC2916">
        <w:t xml:space="preserve">t objects </w:t>
      </w:r>
      <w:r w:rsidR="000D799E">
        <w:t>in</w:t>
      </w:r>
      <w:r w:rsidR="00EC2916">
        <w:t xml:space="preserve"> the to</w:t>
      </w:r>
      <w:r w:rsidR="00CB7B7C">
        <w:t>-</w:t>
      </w:r>
      <w:r w:rsidR="00EC2916">
        <w:t>be-</w:t>
      </w:r>
      <w:r w:rsidR="00CB7B7C">
        <w:t xml:space="preserve">paraphrased meaningful sentence S1 to show that there is some </w:t>
      </w:r>
      <w:r w:rsidR="00CB7B7C" w:rsidRPr="000D799E">
        <w:rPr>
          <w:i/>
        </w:rPr>
        <w:t>other</w:t>
      </w:r>
      <w:r w:rsidR="00CB7B7C">
        <w:t xml:space="preserve"> sentence S2 that differs in meaning from S1 that doesn’t require </w:t>
      </w:r>
      <w:r w:rsidR="000D799E">
        <w:t>abstract objects for its truth.</w:t>
      </w:r>
    </w:p>
    <w:p w14:paraId="52FF0349" w14:textId="77777777" w:rsidR="007315FE" w:rsidRDefault="007315FE"/>
    <w:p w14:paraId="06EF5FB0" w14:textId="2D99D3D2" w:rsidR="005129D3" w:rsidRDefault="005558EC" w:rsidP="005129D3">
      <w:r>
        <w:t xml:space="preserve">(2) </w:t>
      </w:r>
      <w:r w:rsidR="005129D3">
        <w:t>Epistemological problems</w:t>
      </w:r>
    </w:p>
    <w:p w14:paraId="22BE93D2" w14:textId="55B75518" w:rsidR="005129D3" w:rsidRDefault="00CB7B7C">
      <w:r>
        <w:t>(i) Last week I introduced the idea that there are epistemological problems with the idea that one may have knowledge of the existence of abstract objects.</w:t>
      </w:r>
    </w:p>
    <w:p w14:paraId="3C316632" w14:textId="20FCCF17" w:rsidR="004776BB" w:rsidRDefault="004776BB">
      <w:r>
        <w:t xml:space="preserve">(ii) There are different ways that </w:t>
      </w:r>
      <w:r w:rsidR="00FC23D4">
        <w:t>more specific worries</w:t>
      </w:r>
      <w:r>
        <w:t xml:space="preserve"> might be formulated:</w:t>
      </w:r>
    </w:p>
    <w:p w14:paraId="4E2A4DBA" w14:textId="51C67251" w:rsidR="004776BB" w:rsidRDefault="004776BB">
      <w:r>
        <w:t>2.1 Crude empiricism about warrant: It is not possible to have a justified belief that xs exist if one cannot see xs directly.</w:t>
      </w:r>
    </w:p>
    <w:p w14:paraId="110E5C16" w14:textId="42328B9E" w:rsidR="004776BB" w:rsidRDefault="004776BB">
      <w:r>
        <w:t xml:space="preserve">2.2 Causal worries: It is not possible to have a justified belief that xs exist if xs are causally inert and cannot enter into causal relations with </w:t>
      </w:r>
      <w:r w:rsidR="00FC23D4">
        <w:t>thinkers of thoughts</w:t>
      </w:r>
      <w:r>
        <w:t xml:space="preserve">. </w:t>
      </w:r>
      <w:r w:rsidR="00FC23D4">
        <w:t xml:space="preserve">For knowledge of some </w:t>
      </w:r>
      <w:r w:rsidR="001822B1">
        <w:t>fact or facts</w:t>
      </w:r>
      <w:r w:rsidR="00FC23D4">
        <w:t xml:space="preserve"> requires a causal relation to that </w:t>
      </w:r>
      <w:r w:rsidR="001822B1">
        <w:t>fact</w:t>
      </w:r>
      <w:r w:rsidR="00FC23D4">
        <w:t xml:space="preserve">. </w:t>
      </w:r>
      <w:r>
        <w:t>(See Benacerraf (1973) for an influential statement of this argument).</w:t>
      </w:r>
    </w:p>
    <w:p w14:paraId="777B9A93" w14:textId="5BE6006C" w:rsidR="0022650D" w:rsidRDefault="004776BB">
      <w:r>
        <w:t>2.3 Reliability worries: It is not poss</w:t>
      </w:r>
      <w:r w:rsidR="00FC23D4">
        <w:t>ible to have a justified belief</w:t>
      </w:r>
      <w:r>
        <w:t xml:space="preserve"> that xs exist where the source of those beliefs is such that there is no non-question-begging explanation of the reliability of the beliefs so formed.</w:t>
      </w:r>
      <w:r w:rsidR="00FC23D4">
        <w:t xml:space="preserve"> B</w:t>
      </w:r>
      <w:r w:rsidR="001822B1">
        <w:t xml:space="preserve">ut there is no good non-question-begging explanation of how or why having a </w:t>
      </w:r>
      <w:r w:rsidR="00FC23D4">
        <w:t>rationa</w:t>
      </w:r>
      <w:r w:rsidR="001822B1">
        <w:t>l intuition that p is true is a reliable sign of p’s being true.</w:t>
      </w:r>
    </w:p>
    <w:p w14:paraId="15EC9FAF" w14:textId="121696CF" w:rsidR="00FC23D4" w:rsidRDefault="00FC23D4">
      <w:r>
        <w:t>(iii) If any of 2.1-2.3 is correct, then if there are abstract objects, it would not be possible to know anything about them. This violates a general metaphysical principle that a good ontology would not make it impossible to explain how knowledge of the elements of that ontology is possible.</w:t>
      </w:r>
    </w:p>
    <w:p w14:paraId="7E123CE9" w14:textId="4C761108" w:rsidR="001822B1" w:rsidRDefault="001822B1">
      <w:r>
        <w:t>Replies</w:t>
      </w:r>
    </w:p>
    <w:p w14:paraId="1CB7A65D" w14:textId="073F85D5" w:rsidR="001822B1" w:rsidRDefault="001822B1">
      <w:r>
        <w:t>2.1 is too strong. If 2.1 is true then it is not possible to have justified beliefs about electrons, clouds, and black holes. But we can have justified beliefs about those things.</w:t>
      </w:r>
    </w:p>
    <w:p w14:paraId="6878322D" w14:textId="24C63CB3" w:rsidR="001822B1" w:rsidRDefault="001822B1">
      <w:r>
        <w:t xml:space="preserve">2.2. </w:t>
      </w:r>
      <w:r w:rsidR="00837C86">
        <w:t>What reason is there to think</w:t>
      </w:r>
      <w:r>
        <w:t xml:space="preserve"> that all knowledge requires a causal link </w:t>
      </w:r>
      <w:r w:rsidR="0022650D">
        <w:t>betw</w:t>
      </w:r>
      <w:r w:rsidR="00837C86">
        <w:t>een the believer and the facts? Why isn’t that simply true for a posteriori knowledge, or knowledge acquired through experience? (It is not even obviously true in this case: our knowledge that all diamonds</w:t>
      </w:r>
      <w:r w:rsidR="003A069F">
        <w:t xml:space="preserve"> are carbon, for example.).</w:t>
      </w:r>
    </w:p>
    <w:p w14:paraId="02CA2C41" w14:textId="184AEF6E" w:rsidR="0022650D" w:rsidRDefault="0022650D">
      <w:r>
        <w:t xml:space="preserve">2.3 It is not clear that rational intuition is in any worse a position than an empiricist who argues that perceptual experience can be a source of knowledge about the world. Why is its appearing to one in visual experience as if </w:t>
      </w:r>
      <w:r w:rsidR="00837C86">
        <w:t>p an indication that p is true? The empiricist cannot claim that this is something obvious. (See BonJour (1998) chapter 5 for a discussion of these objections and chapter 4 for a ‘moderate rationalist view’ of a priori intuition.)</w:t>
      </w:r>
    </w:p>
    <w:p w14:paraId="71EB323C" w14:textId="77777777" w:rsidR="00CB7B7C" w:rsidRDefault="00CB7B7C"/>
    <w:p w14:paraId="0439A1FB" w14:textId="015FF250" w:rsidR="005129D3" w:rsidRDefault="005558EC">
      <w:r>
        <w:t xml:space="preserve">(3) </w:t>
      </w:r>
      <w:r w:rsidR="005129D3">
        <w:t>Carnap and positivism</w:t>
      </w:r>
    </w:p>
    <w:p w14:paraId="7F3F6E94" w14:textId="3F821907" w:rsidR="00B13D17" w:rsidRDefault="00B13D17">
      <w:r>
        <w:t>3.1</w:t>
      </w:r>
    </w:p>
    <w:p w14:paraId="0857FE44" w14:textId="77777777" w:rsidR="003A069F" w:rsidRDefault="003A069F" w:rsidP="00CB7B7C">
      <w:pPr>
        <w:rPr>
          <w:rFonts w:cs="Gill Sans"/>
        </w:rPr>
      </w:pPr>
      <w:r>
        <w:rPr>
          <w:rFonts w:cs="Gill Sans"/>
        </w:rPr>
        <w:t xml:space="preserve">(i) Carnap (1956) aims to argue that the acceptance of sentences like “There are numbers” or “There are abstract objects” is </w:t>
      </w:r>
      <w:r w:rsidRPr="003A069F">
        <w:rPr>
          <w:rFonts w:cs="Gill Sans"/>
          <w:i/>
        </w:rPr>
        <w:t>consistent</w:t>
      </w:r>
      <w:r>
        <w:rPr>
          <w:rFonts w:cs="Gill Sans"/>
        </w:rPr>
        <w:t xml:space="preserve"> with it being </w:t>
      </w:r>
      <w:r w:rsidRPr="003A069F">
        <w:rPr>
          <w:rFonts w:cs="Gill Sans"/>
          <w:i/>
        </w:rPr>
        <w:t>false</w:t>
      </w:r>
      <w:r>
        <w:rPr>
          <w:rFonts w:cs="Gill Sans"/>
        </w:rPr>
        <w:t xml:space="preserve"> that there are any numbers and </w:t>
      </w:r>
      <w:r w:rsidRPr="003A069F">
        <w:rPr>
          <w:rFonts w:cs="Gill Sans"/>
          <w:i/>
        </w:rPr>
        <w:t>false</w:t>
      </w:r>
      <w:r>
        <w:rPr>
          <w:rFonts w:cs="Gill Sans"/>
        </w:rPr>
        <w:t xml:space="preserve"> that there are any abstract objects. </w:t>
      </w:r>
    </w:p>
    <w:p w14:paraId="3741E6F4" w14:textId="5BC8102D" w:rsidR="003A069F" w:rsidRDefault="003A069F" w:rsidP="00CB7B7C">
      <w:pPr>
        <w:rPr>
          <w:rFonts w:cs="Gill Sans"/>
        </w:rPr>
      </w:pPr>
      <w:r>
        <w:rPr>
          <w:rFonts w:cs="Gill Sans"/>
        </w:rPr>
        <w:t>(ii) If this can be shown, then premise 2 of the scientific indispensability argument is false and premise 1 of the semantic argument is false.</w:t>
      </w:r>
    </w:p>
    <w:p w14:paraId="2521851C" w14:textId="5027CE07" w:rsidR="003A069F" w:rsidRDefault="00FC18F6" w:rsidP="00CB7B7C">
      <w:pPr>
        <w:rPr>
          <w:rFonts w:cs="Gill Sans"/>
        </w:rPr>
      </w:pPr>
      <w:r>
        <w:rPr>
          <w:rFonts w:cs="Gill Sans"/>
        </w:rPr>
        <w:t xml:space="preserve">(iii) According to Carnap, sentences like “There are numbers” or “There are abstract objects” as they occur in metaphysical theories that purport to account for what there really is are ‘meaningless’ </w:t>
      </w:r>
      <w:r w:rsidR="00A22FC6">
        <w:rPr>
          <w:rFonts w:cs="Gill Sans"/>
        </w:rPr>
        <w:t>or ‘without cognitive content’. They are not genuine statements or assertions.</w:t>
      </w:r>
    </w:p>
    <w:p w14:paraId="76DDF60D" w14:textId="76DCF17A" w:rsidR="00FC18F6" w:rsidRDefault="00A22FC6" w:rsidP="00A22FC6">
      <w:pPr>
        <w:rPr>
          <w:rFonts w:cs="Gill Sans"/>
        </w:rPr>
      </w:pPr>
      <w:r>
        <w:rPr>
          <w:rFonts w:cs="Gill Sans"/>
        </w:rPr>
        <w:t>(iv) A proposition = what is capable of being true or false</w:t>
      </w:r>
    </w:p>
    <w:p w14:paraId="55F0C319" w14:textId="38FE27D2" w:rsidR="00A22FC6" w:rsidRDefault="00A22FC6" w:rsidP="00A22FC6">
      <w:pPr>
        <w:rPr>
          <w:rFonts w:cs="Gill Sans"/>
        </w:rPr>
      </w:pPr>
      <w:r>
        <w:rPr>
          <w:rFonts w:cs="Gill Sans"/>
        </w:rPr>
        <w:t>(v) When we assert that p (say, that there is a cup on the desk) we represent a proposition (that there is a cup on the desk) as true. Whether what I have said is true is then determined by whether reality is as I have said or represented it to be. (cf. screaming, boo/hooray)</w:t>
      </w:r>
    </w:p>
    <w:p w14:paraId="754D7E96" w14:textId="67F0FCD0" w:rsidR="00A22FC6" w:rsidRDefault="00A22FC6" w:rsidP="00A22FC6">
      <w:pPr>
        <w:rPr>
          <w:rFonts w:cs="Gill Sans"/>
        </w:rPr>
      </w:pPr>
      <w:r>
        <w:rPr>
          <w:rFonts w:cs="Gill Sans"/>
        </w:rPr>
        <w:t>(vi) But no proposition about reality is represented as true when, in doing metaphysics, one accepts “There are numbers” or “There are abstract objects”.</w:t>
      </w:r>
    </w:p>
    <w:p w14:paraId="236F44DB" w14:textId="77777777" w:rsidR="001F112D" w:rsidRDefault="001F112D" w:rsidP="00CB7B7C">
      <w:pPr>
        <w:rPr>
          <w:rFonts w:cs="Gill Sans"/>
        </w:rPr>
      </w:pPr>
      <w:r>
        <w:rPr>
          <w:rFonts w:cs="Gill Sans"/>
        </w:rPr>
        <w:t>(vii) There is a distinction between ‘internal’ and ‘external’ existence questions.</w:t>
      </w:r>
    </w:p>
    <w:p w14:paraId="7377F6D0" w14:textId="77777777" w:rsidR="001F112D" w:rsidRDefault="001F112D" w:rsidP="00CB7B7C">
      <w:pPr>
        <w:rPr>
          <w:rFonts w:cs="Gill Sans"/>
        </w:rPr>
      </w:pPr>
    </w:p>
    <w:p w14:paraId="7D0705B8" w14:textId="11735E6E" w:rsidR="00B13D17" w:rsidRDefault="00B13D17" w:rsidP="00CB7B7C">
      <w:pPr>
        <w:rPr>
          <w:rFonts w:cs="Gill Sans"/>
        </w:rPr>
      </w:pPr>
      <w:r>
        <w:rPr>
          <w:rFonts w:cs="Gill Sans"/>
        </w:rPr>
        <w:t>3.2</w:t>
      </w:r>
    </w:p>
    <w:p w14:paraId="6D935129" w14:textId="7EB150DC" w:rsidR="00CB7B7C" w:rsidRDefault="00CB7B7C" w:rsidP="00CB7B7C">
      <w:pPr>
        <w:rPr>
          <w:rFonts w:cs="Gill Sans"/>
        </w:rPr>
      </w:pPr>
      <w:r>
        <w:rPr>
          <w:rFonts w:cs="Gill Sans"/>
        </w:rPr>
        <w:t>‘Internal’ existence-questions</w:t>
      </w:r>
    </w:p>
    <w:p w14:paraId="479D8835" w14:textId="2AB3516E" w:rsidR="00CB7B7C" w:rsidRDefault="00CB7B7C" w:rsidP="00CB7B7C">
      <w:pPr>
        <w:rPr>
          <w:rFonts w:cs="Gill Sans"/>
        </w:rPr>
      </w:pPr>
      <w:r>
        <w:rPr>
          <w:rFonts w:cs="Gill Sans"/>
        </w:rPr>
        <w:t>(i) Assume the background of a given linguistic framework. (e.g. (Asked assuming the normal background of rules governing the use of the term ‘</w:t>
      </w:r>
      <w:r w:rsidR="00B13D17">
        <w:rPr>
          <w:rFonts w:cs="Gill Sans"/>
        </w:rPr>
        <w:t>number’; e.g. “How many prime numbers are there between 10 and 20?”</w:t>
      </w:r>
      <w:r>
        <w:rPr>
          <w:rFonts w:cs="Gill Sans"/>
        </w:rPr>
        <w:t xml:space="preserve">) </w:t>
      </w:r>
    </w:p>
    <w:p w14:paraId="017F2BE7" w14:textId="6E68A4F4" w:rsidR="00CB7B7C" w:rsidRDefault="00B13D17" w:rsidP="00CB7B7C">
      <w:pPr>
        <w:rPr>
          <w:rFonts w:cs="Gill Sans"/>
        </w:rPr>
      </w:pPr>
      <w:r>
        <w:rPr>
          <w:rFonts w:cs="Gill Sans"/>
        </w:rPr>
        <w:t>(ii) They are either factual—</w:t>
      </w:r>
      <w:r w:rsidR="00CB7B7C">
        <w:rPr>
          <w:rFonts w:cs="Gill Sans"/>
        </w:rPr>
        <w:t>settled just by emp</w:t>
      </w:r>
      <w:r>
        <w:rPr>
          <w:rFonts w:cs="Gill Sans"/>
        </w:rPr>
        <w:t xml:space="preserve">irical observation—(as in the case of statements about material objects), </w:t>
      </w:r>
      <w:r w:rsidR="00CB7B7C">
        <w:rPr>
          <w:rFonts w:cs="Gill Sans"/>
        </w:rPr>
        <w:t>or analytic (settled by definition, or by the rules for use of expressions and the commitment</w:t>
      </w:r>
      <w:r>
        <w:rPr>
          <w:rFonts w:cs="Gill Sans"/>
        </w:rPr>
        <w:t xml:space="preserve">s of the linguistic framework). </w:t>
      </w:r>
    </w:p>
    <w:p w14:paraId="7746B3B2" w14:textId="0853228A" w:rsidR="00B13D17" w:rsidRDefault="009722BA" w:rsidP="00CB7B7C">
      <w:pPr>
        <w:rPr>
          <w:rFonts w:cs="Gill Sans"/>
        </w:rPr>
      </w:pPr>
      <w:r>
        <w:rPr>
          <w:rFonts w:cs="Gill Sans"/>
        </w:rPr>
        <w:t>(iii) Taking the framework of numbers as presupposed</w:t>
      </w:r>
      <w:r w:rsidR="00B13D17">
        <w:rPr>
          <w:rFonts w:cs="Gill Sans"/>
        </w:rPr>
        <w:t xml:space="preserve"> </w:t>
      </w:r>
      <w:r>
        <w:rPr>
          <w:rFonts w:cs="Gill Sans"/>
        </w:rPr>
        <w:t>it follows trivially: that there are numbers; that there is a whole number between 6 and 8; that 7 is prime; that there is an infinity of natural numbers, etc., etc. (For to take the framework as presupposed is to be has a use for the general term ‘number’ and number-variable, e.g. ‘x is a number’). These are settled by the use of the term ‘number’, and the relation of the use of this to ‘successor’ and to ‘prime’.</w:t>
      </w:r>
    </w:p>
    <w:p w14:paraId="27ECAD38" w14:textId="77777777" w:rsidR="00CB7B7C" w:rsidRDefault="00CB7B7C" w:rsidP="00CB7B7C">
      <w:pPr>
        <w:rPr>
          <w:rFonts w:cs="Gill Sans"/>
        </w:rPr>
      </w:pPr>
    </w:p>
    <w:p w14:paraId="11FA5BBC" w14:textId="4C9DF07F" w:rsidR="00B13D17" w:rsidRDefault="00B13D17" w:rsidP="00CB7B7C">
      <w:pPr>
        <w:rPr>
          <w:rFonts w:cs="Gill Sans"/>
        </w:rPr>
      </w:pPr>
      <w:r>
        <w:rPr>
          <w:rFonts w:cs="Gill Sans"/>
        </w:rPr>
        <w:t>3.2</w:t>
      </w:r>
    </w:p>
    <w:p w14:paraId="3DBDF31B" w14:textId="0B927F67" w:rsidR="00CB7B7C" w:rsidRDefault="00CB7B7C" w:rsidP="00CB7B7C">
      <w:pPr>
        <w:rPr>
          <w:rFonts w:cs="Gill Sans"/>
        </w:rPr>
      </w:pPr>
      <w:r>
        <w:rPr>
          <w:rFonts w:cs="Gill Sans"/>
        </w:rPr>
        <w:t>‘External’ existence questions</w:t>
      </w:r>
    </w:p>
    <w:p w14:paraId="3B242604" w14:textId="77777777" w:rsidR="00CB7B7C" w:rsidRDefault="00CB7B7C" w:rsidP="00CB7B7C">
      <w:pPr>
        <w:rPr>
          <w:rFonts w:cs="Gill Sans"/>
        </w:rPr>
      </w:pPr>
      <w:r>
        <w:rPr>
          <w:rFonts w:cs="Gill Sans"/>
        </w:rPr>
        <w:t>(i) Carnap thinks metaphysicians are interested in external rather internal questions.</w:t>
      </w:r>
    </w:p>
    <w:p w14:paraId="74D34975" w14:textId="2377B33B" w:rsidR="00CB7B7C" w:rsidRDefault="00CB7B7C" w:rsidP="00CB7B7C">
      <w:pPr>
        <w:rPr>
          <w:rFonts w:cs="Gill Sans"/>
        </w:rPr>
      </w:pPr>
      <w:r>
        <w:rPr>
          <w:rFonts w:cs="Gill Sans"/>
        </w:rPr>
        <w:t xml:space="preserve">(ii) </w:t>
      </w:r>
      <w:r w:rsidR="009722BA">
        <w:rPr>
          <w:rFonts w:cs="Gill Sans"/>
        </w:rPr>
        <w:t>External questions (a) “</w:t>
      </w:r>
      <w:r>
        <w:rPr>
          <w:rFonts w:cs="Gill Sans"/>
        </w:rPr>
        <w:t>i.e. philosophical questions concerning the existence or reality of the total system of the new entities.</w:t>
      </w:r>
      <w:r w:rsidR="009722BA">
        <w:rPr>
          <w:rFonts w:cs="Gill Sans"/>
        </w:rPr>
        <w:t>” He characterizes these in terms of an assumption he takes many to share.</w:t>
      </w:r>
      <w:r>
        <w:rPr>
          <w:rFonts w:cs="Gill Sans"/>
        </w:rPr>
        <w:t xml:space="preserve"> </w:t>
      </w:r>
      <w:r w:rsidR="009722BA">
        <w:rPr>
          <w:rFonts w:cs="Gill Sans"/>
        </w:rPr>
        <w:t>(b) “</w:t>
      </w:r>
      <w:r>
        <w:rPr>
          <w:rFonts w:cs="Gill Sans"/>
        </w:rPr>
        <w:t xml:space="preserve">Many philosophers regard a question of this kind as an ontological question which must be raised and answered </w:t>
      </w:r>
      <w:r w:rsidRPr="008F210A">
        <w:rPr>
          <w:rFonts w:cs="Gill Sans"/>
          <w:i/>
        </w:rPr>
        <w:t>before</w:t>
      </w:r>
      <w:r>
        <w:rPr>
          <w:rFonts w:cs="Gill Sans"/>
        </w:rPr>
        <w:t xml:space="preserve"> the introduction of the new language forms. The latter introduction, they believe, is legitimate only if it can be justified by an ontological insight supplying an affirmative answer to the question of reality.” (1956: 21). </w:t>
      </w:r>
    </w:p>
    <w:p w14:paraId="17B3E70B" w14:textId="0EA8CD7E" w:rsidR="00CB7B7C" w:rsidRDefault="00162437" w:rsidP="00162437">
      <w:pPr>
        <w:rPr>
          <w:rFonts w:cs="Gill Sans"/>
        </w:rPr>
      </w:pPr>
      <w:r>
        <w:rPr>
          <w:rFonts w:cs="Gill Sans"/>
        </w:rPr>
        <w:t xml:space="preserve">(iii) As an answer to the metaphysical question, one might accept or utter ‘there are numbers’ or ‘there are abstract objects’. But this is not to represent a proposition that there are numbers/there are abstract objects is true; </w:t>
      </w:r>
      <w:r w:rsidR="00CB7B7C">
        <w:rPr>
          <w:rFonts w:cs="Gill Sans"/>
        </w:rPr>
        <w:t>to have a belief in the r</w:t>
      </w:r>
      <w:r>
        <w:rPr>
          <w:rFonts w:cs="Gill Sans"/>
        </w:rPr>
        <w:t xml:space="preserve">eality of the relevant entities. </w:t>
      </w:r>
      <w:r w:rsidR="00CB7B7C">
        <w:rPr>
          <w:rFonts w:cs="Gill Sans"/>
        </w:rPr>
        <w:t xml:space="preserve">(“An alleged statement of the reality of the system of entities is a pseudo-statement without cognitive (TC: truth-evaluable) content.” (1956: 21)) </w:t>
      </w:r>
    </w:p>
    <w:p w14:paraId="6BB34871" w14:textId="4EBE8D4C" w:rsidR="00CB7B7C" w:rsidRDefault="00CB7B7C" w:rsidP="00CB7B7C">
      <w:pPr>
        <w:rPr>
          <w:rFonts w:cs="Gill Sans"/>
        </w:rPr>
      </w:pPr>
      <w:r>
        <w:rPr>
          <w:rFonts w:cs="Gill Sans"/>
        </w:rPr>
        <w:t>(</w:t>
      </w:r>
      <w:r w:rsidR="00B13D17">
        <w:rPr>
          <w:rFonts w:cs="Gill Sans"/>
        </w:rPr>
        <w:t>i</w:t>
      </w:r>
      <w:r>
        <w:rPr>
          <w:rFonts w:cs="Gill Sans"/>
        </w:rPr>
        <w:t>v) Acceptance of such a framework is practical (what makes communication and science easier) rather than theoretical (where the theory makes claims that could be true). “(The acceptance of a new framework) can only be judged as being more or less expedient, fruitful, conducive to the aim for which the language is intended. Judgements of this kind supply the motivation for the decision of accepting or rejecting the kind of entities.” (1956: 21).</w:t>
      </w:r>
    </w:p>
    <w:p w14:paraId="57EF00C6" w14:textId="77777777" w:rsidR="00CB7B7C" w:rsidRDefault="00CB7B7C" w:rsidP="00CB7B7C">
      <w:pPr>
        <w:rPr>
          <w:rFonts w:cs="Gill Sans"/>
        </w:rPr>
      </w:pPr>
    </w:p>
    <w:p w14:paraId="06FD9129" w14:textId="394AAD89" w:rsidR="00CB7B7C" w:rsidRDefault="00162437" w:rsidP="00CB7B7C">
      <w:pPr>
        <w:rPr>
          <w:rFonts w:cs="Gill Sans"/>
        </w:rPr>
      </w:pPr>
      <w:r>
        <w:rPr>
          <w:rFonts w:cs="Gill Sans"/>
        </w:rPr>
        <w:t>3.3</w:t>
      </w:r>
      <w:r w:rsidR="00CB7B7C">
        <w:rPr>
          <w:rFonts w:cs="Gill Sans"/>
        </w:rPr>
        <w:t xml:space="preserve"> Why are external questions meaningless?</w:t>
      </w:r>
    </w:p>
    <w:p w14:paraId="48B69495" w14:textId="77777777" w:rsidR="00CB7B7C" w:rsidRDefault="00CB7B7C" w:rsidP="00CB7B7C">
      <w:pPr>
        <w:rPr>
          <w:rFonts w:cs="Gill Sans"/>
        </w:rPr>
      </w:pPr>
      <w:r>
        <w:rPr>
          <w:rFonts w:cs="Gill Sans"/>
        </w:rPr>
        <w:t>(i) “To be real in the scientific sense means to be an element of the system; hence this concept cannot be meaningfully applied to the system itself.” (1956: 17)</w:t>
      </w:r>
    </w:p>
    <w:p w14:paraId="1F6EE4EF" w14:textId="77777777" w:rsidR="00CB7B7C" w:rsidRDefault="00CB7B7C" w:rsidP="00CB7B7C">
      <w:pPr>
        <w:rPr>
          <w:rFonts w:cs="Gill Sans"/>
        </w:rPr>
      </w:pPr>
      <w:r>
        <w:rPr>
          <w:rFonts w:cs="Gill Sans"/>
        </w:rPr>
        <w:t>(?) For things to exist in the relevant sense presupposes the existence of a conceptual scheme in terms of which existence claims make sense. So to attempt to ask whether certain things exist in a way that doesn’t presuppose the relevant conceptual scheme—as external questions do—is to attempt to do something that cannot be done.</w:t>
      </w:r>
    </w:p>
    <w:p w14:paraId="7C515F44" w14:textId="77777777" w:rsidR="00CB7B7C" w:rsidRDefault="00CB7B7C" w:rsidP="00CB7B7C">
      <w:pPr>
        <w:rPr>
          <w:rFonts w:cs="Gill Sans"/>
        </w:rPr>
      </w:pPr>
      <w:r>
        <w:rPr>
          <w:rFonts w:cs="Gill Sans"/>
        </w:rPr>
        <w:t>(ii) Of those disputing about the existence of number, Carnap observes: “I cannot think of any possible evidence that would be regarded as relevant by both philosophers, and therefore, if actually found, would decide the controversy or at least make one of these opposite theses more probable than the other…Therefore I feel compelled to take the external question to be a pseudo-question.” (1956: 24).</w:t>
      </w:r>
    </w:p>
    <w:p w14:paraId="58C0A79E" w14:textId="77777777" w:rsidR="00CB7B7C" w:rsidRDefault="00CB7B7C" w:rsidP="00CB7B7C">
      <w:pPr>
        <w:rPr>
          <w:rFonts w:cs="Gill Sans"/>
        </w:rPr>
      </w:pPr>
      <w:r>
        <w:rPr>
          <w:rFonts w:cs="Gill Sans"/>
        </w:rPr>
        <w:t>(?) If there is no evidence that could confirm a putative claim (say, about the real existence of numbers) then that claim lacks meaning or content. There is no evidence that could confirm such a claim about number. Therefore it is meaningless.</w:t>
      </w:r>
    </w:p>
    <w:p w14:paraId="59515CF1" w14:textId="77777777" w:rsidR="00B13D17" w:rsidRDefault="00B13D17" w:rsidP="00CB7B7C">
      <w:pPr>
        <w:rPr>
          <w:rFonts w:cs="Gill Sans"/>
        </w:rPr>
      </w:pPr>
    </w:p>
    <w:p w14:paraId="21676424" w14:textId="1BC2FBD0" w:rsidR="00B13D17" w:rsidRDefault="00162437" w:rsidP="00CB7B7C">
      <w:pPr>
        <w:rPr>
          <w:rFonts w:cs="Gill Sans"/>
        </w:rPr>
      </w:pPr>
      <w:r>
        <w:rPr>
          <w:rFonts w:cs="Gill Sans"/>
        </w:rPr>
        <w:t>3.4 Problems</w:t>
      </w:r>
    </w:p>
    <w:p w14:paraId="3D869B61" w14:textId="251740B0" w:rsidR="00F5756A" w:rsidRDefault="00162437" w:rsidP="00162437">
      <w:pPr>
        <w:rPr>
          <w:rFonts w:cs="Gill Sans"/>
        </w:rPr>
      </w:pPr>
      <w:r>
        <w:rPr>
          <w:rFonts w:cs="Gill Sans"/>
        </w:rPr>
        <w:t>(i) Quine: Carnap’s discussion relies on analytic-synthetic distinction. However, Quine (1951) provides a battery of arguments to show that this distinction cannot be drawn. Amongst other things, Quine insists that there is no distinction between statements that can be revised in the light of experience and those that cannot.</w:t>
      </w:r>
      <w:r w:rsidR="00C817C5">
        <w:rPr>
          <w:rFonts w:cs="Gill Sans"/>
        </w:rPr>
        <w:t xml:space="preserve"> Any statement can be preserved in the face of experience, provided one is prepared to make adjustments elsewhere.</w:t>
      </w:r>
    </w:p>
    <w:p w14:paraId="3F6F61F8" w14:textId="77777777" w:rsidR="00162437" w:rsidRDefault="00162437" w:rsidP="00162437">
      <w:pPr>
        <w:rPr>
          <w:rFonts w:cs="Gill Sans"/>
        </w:rPr>
      </w:pPr>
      <w:r>
        <w:rPr>
          <w:rFonts w:cs="Gill Sans"/>
        </w:rPr>
        <w:t>(ii) Are Carnap’s arguments for why putatively metaphysical claims are not ‘theoretical’, meaningful, or ‘truth-evaluable’ good ones?</w:t>
      </w:r>
    </w:p>
    <w:p w14:paraId="3E9D9767" w14:textId="3EC61ABE" w:rsidR="00C817C5" w:rsidRDefault="00162437" w:rsidP="00162437">
      <w:pPr>
        <w:rPr>
          <w:rFonts w:cs="Gill Sans"/>
        </w:rPr>
      </w:pPr>
      <w:r>
        <w:rPr>
          <w:rFonts w:cs="Gill Sans"/>
        </w:rPr>
        <w:t>First argument</w:t>
      </w:r>
    </w:p>
    <w:p w14:paraId="4EE9B900" w14:textId="33E9B724" w:rsidR="00162437" w:rsidRDefault="00162437" w:rsidP="00162437">
      <w:pPr>
        <w:rPr>
          <w:rFonts w:cs="Gill Sans"/>
        </w:rPr>
      </w:pPr>
      <w:r>
        <w:rPr>
          <w:rFonts w:cs="Gill Sans"/>
        </w:rPr>
        <w:t xml:space="preserve">(a) Why does </w:t>
      </w:r>
      <w:r w:rsidR="00C817C5">
        <w:rPr>
          <w:rFonts w:cs="Gill Sans"/>
        </w:rPr>
        <w:t xml:space="preserve">Carnap maintain that </w:t>
      </w:r>
      <w:r>
        <w:rPr>
          <w:rFonts w:cs="Gill Sans"/>
        </w:rPr>
        <w:t>the notion of existence presuppose</w:t>
      </w:r>
      <w:r w:rsidR="00C817C5">
        <w:rPr>
          <w:rFonts w:cs="Gill Sans"/>
        </w:rPr>
        <w:t>s</w:t>
      </w:r>
      <w:r>
        <w:rPr>
          <w:rFonts w:cs="Gill Sans"/>
        </w:rPr>
        <w:t xml:space="preserve"> ‘integration within a system’ or ‘a conceptual scheme’?</w:t>
      </w:r>
    </w:p>
    <w:p w14:paraId="776B028C" w14:textId="77777777" w:rsidR="00162437" w:rsidRDefault="00162437" w:rsidP="00162437">
      <w:pPr>
        <w:rPr>
          <w:rFonts w:cs="Gill Sans"/>
        </w:rPr>
      </w:pPr>
      <w:r>
        <w:rPr>
          <w:rFonts w:cs="Gill Sans"/>
        </w:rPr>
        <w:t xml:space="preserve">(b) (Perhaps equivalently) why should the question about whether the relevant entities exist or </w:t>
      </w:r>
      <w:r w:rsidRPr="002A6A14">
        <w:rPr>
          <w:rFonts w:cs="Gill Sans"/>
          <w:i/>
        </w:rPr>
        <w:t>really</w:t>
      </w:r>
      <w:r>
        <w:rPr>
          <w:rFonts w:cs="Gill Sans"/>
        </w:rPr>
        <w:t xml:space="preserve"> exist be understood in terms of the question whether the system or scheme exists, or is real (as Carnap puts it)?</w:t>
      </w:r>
    </w:p>
    <w:p w14:paraId="28239EB8" w14:textId="5BCE1407" w:rsidR="00C817C5" w:rsidRDefault="00C817C5" w:rsidP="00162437">
      <w:pPr>
        <w:rPr>
          <w:rFonts w:cs="Gill Sans"/>
        </w:rPr>
      </w:pPr>
      <w:r>
        <w:rPr>
          <w:rFonts w:cs="Gill Sans"/>
        </w:rPr>
        <w:t>If whether the number framework is in place determines whether there are numbers (or even whether 7 is prime) and whether the framework is in place is determined by convention and convenience, doesn’t that entail that ontology is determined by decision.</w:t>
      </w:r>
    </w:p>
    <w:p w14:paraId="5F4DB4FC" w14:textId="77777777" w:rsidR="00162437" w:rsidRDefault="00162437" w:rsidP="00162437">
      <w:pPr>
        <w:rPr>
          <w:rFonts w:cs="Gill Sans"/>
        </w:rPr>
      </w:pPr>
      <w:r>
        <w:rPr>
          <w:rFonts w:cs="Gill Sans"/>
        </w:rPr>
        <w:t>Second argument</w:t>
      </w:r>
    </w:p>
    <w:p w14:paraId="432518C3" w14:textId="6458396B" w:rsidR="00162437" w:rsidRDefault="00162437" w:rsidP="00162437">
      <w:pPr>
        <w:rPr>
          <w:rFonts w:cs="Gill Sans"/>
        </w:rPr>
      </w:pPr>
      <w:r>
        <w:rPr>
          <w:rFonts w:cs="Gill Sans"/>
        </w:rPr>
        <w:t>(a) To maintain that no empirical evidence (i.e. experiment or observation) could confer support on the relevant propositions is correct, but that doesn’t rule out propositions being capable of being known in a non-empirical way.</w:t>
      </w:r>
    </w:p>
    <w:p w14:paraId="0133DC4B" w14:textId="4EB1F055" w:rsidR="00162437" w:rsidRDefault="00162437" w:rsidP="00162437">
      <w:pPr>
        <w:rPr>
          <w:rFonts w:cs="Gill Sans"/>
        </w:rPr>
      </w:pPr>
      <w:r>
        <w:rPr>
          <w:rFonts w:cs="Gill Sans"/>
        </w:rPr>
        <w:t xml:space="preserve">(b) If the claim is rather that there is no way to make sense of </w:t>
      </w:r>
      <w:r w:rsidR="00A70A63">
        <w:rPr>
          <w:rFonts w:cs="Gill Sans"/>
        </w:rPr>
        <w:t xml:space="preserve">any evidence (including any putative </w:t>
      </w:r>
      <w:r>
        <w:rPr>
          <w:rFonts w:cs="Gill Sans"/>
        </w:rPr>
        <w:t>‘rational evidence’</w:t>
      </w:r>
      <w:r w:rsidR="00A70A63">
        <w:rPr>
          <w:rFonts w:cs="Gill Sans"/>
        </w:rPr>
        <w:t>)</w:t>
      </w:r>
      <w:r>
        <w:rPr>
          <w:rFonts w:cs="Gill Sans"/>
        </w:rPr>
        <w:t xml:space="preserve"> with respect to such propositions than that assumes that reason functions </w:t>
      </w:r>
      <w:r w:rsidR="00A70A63">
        <w:rPr>
          <w:rFonts w:cs="Gill Sans"/>
        </w:rPr>
        <w:t xml:space="preserve">for the non-empiricist </w:t>
      </w:r>
      <w:r>
        <w:rPr>
          <w:rFonts w:cs="Gill Sans"/>
        </w:rPr>
        <w:t xml:space="preserve">as a source of knowledge </w:t>
      </w:r>
      <w:r w:rsidR="00A70A63" w:rsidRPr="00A70A63">
        <w:rPr>
          <w:rFonts w:cs="Gill Sans"/>
          <w:i/>
        </w:rPr>
        <w:t>only</w:t>
      </w:r>
      <w:r w:rsidR="00A70A63">
        <w:rPr>
          <w:rFonts w:cs="Gill Sans"/>
        </w:rPr>
        <w:t xml:space="preserve"> </w:t>
      </w:r>
      <w:r>
        <w:rPr>
          <w:rFonts w:cs="Gill Sans"/>
        </w:rPr>
        <w:t xml:space="preserve">by providing a special kind of non-empirical or non-sensory </w:t>
      </w:r>
      <w:r w:rsidRPr="0040062B">
        <w:rPr>
          <w:rFonts w:cs="Gill Sans"/>
          <w:i/>
        </w:rPr>
        <w:t>evidence</w:t>
      </w:r>
      <w:r>
        <w:rPr>
          <w:rFonts w:cs="Gill Sans"/>
        </w:rPr>
        <w:t xml:space="preserve"> that grounds the relevant belief or thought. But some propositions are capable of being known independently of experience </w:t>
      </w:r>
      <w:r w:rsidRPr="00D85BB4">
        <w:rPr>
          <w:rFonts w:cs="Gill Sans"/>
          <w:i/>
        </w:rPr>
        <w:t>without</w:t>
      </w:r>
      <w:r>
        <w:rPr>
          <w:rFonts w:cs="Gill Sans"/>
        </w:rPr>
        <w:t xml:space="preserve"> evidence (e.g. I exist).</w:t>
      </w:r>
    </w:p>
    <w:p w14:paraId="3207C09F" w14:textId="074AC3A9" w:rsidR="005129D3" w:rsidRDefault="00162437">
      <w:pPr>
        <w:rPr>
          <w:rFonts w:cs="Gill Sans"/>
        </w:rPr>
      </w:pPr>
      <w:r>
        <w:rPr>
          <w:rFonts w:cs="Gill Sans"/>
        </w:rPr>
        <w:t xml:space="preserve"> </w:t>
      </w:r>
    </w:p>
    <w:p w14:paraId="3C5C138A" w14:textId="77777777" w:rsidR="00603CBA" w:rsidRPr="000D799E" w:rsidRDefault="00603CBA">
      <w:pPr>
        <w:rPr>
          <w:rFonts w:cs="Gill Sans"/>
        </w:rPr>
      </w:pPr>
      <w:bookmarkStart w:id="0" w:name="_GoBack"/>
      <w:bookmarkEnd w:id="0"/>
    </w:p>
    <w:p w14:paraId="544066A1" w14:textId="58DFA46D" w:rsidR="005129D3" w:rsidRDefault="005558EC">
      <w:r>
        <w:t xml:space="preserve">(4) </w:t>
      </w:r>
      <w:r w:rsidR="005129D3">
        <w:t>Fictionalism</w:t>
      </w:r>
    </w:p>
    <w:p w14:paraId="1D981548" w14:textId="6CC662A9" w:rsidR="00870099" w:rsidRDefault="00870099">
      <w:r>
        <w:t xml:space="preserve">(i) ‘Fictionalism’ describes a strategy introduced into work in the philosophy of mathematics by Hartry Field in his 1980 book </w:t>
      </w:r>
      <w:r w:rsidRPr="00870099">
        <w:rPr>
          <w:i/>
        </w:rPr>
        <w:t>Science without Numbers</w:t>
      </w:r>
      <w:r>
        <w:t xml:space="preserve">. In that book, Field develops a detailed treatment that provides the resources to resist the scientific indispensability argument. (The specific technical details of Field’s work are </w:t>
      </w:r>
      <w:r w:rsidR="000D799E">
        <w:t>challenging. But a</w:t>
      </w:r>
      <w:r>
        <w:t xml:space="preserve"> helpful presentation of the </w:t>
      </w:r>
      <w:r w:rsidR="000D799E">
        <w:t xml:space="preserve">substance of the philosophical </w:t>
      </w:r>
      <w:r>
        <w:t>discussion is offered in Colyvan (2001), ch.4.</w:t>
      </w:r>
      <w:r w:rsidR="000D799E">
        <w:t>)</w:t>
      </w:r>
    </w:p>
    <w:p w14:paraId="69F8BC56" w14:textId="77777777" w:rsidR="00870099" w:rsidRDefault="00870099">
      <w:r>
        <w:t>(ii) The account has two aspects;</w:t>
      </w:r>
    </w:p>
    <w:p w14:paraId="524ECD63" w14:textId="3400BB56" w:rsidR="00870099" w:rsidRDefault="00870099">
      <w:r>
        <w:t>(a) An attempt to paraphrase those scientific claims th</w:t>
      </w:r>
      <w:r w:rsidR="000D799E">
        <w:t>at include reference to numbers into sentences that don’t involve commitment to such objects.</w:t>
      </w:r>
    </w:p>
    <w:p w14:paraId="2ED181F2" w14:textId="671D9844" w:rsidR="00870099" w:rsidRDefault="00870099">
      <w:r>
        <w:t xml:space="preserve">(b) An account that </w:t>
      </w:r>
      <w:r w:rsidR="000D799E">
        <w:t xml:space="preserve">explains why we persist in talking in terms of abstract objects and numbers, and in making specific claims about them, an account that draws on the notion of fiction. </w:t>
      </w:r>
    </w:p>
    <w:p w14:paraId="75675A84" w14:textId="190876C9" w:rsidR="000D799E" w:rsidRDefault="000D799E">
      <w:r>
        <w:t>The general idea</w:t>
      </w:r>
    </w:p>
    <w:p w14:paraId="6862E36C" w14:textId="651125B8" w:rsidR="00711D9B" w:rsidRDefault="00711D9B">
      <w:r>
        <w:t>(iii) Consider the following:</w:t>
      </w:r>
    </w:p>
    <w:p w14:paraId="1A1B9455" w14:textId="65E036AD" w:rsidR="00711D9B" w:rsidRDefault="00711D9B">
      <w:r>
        <w:t>(S1) Sherlock Holmes lived at 221b Baker St.</w:t>
      </w:r>
    </w:p>
    <w:p w14:paraId="04D476DA" w14:textId="0A0214AC" w:rsidR="00711D9B" w:rsidRDefault="00711D9B">
      <w:r>
        <w:t>(S2) Sherlock Holmes lived at 221b Oxford St.</w:t>
      </w:r>
    </w:p>
    <w:p w14:paraId="0CDFBABE" w14:textId="4C6ED57F" w:rsidR="00711D9B" w:rsidRDefault="000D799E">
      <w:r>
        <w:t xml:space="preserve">(S1), we may think, </w:t>
      </w:r>
      <w:r w:rsidR="00711D9B">
        <w:t>gets something right in a way that (S2) does not. Does it get things right in being true? There are reasons to think not. Sherlock Holmes didn’t exist. So he can’t have lived anywhere. And neither does it seem like ther</w:t>
      </w:r>
      <w:r>
        <w:t>e is an entity Sherlock Holmes (</w:t>
      </w:r>
      <w:r w:rsidR="00711D9B">
        <w:t>that ha</w:t>
      </w:r>
      <w:r>
        <w:t xml:space="preserve">s a shadowy being of some kind) </w:t>
      </w:r>
      <w:r w:rsidR="00711D9B">
        <w:t>that (S1) could pick out. But nevertheless, there is a temptation to maintain that (S1) is true and (S2) is false.</w:t>
      </w:r>
    </w:p>
    <w:p w14:paraId="1499818A" w14:textId="24B12956" w:rsidR="006F6BAE" w:rsidRDefault="00711D9B">
      <w:r>
        <w:t xml:space="preserve">(iv) </w:t>
      </w:r>
      <w:r w:rsidR="00EF5852">
        <w:t>Consider the following sentences:</w:t>
      </w:r>
    </w:p>
    <w:p w14:paraId="3049271E" w14:textId="70373C3A" w:rsidR="006F6BAE" w:rsidRDefault="006F6BAE">
      <w:r>
        <w:t xml:space="preserve">(F1) </w:t>
      </w:r>
      <w:r w:rsidRPr="006F6BAE">
        <w:rPr>
          <w:i/>
        </w:rPr>
        <w:t>In Conan Doyle’s fiction</w:t>
      </w:r>
      <w:r w:rsidR="000D799E">
        <w:t xml:space="preserve"> </w:t>
      </w:r>
      <w:r>
        <w:t>Sherlock Holmes lived at 221b Baker St.</w:t>
      </w:r>
    </w:p>
    <w:p w14:paraId="20BF6C91" w14:textId="4D428248" w:rsidR="006F6BAE" w:rsidRDefault="006F6BAE">
      <w:r>
        <w:t xml:space="preserve">(F2) </w:t>
      </w:r>
      <w:r w:rsidRPr="006F6BAE">
        <w:rPr>
          <w:i/>
        </w:rPr>
        <w:t>In Conan Doyle’s fiction</w:t>
      </w:r>
      <w:r w:rsidR="000D799E">
        <w:t xml:space="preserve"> </w:t>
      </w:r>
      <w:r>
        <w:t>Sherlock Holmes lived at 221b Oxford St.</w:t>
      </w:r>
    </w:p>
    <w:p w14:paraId="715270CC" w14:textId="70CEEF76" w:rsidR="00EF5852" w:rsidRDefault="00EF5852">
      <w:r>
        <w:t xml:space="preserve">One proposal is that though (S1) and (S2) are false, in </w:t>
      </w:r>
      <w:r w:rsidR="000D799E">
        <w:t>certain</w:t>
      </w:r>
      <w:r>
        <w:t xml:space="preserve"> contexts in which those </w:t>
      </w:r>
      <w:r w:rsidR="000D799E">
        <w:t>sentences</w:t>
      </w:r>
      <w:r>
        <w:t xml:space="preserve"> are </w:t>
      </w:r>
      <w:r w:rsidR="000D799E">
        <w:t>uttered</w:t>
      </w:r>
      <w:r>
        <w:t xml:space="preserve">, features of those contexts, and the kinds of assumptions that are operative in those contexts, ensure that the propositions </w:t>
      </w:r>
      <w:r w:rsidR="000D799E">
        <w:t xml:space="preserve">expressed by those sentences are </w:t>
      </w:r>
      <w:r>
        <w:t>(F1) and (F2).</w:t>
      </w:r>
      <w:r w:rsidR="000D799E">
        <w:t xml:space="preserve"> When we talk in this way, and use the sentence in those contexts, we say something true when we utter the sentence that is described as (S1), and something false when we utter the</w:t>
      </w:r>
      <w:r w:rsidR="0076683D">
        <w:t xml:space="preserve"> sentence given as (S2).</w:t>
      </w:r>
    </w:p>
    <w:p w14:paraId="7A2B7907" w14:textId="77777777" w:rsidR="0076683D" w:rsidRDefault="0076683D"/>
    <w:p w14:paraId="413AC4A9" w14:textId="77777777" w:rsidR="00BE7EBB" w:rsidRDefault="00EF5852">
      <w:r>
        <w:t xml:space="preserve">(v) Something like this model serves as the basic fictionalist approach to numbers. The </w:t>
      </w:r>
      <w:r w:rsidR="00BE7EBB">
        <w:t>sentences:</w:t>
      </w:r>
    </w:p>
    <w:p w14:paraId="2C15790F" w14:textId="4C68AD30" w:rsidR="00BE7EBB" w:rsidRDefault="0076683D">
      <w:r>
        <w:t xml:space="preserve">(a) </w:t>
      </w:r>
      <w:r w:rsidR="00BE7EBB">
        <w:t>T</w:t>
      </w:r>
      <w:r w:rsidR="00EF5852">
        <w:t xml:space="preserve">here are numbers, or </w:t>
      </w:r>
    </w:p>
    <w:p w14:paraId="73C4DE3C" w14:textId="66C8D5E3" w:rsidR="00BE7EBB" w:rsidRDefault="0076683D">
      <w:r>
        <w:t xml:space="preserve">(b) </w:t>
      </w:r>
      <w:r w:rsidR="00BE7EBB">
        <w:t xml:space="preserve">There </w:t>
      </w:r>
      <w:r w:rsidR="00EF5852">
        <w:t xml:space="preserve">really </w:t>
      </w:r>
      <w:r w:rsidR="00BE7EBB">
        <w:t xml:space="preserve">are numbers, or </w:t>
      </w:r>
    </w:p>
    <w:p w14:paraId="04D7E034" w14:textId="6F8B40B2" w:rsidR="00BE7EBB" w:rsidRDefault="0076683D">
      <w:r>
        <w:t xml:space="preserve">(c) </w:t>
      </w:r>
      <w:r w:rsidR="00BE7EBB">
        <w:t>2+3=5, or</w:t>
      </w:r>
    </w:p>
    <w:p w14:paraId="495EF67C" w14:textId="4C3DE586" w:rsidR="00BE7EBB" w:rsidRDefault="0076683D">
      <w:r>
        <w:t xml:space="preserve">(d) </w:t>
      </w:r>
      <w:r w:rsidR="00BE7EBB">
        <w:t>7 is prime</w:t>
      </w:r>
    </w:p>
    <w:p w14:paraId="6ECED0C1" w14:textId="77777777" w:rsidR="0076683D" w:rsidRDefault="0076683D">
      <w:r>
        <w:t>--as used in the contexts in which we are talking about is ‘the fundamental nature of reality’ (what Dorr (2008) calls ‘the fundamental sense’) are false</w:t>
      </w:r>
      <w:r w:rsidR="00BE7EBB">
        <w:t>. There are no such entities, so these claims cannot be true</w:t>
      </w:r>
      <w:r>
        <w:t xml:space="preserve">. </w:t>
      </w:r>
      <w:r w:rsidR="00EF5852">
        <w:t xml:space="preserve">But </w:t>
      </w:r>
      <w:r>
        <w:t>in other contexts, in which particular rules are in place that make the context of utterance special, one succeeds in saying something true by asserting them. For the proposition that one expresses or asserts is something like:</w:t>
      </w:r>
    </w:p>
    <w:p w14:paraId="0ABCACD5" w14:textId="77777777" w:rsidR="0076683D" w:rsidRDefault="0076683D">
      <w:r>
        <w:t>in the fiction ‘There are numbers’ or</w:t>
      </w:r>
    </w:p>
    <w:p w14:paraId="610E60F5" w14:textId="1C3D5832" w:rsidR="00EF5852" w:rsidRDefault="0076683D">
      <w:r>
        <w:t>in the fiction ‘2+3=5’.</w:t>
      </w:r>
    </w:p>
    <w:p w14:paraId="2A859003" w14:textId="636182E2" w:rsidR="006F6BAE" w:rsidRDefault="0076683D">
      <w:r>
        <w:t>(vi) This would be to employ the relevant sentences in a loose and relaxed, non-metaphysical way. Dorr (2008) describes this as the use of such sentences in ‘the everyday sense’.</w:t>
      </w:r>
    </w:p>
    <w:p w14:paraId="052CCDB5" w14:textId="6D4BCE52" w:rsidR="0039490F" w:rsidRDefault="0076683D">
      <w:r>
        <w:t xml:space="preserve">(vii) </w:t>
      </w:r>
      <w:r w:rsidR="0039490F">
        <w:t>When one utters a number sentence, say ‘2+3=5’, in an everyday sense, what one one asserts (in the fundamental sense) in asserting the following:</w:t>
      </w:r>
    </w:p>
    <w:p w14:paraId="125A99DF" w14:textId="77777777" w:rsidR="0039490F" w:rsidRDefault="0039490F"/>
    <w:p w14:paraId="45DB430C" w14:textId="6D112F43" w:rsidR="0039490F" w:rsidRDefault="0039490F">
      <w:r w:rsidRPr="0039490F">
        <w:rPr>
          <w:i/>
        </w:rPr>
        <w:t>Were there numbers</w:t>
      </w:r>
      <w:r>
        <w:t xml:space="preserve"> (and were the axioms (basic rules) of that num</w:t>
      </w:r>
      <w:r w:rsidR="00D06A10">
        <w:t xml:space="preserve">ber theory to be such-and-such), and the concrete world to remain as it actually is, </w:t>
      </w:r>
      <w:r>
        <w:t xml:space="preserve">then </w:t>
      </w:r>
      <w:r w:rsidR="00D06A10">
        <w:t xml:space="preserve">it would be the case that </w:t>
      </w:r>
      <w:r>
        <w:t>‘2+3=5’.</w:t>
      </w:r>
    </w:p>
    <w:p w14:paraId="00330B46" w14:textId="2918FB8B" w:rsidR="006F6BAE" w:rsidRDefault="006F6BAE"/>
    <w:p w14:paraId="3E76CD13" w14:textId="474F18E5" w:rsidR="0039490F" w:rsidRDefault="0039490F">
      <w:r>
        <w:t xml:space="preserve">(viii) Dorr (2008) takes it that this sentence is </w:t>
      </w:r>
      <w:r w:rsidR="00D06A10">
        <w:t xml:space="preserve">straightforwardly </w:t>
      </w:r>
      <w:r>
        <w:t>true</w:t>
      </w:r>
      <w:r w:rsidR="00D06A10">
        <w:t>. In everyday contexts in which this is the content of what one says when one utters ‘2+3=5’ one says something true</w:t>
      </w:r>
      <w:r>
        <w:t>. This sentence is not inconsistent with it being false that ‘2+3=5’ when that is used in the fundamental sense.</w:t>
      </w:r>
    </w:p>
    <w:p w14:paraId="10370073" w14:textId="77777777" w:rsidR="0039490F" w:rsidRDefault="0039490F"/>
    <w:p w14:paraId="261B2570" w14:textId="33556CF9" w:rsidR="005129D3" w:rsidRDefault="00D06A10">
      <w:r>
        <w:t xml:space="preserve">Correspondingly, where a scientific theory T includes content that purports to quantify over numbers, or other mathematical entities, and the theory is asserted or entertained in the everyday sense, </w:t>
      </w:r>
      <w:r w:rsidR="009C42A4">
        <w:t>what is expressed is:</w:t>
      </w:r>
    </w:p>
    <w:p w14:paraId="15450932" w14:textId="60D35374" w:rsidR="009C42A4" w:rsidRDefault="009C42A4">
      <w:r>
        <w:t>T* If it were the case that [mathematical axioms] and the concrete world were just as it actually is, it would be the case that T. (2008: 38)</w:t>
      </w:r>
    </w:p>
    <w:p w14:paraId="10532587" w14:textId="77777777" w:rsidR="009C42A4" w:rsidRDefault="009C42A4"/>
    <w:p w14:paraId="263577D0" w14:textId="464D0491" w:rsidR="009C42A4" w:rsidRDefault="009C42A4">
      <w:r>
        <w:t>Dorr (2008) says, in response to the indispensability argument, that wherever there is a theory T that makes reference to such abstract objects, theory T* provides an explanation that is at least as good. So numbers are not indispensable to scientific practice.</w:t>
      </w:r>
    </w:p>
    <w:p w14:paraId="13B5127C" w14:textId="77777777" w:rsidR="009C42A4" w:rsidRDefault="009C42A4"/>
    <w:p w14:paraId="47093FC4" w14:textId="77777777" w:rsidR="003F1986" w:rsidRDefault="009C42A4">
      <w:r>
        <w:t>(ix) The fictionalist attempts to accommodate a number of different apparent truths: (a) it is hard to make sense of the epistem</w:t>
      </w:r>
      <w:r w:rsidR="00F540C1">
        <w:t>ology of number</w:t>
      </w:r>
      <w:r>
        <w:t>; (b) it doesn’t seem plausible that one can establish the existence of numbers</w:t>
      </w:r>
      <w:r w:rsidR="003F1986">
        <w:t xml:space="preserve"> through the trivial entailments of</w:t>
      </w:r>
      <w:r w:rsidR="00F540C1">
        <w:t xml:space="preserve"> semantic indispensability arguments</w:t>
      </w:r>
      <w:r w:rsidR="003F1986">
        <w:t>; (c)</w:t>
      </w:r>
      <w:r>
        <w:t xml:space="preserve"> </w:t>
      </w:r>
      <w:r w:rsidR="003F1986">
        <w:t xml:space="preserve">it </w:t>
      </w:r>
      <w:r>
        <w:t xml:space="preserve">doesn’t seem </w:t>
      </w:r>
      <w:r w:rsidR="003F1986">
        <w:t>that Carnap is right that in the philosophy classroom, or the metaphysics seminar, ‘There are numbers’ is meaningless, and also that; (d) our mathematics talk and our number talk exhibits all of the patterns of entailment and contributes to explanation in the way that our talk about material objects does.</w:t>
      </w:r>
    </w:p>
    <w:p w14:paraId="59305D33" w14:textId="77777777" w:rsidR="003F1986" w:rsidRDefault="003F1986"/>
    <w:p w14:paraId="2F745F0C" w14:textId="24DDB121" w:rsidR="003F1986" w:rsidRDefault="003F1986">
      <w:r>
        <w:t>(x) Worries for the fictionalist treatment</w:t>
      </w:r>
    </w:p>
    <w:p w14:paraId="0D81644E" w14:textId="4D62380A" w:rsidR="00061EA7" w:rsidRDefault="00426E88">
      <w:r>
        <w:t xml:space="preserve">(i) </w:t>
      </w:r>
      <w:r w:rsidR="00061EA7">
        <w:t>Do philosophers have the authority to pronounce on the credentials of mathematics and other disciplines that purport to make truth-evaluable claims about numbers?</w:t>
      </w:r>
    </w:p>
    <w:p w14:paraId="7403D23F" w14:textId="63122EB2" w:rsidR="00061EA7" w:rsidRDefault="00061EA7">
      <w:r>
        <w:t>If there are no classes or numbers, then our mathematics textbooks are works of fiction, full of false ‘theorems’</w:t>
      </w:r>
      <w:r w:rsidR="00A755BD">
        <w:t>. Renouncing classes means rejecting mathematics. That will not do. Mathematics is an established, going concern. Philosophy is as shaky as can be. To reject mathematics for philosophical reasons would be absurd. If we philosophers are sorely puzzled by (the entities) that constitute mathematical reality, that’s our problem. We shouldn’t expect mathematics to go away to make our life easier. Even if we reject mathematics gently—explaining how it can be a most useful fiction, ‘good without being true’—we still reject it, and that’s still absurd.</w:t>
      </w:r>
    </w:p>
    <w:p w14:paraId="16DE23DA" w14:textId="38AE3889" w:rsidR="00A755BD" w:rsidRDefault="00A755BD">
      <w:r>
        <w:t>That’s not an argument, I know. But I laugh to think how presumptuous it would be to reject mathematics for philosophical reasons. How would you like to go and tell the mathematicians that they must change their ways, and abjure countless errors, now that philosophy has discovered there are no classes? Will you tell them, with a straight face, to follow philosophical argument wherever it leads? If they challenge your credentials, will you boast of philosophy’s other great discoveries: that motion is impossible, that a being than which no greater can be conceived cannot be conceive not to exist, that it is unthinkable that anything exists outside the mind, that time is unreal… (Lewis (1993): 14-5)</w:t>
      </w:r>
    </w:p>
    <w:p w14:paraId="67E11082" w14:textId="62530AEA" w:rsidR="003F1986" w:rsidRDefault="00061EA7">
      <w:r>
        <w:t xml:space="preserve">(ii) </w:t>
      </w:r>
      <w:r w:rsidR="00426E88">
        <w:t xml:space="preserve">Cases in which fictionalist treatments are at least candidates for plausibility look to be cases in which the speaker knowingly uses an expression or utters a sentence in a way that requires a fictional interpretation. </w:t>
      </w:r>
      <w:r w:rsidR="00E0087C">
        <w:t xml:space="preserve">If I say “Sherlock Holmes lived at 221b Baker St’ I know that I am talking in a special way in which the ‘fundamental’ meaning of that expression is suspended somehow. There are ways to remove this: “Is it </w:t>
      </w:r>
      <w:r w:rsidR="00E0087C" w:rsidRPr="00E0087C">
        <w:rPr>
          <w:i/>
        </w:rPr>
        <w:t>really</w:t>
      </w:r>
      <w:r w:rsidR="00E0087C">
        <w:t xml:space="preserve"> the case that Sherlock Holmes lived at 221b Baker St?”. “Well, obviously not, if what you mean is whether there really was such a person; it’s a fiction.” But number statements won’t get withdrawn by mathematicians and scientists in the face of the ‘really’ question. So if there is </w:t>
      </w:r>
      <w:r w:rsidR="000E3E2D">
        <w:t xml:space="preserve">a </w:t>
      </w:r>
      <w:r w:rsidR="00E0087C">
        <w:t>fiction</w:t>
      </w:r>
      <w:r w:rsidR="000E3E2D">
        <w:t>al use</w:t>
      </w:r>
      <w:r w:rsidR="00E0087C">
        <w:t xml:space="preserve"> </w:t>
      </w:r>
      <w:r w:rsidR="000E3E2D">
        <w:t>in the mathematical case</w:t>
      </w:r>
      <w:r w:rsidR="00E0087C">
        <w:t xml:space="preserve">, it is </w:t>
      </w:r>
      <w:r w:rsidR="000E3E2D">
        <w:t xml:space="preserve">an </w:t>
      </w:r>
      <w:r w:rsidR="00E0087C">
        <w:t>unknowing fiction</w:t>
      </w:r>
      <w:r w:rsidR="000E3E2D">
        <w:t>al use</w:t>
      </w:r>
      <w:r w:rsidR="00E0087C">
        <w:t xml:space="preserve">. </w:t>
      </w:r>
      <w:r w:rsidR="000E3E2D">
        <w:t>But</w:t>
      </w:r>
      <w:r w:rsidR="00E0087C">
        <w:t xml:space="preserve"> does that make sense?</w:t>
      </w:r>
    </w:p>
    <w:p w14:paraId="2492D06D" w14:textId="1E6F09F5" w:rsidR="009C42A4" w:rsidRDefault="009C42A4">
      <w:r>
        <w:t xml:space="preserve"> </w:t>
      </w:r>
    </w:p>
    <w:p w14:paraId="40F5DE14" w14:textId="77777777" w:rsidR="009C42A4" w:rsidRDefault="009C42A4"/>
    <w:p w14:paraId="7DB0F10A" w14:textId="77777777" w:rsidR="00A755BD" w:rsidRDefault="00A755BD"/>
    <w:p w14:paraId="081C10BC" w14:textId="77777777" w:rsidR="00A755BD" w:rsidRDefault="00A755BD"/>
    <w:p w14:paraId="37BAB8C4" w14:textId="77777777" w:rsidR="00A755BD" w:rsidRDefault="00A755BD"/>
    <w:p w14:paraId="6F425FC6" w14:textId="09821F47" w:rsidR="009C42A4" w:rsidRDefault="00603CBA">
      <w:r>
        <w:t xml:space="preserve">References </w:t>
      </w:r>
    </w:p>
    <w:p w14:paraId="2D53F8F2" w14:textId="77777777" w:rsidR="00603CBA" w:rsidRDefault="00603CBA"/>
    <w:p w14:paraId="713712BD" w14:textId="77777777" w:rsidR="00A755BD" w:rsidRDefault="00A755BD" w:rsidP="00A755BD">
      <w:pPr>
        <w:tabs>
          <w:tab w:val="left" w:pos="2000"/>
        </w:tabs>
      </w:pPr>
      <w:r>
        <w:t xml:space="preserve">P. Benacerraf, (1973). “Mathematical Truth’. Reprinted in Benacerraf and Putnam (eds.) (1983). </w:t>
      </w:r>
      <w:r w:rsidRPr="007C68ED">
        <w:rPr>
          <w:i/>
        </w:rPr>
        <w:t>Philosophy of Mathematics, Selected Readings</w:t>
      </w:r>
      <w:r>
        <w:t>. (2</w:t>
      </w:r>
      <w:r w:rsidRPr="008D4A4B">
        <w:rPr>
          <w:vertAlign w:val="superscript"/>
        </w:rPr>
        <w:t>nd</w:t>
      </w:r>
      <w:r>
        <w:t xml:space="preserve"> ed.) Cambridge, C.U.P.</w:t>
      </w:r>
    </w:p>
    <w:p w14:paraId="5FF6A595" w14:textId="143B2737" w:rsidR="00603CBA" w:rsidRDefault="00603CBA" w:rsidP="00A755BD">
      <w:pPr>
        <w:tabs>
          <w:tab w:val="left" w:pos="2000"/>
        </w:tabs>
      </w:pPr>
      <w:r>
        <w:t xml:space="preserve">L. BonJour (1998), </w:t>
      </w:r>
      <w:r w:rsidRPr="00603CBA">
        <w:rPr>
          <w:i/>
        </w:rPr>
        <w:t>In Defence of Pure Reason</w:t>
      </w:r>
      <w:r>
        <w:t>. Cambridge, C.U.P.</w:t>
      </w:r>
    </w:p>
    <w:p w14:paraId="2433668A" w14:textId="77777777" w:rsidR="00A755BD" w:rsidRDefault="00A755BD" w:rsidP="00A755BD">
      <w:r>
        <w:t xml:space="preserve">R. Carnap, (1956), “Empiricism, Semantics and Ontology”, in Carnap, </w:t>
      </w:r>
      <w:r w:rsidRPr="008D4A4B">
        <w:rPr>
          <w:i/>
        </w:rPr>
        <w:t>Meaning and Necessity.</w:t>
      </w:r>
      <w:r>
        <w:t xml:space="preserve"> Chicago, Chicago University Press. Reprinted in Kim, Korman and Sosa.</w:t>
      </w:r>
    </w:p>
    <w:p w14:paraId="389F4699" w14:textId="77777777" w:rsidR="00A755BD" w:rsidRDefault="00A755BD" w:rsidP="00A755BD">
      <w:r>
        <w:t xml:space="preserve">M. Colyvan, (2001). </w:t>
      </w:r>
      <w:r w:rsidRPr="008D4A4B">
        <w:rPr>
          <w:i/>
        </w:rPr>
        <w:t>The Indispensability of Mathematics</w:t>
      </w:r>
      <w:r>
        <w:t>. Oxford, O.U.P. Chapters 1-3.</w:t>
      </w:r>
      <w:r w:rsidRPr="00A755BD">
        <w:t xml:space="preserve"> </w:t>
      </w:r>
    </w:p>
    <w:p w14:paraId="4D196885" w14:textId="51642AA1" w:rsidR="00A755BD" w:rsidRDefault="00A755BD" w:rsidP="00A755BD">
      <w:r>
        <w:t>C. Dorr, (2008), “There are no Abstract Objects”. In T. Sider, J. Hawthorne and D. Zimmerman, (eds.)</w:t>
      </w:r>
      <w:r w:rsidRPr="001D5379">
        <w:t xml:space="preserve"> </w:t>
      </w:r>
      <w:r w:rsidRPr="001D5379">
        <w:rPr>
          <w:i/>
        </w:rPr>
        <w:t>Contemporary Debates in Metaphysics</w:t>
      </w:r>
      <w:r>
        <w:t>. Oxford, Blackwell.</w:t>
      </w:r>
    </w:p>
    <w:p w14:paraId="20BA8AAA" w14:textId="77777777" w:rsidR="00A755BD" w:rsidRDefault="00A755BD" w:rsidP="00A755BD">
      <w:pPr>
        <w:tabs>
          <w:tab w:val="left" w:pos="2000"/>
        </w:tabs>
      </w:pPr>
      <w:r>
        <w:t xml:space="preserve">C. Dorr (2005) ‘What We Disagree about When We Disagree about Ontology’. In Mark Kalderon (ed.) </w:t>
      </w:r>
      <w:r w:rsidRPr="007C68ED">
        <w:rPr>
          <w:i/>
        </w:rPr>
        <w:t>Fictionalist Approaches to Metaphysics</w:t>
      </w:r>
      <w:r>
        <w:t>. Oxford, O.U.P.</w:t>
      </w:r>
    </w:p>
    <w:p w14:paraId="690D1DCD" w14:textId="77777777" w:rsidR="00A755BD" w:rsidRDefault="00A755BD" w:rsidP="00A755BD">
      <w:pPr>
        <w:tabs>
          <w:tab w:val="left" w:pos="2000"/>
        </w:tabs>
      </w:pPr>
      <w:r>
        <w:t xml:space="preserve">D. Lewis (1993), ‘Mathematics is Megethology’, </w:t>
      </w:r>
      <w:r w:rsidRPr="00A755BD">
        <w:rPr>
          <w:i/>
        </w:rPr>
        <w:t>Philosophia Mathematica</w:t>
      </w:r>
      <w:r>
        <w:t>, 3: 3-23.</w:t>
      </w:r>
      <w:r w:rsidRPr="00A755BD">
        <w:t xml:space="preserve"> </w:t>
      </w:r>
    </w:p>
    <w:p w14:paraId="2AAF351E" w14:textId="373D261A" w:rsidR="00A755BD" w:rsidRDefault="00A755BD" w:rsidP="00A755BD">
      <w:pPr>
        <w:tabs>
          <w:tab w:val="left" w:pos="2000"/>
        </w:tabs>
      </w:pPr>
      <w:r>
        <w:t xml:space="preserve">E. J. Lowe, (2002), </w:t>
      </w:r>
      <w:r w:rsidRPr="00F32BF9">
        <w:rPr>
          <w:i/>
        </w:rPr>
        <w:t>A Survey of Metaphysics</w:t>
      </w:r>
      <w:r>
        <w:t>. Oxford, O.U.P. (pp.370-77) (See also chapter 20)</w:t>
      </w:r>
    </w:p>
    <w:p w14:paraId="09FE2B2C" w14:textId="77777777" w:rsidR="00A755BD" w:rsidRDefault="00A755BD" w:rsidP="00A755BD">
      <w:r>
        <w:t>J. Melia (1995), “On What There’s Not”, Analysis, 55, 223-9.</w:t>
      </w:r>
    </w:p>
    <w:p w14:paraId="1D98947F" w14:textId="77777777" w:rsidR="00A755BD" w:rsidRDefault="00A755BD" w:rsidP="00A755BD">
      <w:r>
        <w:t xml:space="preserve">H. Putnam (1971). ‘Philosophy of Logic’ in Putnam (1975), </w:t>
      </w:r>
      <w:r w:rsidRPr="007C68ED">
        <w:rPr>
          <w:i/>
        </w:rPr>
        <w:t>Mind, Matter and Method: Philosophical Papers</w:t>
      </w:r>
      <w:r>
        <w:t>, volume 1. Cambridge, C.U.P. 323-57. Another statement of the view that abstract objects are indispensable for explanation.</w:t>
      </w:r>
    </w:p>
    <w:p w14:paraId="53F92855" w14:textId="77777777" w:rsidR="00A755BD" w:rsidRDefault="00A755BD" w:rsidP="00A755BD">
      <w:r>
        <w:t>C. Swoyer (2008), “Abstract Entities”. In T. Sider, J. Hawthorne and D. Zimmerman, (eds.)</w:t>
      </w:r>
      <w:r w:rsidRPr="001D5379">
        <w:t xml:space="preserve"> </w:t>
      </w:r>
      <w:r w:rsidRPr="001D5379">
        <w:rPr>
          <w:i/>
        </w:rPr>
        <w:t>Contemporary Debates in Metaphysics</w:t>
      </w:r>
      <w:r>
        <w:t>. Oxford, Blackwell.</w:t>
      </w:r>
    </w:p>
    <w:p w14:paraId="6374363B" w14:textId="6D269F0F" w:rsidR="009D2562" w:rsidRDefault="00A755BD">
      <w:r>
        <w:t xml:space="preserve">W. V. Quine (1948), “On What There Is”. </w:t>
      </w:r>
      <w:r w:rsidRPr="00D93C0E">
        <w:rPr>
          <w:i/>
        </w:rPr>
        <w:t>Review of Metaphysics</w:t>
      </w:r>
      <w:r>
        <w:t>. 2: 21-38. Reprinted in Kim, Korman and Sosa. Includes a statement of the idea that mathematics is indispensable to science.</w:t>
      </w:r>
    </w:p>
    <w:p w14:paraId="289D0D03" w14:textId="155F8419" w:rsidR="00603CBA" w:rsidRDefault="00603CBA">
      <w:r>
        <w:t xml:space="preserve">W. V. Quine (1951), “Two Dogmas of Empiricism”. </w:t>
      </w:r>
      <w:r w:rsidRPr="00603CBA">
        <w:rPr>
          <w:i/>
        </w:rPr>
        <w:t>Philosophical Review</w:t>
      </w:r>
      <w:r>
        <w:t>, 60: 20-43.</w:t>
      </w:r>
    </w:p>
    <w:p w14:paraId="0C5B7971" w14:textId="79076FAB" w:rsidR="00603CBA" w:rsidRDefault="00603CBA">
      <w:r>
        <w:t xml:space="preserve">W. V. Quine (1981), “Success and limits of mathematization”. In his </w:t>
      </w:r>
      <w:r w:rsidRPr="00603CBA">
        <w:rPr>
          <w:i/>
        </w:rPr>
        <w:t>Theories and Things</w:t>
      </w:r>
      <w:r>
        <w:t>. Cambridge, Mass, Harvard University Press.</w:t>
      </w:r>
    </w:p>
    <w:p w14:paraId="7C516E97" w14:textId="25A3951E" w:rsidR="009D2562" w:rsidRDefault="009D2562">
      <w:r>
        <w:t xml:space="preserve">S. Yablo (2001), “A Path Through Fictionalism”, in his </w:t>
      </w:r>
      <w:r w:rsidRPr="00603CBA">
        <w:rPr>
          <w:i/>
        </w:rPr>
        <w:t>Things: Papers on Objects, Events and Properties</w:t>
      </w:r>
      <w:r>
        <w:t>. Oxford, O.U.P.</w:t>
      </w:r>
    </w:p>
    <w:p w14:paraId="28497894" w14:textId="77777777" w:rsidR="009D2562" w:rsidRPr="00D85BB4" w:rsidRDefault="009D2562"/>
    <w:sectPr w:rsidR="009D2562" w:rsidRPr="00D85BB4" w:rsidSect="00E4396D">
      <w:footerReference w:type="even" r:id="rId7"/>
      <w:footerReference w:type="default" r:id="rId8"/>
      <w:pgSz w:w="11900" w:h="16840"/>
      <w:pgMar w:top="1440" w:right="1800" w:bottom="1440" w:left="1800" w:header="708" w:footer="708" w:gutter="0"/>
      <w:cols w:space="708"/>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DBA14F1" w14:textId="77777777" w:rsidR="00A755BD" w:rsidRDefault="00A755BD" w:rsidP="009E41A5">
      <w:r>
        <w:separator/>
      </w:r>
    </w:p>
  </w:endnote>
  <w:endnote w:type="continuationSeparator" w:id="0">
    <w:p w14:paraId="4A387A58" w14:textId="77777777" w:rsidR="00A755BD" w:rsidRDefault="00A755BD" w:rsidP="009E41A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12 Sabon* Roman 05232">
    <w:panose1 w:val="00000000000000000000"/>
    <w:charset w:val="00"/>
    <w:family w:val="auto"/>
    <w:pitch w:val="variable"/>
    <w:sig w:usb0="8000002F" w:usb1="40000048" w:usb2="00000000" w:usb3="00000000" w:csb0="00000111" w:csb1="00000000"/>
  </w:font>
  <w:font w:name="ＭＳ 明朝">
    <w:panose1 w:val="00000000000000000000"/>
    <w:charset w:val="80"/>
    <w:family w:val="roman"/>
    <w:notTrueType/>
    <w:pitch w:val="fixed"/>
    <w:sig w:usb0="00000001" w:usb1="08070000" w:usb2="00000010" w:usb3="00000000" w:csb0="00020000" w:csb1="00000000"/>
  </w:font>
  <w:font w:name="Calibri">
    <w:panose1 w:val="020F0502020204030204"/>
    <w:charset w:val="00"/>
    <w:family w:val="auto"/>
    <w:pitch w:val="variable"/>
    <w:sig w:usb0="00000003" w:usb1="00000000" w:usb2="00000000" w:usb3="00000000" w:csb0="00000001" w:csb1="00000000"/>
  </w:font>
  <w:font w:name="Times New Roman">
    <w:panose1 w:val="02020603050405020304"/>
    <w:charset w:val="00"/>
    <w:family w:val="auto"/>
    <w:pitch w:val="variable"/>
    <w:sig w:usb0="00000003" w:usb1="00000000" w:usb2="00000000" w:usb3="00000000" w:csb0="00000001" w:csb1="00000000"/>
  </w:font>
  <w:font w:name="Gill Sans">
    <w:panose1 w:val="020B0502020104020203"/>
    <w:charset w:val="00"/>
    <w:family w:val="auto"/>
    <w:pitch w:val="variable"/>
    <w:sig w:usb0="80000267" w:usb1="00000000" w:usb2="00000000" w:usb3="00000000" w:csb0="000001F7" w:csb1="00000000"/>
  </w:font>
  <w:font w:name="Symbol">
    <w:panose1 w:val="00000000000000000000"/>
    <w:charset w:val="02"/>
    <w:family w:val="auto"/>
    <w:pitch w:val="variable"/>
    <w:sig w:usb0="00000000" w:usb1="10000000" w:usb2="00000000" w:usb3="00000000" w:csb0="80000000" w:csb1="00000000"/>
  </w:font>
  <w:font w:name="ＭＳ ゴシック">
    <w:panose1 w:val="00000000000000000000"/>
    <w:charset w:val="80"/>
    <w:family w:val="modern"/>
    <w:notTrueType/>
    <w:pitch w:val="fixed"/>
    <w:sig w:usb0="00000001" w:usb1="08070000" w:usb2="00000010" w:usb3="00000000" w:csb0="00020000" w:csb1="00000000"/>
  </w:font>
  <w:font w:name="Arial">
    <w:panose1 w:val="020B0604020202020204"/>
    <w:charset w:val="00"/>
    <w:family w:val="auto"/>
    <w:pitch w:val="variable"/>
    <w:sig w:usb0="00000003" w:usb1="00000000" w:usb2="00000000" w:usb3="00000000" w:csb0="00000001" w:csb1="00000000"/>
  </w:font>
  <w:font w:name="Cambria">
    <w:panose1 w:val="02040503050406030204"/>
    <w:charset w:val="00"/>
    <w:family w:val="auto"/>
    <w:pitch w:val="variable"/>
    <w:sig w:usb0="00000003" w:usb1="00000000" w:usb2="00000000" w:usb3="00000000" w:csb0="00000001"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DE29712" w14:textId="77777777" w:rsidR="00A755BD" w:rsidRDefault="00A755BD" w:rsidP="009E41A5">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14:paraId="08CA7206" w14:textId="77777777" w:rsidR="00A755BD" w:rsidRDefault="00A755BD">
    <w:pPr>
      <w:pStyle w:val="Footer"/>
    </w:pP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C801182" w14:textId="77777777" w:rsidR="00A755BD" w:rsidRDefault="00A755BD" w:rsidP="009E41A5">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sidR="00603CBA">
      <w:rPr>
        <w:rStyle w:val="PageNumber"/>
        <w:noProof/>
      </w:rPr>
      <w:t>1</w:t>
    </w:r>
    <w:r>
      <w:rPr>
        <w:rStyle w:val="PageNumber"/>
      </w:rPr>
      <w:fldChar w:fldCharType="end"/>
    </w:r>
  </w:p>
  <w:p w14:paraId="382C854A" w14:textId="77777777" w:rsidR="00A755BD" w:rsidRDefault="00A755BD">
    <w:pPr>
      <w:pStyle w:val="Footer"/>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67D09736" w14:textId="77777777" w:rsidR="00A755BD" w:rsidRDefault="00A755BD" w:rsidP="009E41A5">
      <w:r>
        <w:separator/>
      </w:r>
    </w:p>
  </w:footnote>
  <w:footnote w:type="continuationSeparator" w:id="0">
    <w:p w14:paraId="39CFAA05" w14:textId="77777777" w:rsidR="00A755BD" w:rsidRDefault="00A755BD" w:rsidP="009E41A5">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defaultTabStop w:val="720"/>
  <w:characterSpacingControl w:val="doNotCompress"/>
  <w:savePreviewPicture/>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E41A5"/>
    <w:rsid w:val="000278E8"/>
    <w:rsid w:val="00050BA6"/>
    <w:rsid w:val="000552FF"/>
    <w:rsid w:val="00061EA7"/>
    <w:rsid w:val="00080AD2"/>
    <w:rsid w:val="000D33F4"/>
    <w:rsid w:val="000D799E"/>
    <w:rsid w:val="000E3E2D"/>
    <w:rsid w:val="000F2101"/>
    <w:rsid w:val="001365DC"/>
    <w:rsid w:val="001425B5"/>
    <w:rsid w:val="00146B27"/>
    <w:rsid w:val="00162437"/>
    <w:rsid w:val="001822B1"/>
    <w:rsid w:val="00195493"/>
    <w:rsid w:val="001A7AD9"/>
    <w:rsid w:val="001F112D"/>
    <w:rsid w:val="0022650D"/>
    <w:rsid w:val="00282BD0"/>
    <w:rsid w:val="002831F5"/>
    <w:rsid w:val="0028671D"/>
    <w:rsid w:val="002A6A14"/>
    <w:rsid w:val="002D7F12"/>
    <w:rsid w:val="002E330A"/>
    <w:rsid w:val="003429BF"/>
    <w:rsid w:val="003529C8"/>
    <w:rsid w:val="0036242C"/>
    <w:rsid w:val="00393D33"/>
    <w:rsid w:val="0039490F"/>
    <w:rsid w:val="003A069F"/>
    <w:rsid w:val="003E2389"/>
    <w:rsid w:val="003E65A8"/>
    <w:rsid w:val="003F15D5"/>
    <w:rsid w:val="003F1986"/>
    <w:rsid w:val="0040062B"/>
    <w:rsid w:val="00426E88"/>
    <w:rsid w:val="00427919"/>
    <w:rsid w:val="004776BB"/>
    <w:rsid w:val="004C5072"/>
    <w:rsid w:val="004C7B7E"/>
    <w:rsid w:val="004E1EE9"/>
    <w:rsid w:val="00503691"/>
    <w:rsid w:val="005129D3"/>
    <w:rsid w:val="00512A04"/>
    <w:rsid w:val="00524C9F"/>
    <w:rsid w:val="005558EC"/>
    <w:rsid w:val="00556DC9"/>
    <w:rsid w:val="00560494"/>
    <w:rsid w:val="0058157B"/>
    <w:rsid w:val="00587833"/>
    <w:rsid w:val="005A262B"/>
    <w:rsid w:val="00603CBA"/>
    <w:rsid w:val="006275DE"/>
    <w:rsid w:val="006350C0"/>
    <w:rsid w:val="00645A8F"/>
    <w:rsid w:val="00677C6D"/>
    <w:rsid w:val="006836D6"/>
    <w:rsid w:val="00691428"/>
    <w:rsid w:val="006F6BAE"/>
    <w:rsid w:val="00711D9B"/>
    <w:rsid w:val="00727D20"/>
    <w:rsid w:val="007315FE"/>
    <w:rsid w:val="00746645"/>
    <w:rsid w:val="00752BCC"/>
    <w:rsid w:val="0076683D"/>
    <w:rsid w:val="007937DB"/>
    <w:rsid w:val="007A3631"/>
    <w:rsid w:val="007B60BC"/>
    <w:rsid w:val="007D541A"/>
    <w:rsid w:val="007D67C6"/>
    <w:rsid w:val="007F526E"/>
    <w:rsid w:val="008048D0"/>
    <w:rsid w:val="00816C21"/>
    <w:rsid w:val="00837C86"/>
    <w:rsid w:val="008606B8"/>
    <w:rsid w:val="00870099"/>
    <w:rsid w:val="00886638"/>
    <w:rsid w:val="008A54D2"/>
    <w:rsid w:val="008B6EE3"/>
    <w:rsid w:val="008D5750"/>
    <w:rsid w:val="008E525A"/>
    <w:rsid w:val="008E65F5"/>
    <w:rsid w:val="008F063F"/>
    <w:rsid w:val="008F210A"/>
    <w:rsid w:val="00912FAD"/>
    <w:rsid w:val="00931AA7"/>
    <w:rsid w:val="00940C2F"/>
    <w:rsid w:val="009722BA"/>
    <w:rsid w:val="009735E3"/>
    <w:rsid w:val="009C42A4"/>
    <w:rsid w:val="009D2562"/>
    <w:rsid w:val="009D6DDA"/>
    <w:rsid w:val="009E14CD"/>
    <w:rsid w:val="009E41A5"/>
    <w:rsid w:val="00A22FC6"/>
    <w:rsid w:val="00A310FC"/>
    <w:rsid w:val="00A674DE"/>
    <w:rsid w:val="00A70A63"/>
    <w:rsid w:val="00A70E4F"/>
    <w:rsid w:val="00A755BD"/>
    <w:rsid w:val="00AA4CFD"/>
    <w:rsid w:val="00AB556F"/>
    <w:rsid w:val="00AB73CE"/>
    <w:rsid w:val="00AD15F3"/>
    <w:rsid w:val="00AF5A9D"/>
    <w:rsid w:val="00B13D17"/>
    <w:rsid w:val="00B1536E"/>
    <w:rsid w:val="00B17353"/>
    <w:rsid w:val="00B34EB0"/>
    <w:rsid w:val="00B71A5A"/>
    <w:rsid w:val="00B753F0"/>
    <w:rsid w:val="00B77AE3"/>
    <w:rsid w:val="00B8054D"/>
    <w:rsid w:val="00BC0E47"/>
    <w:rsid w:val="00BC2A89"/>
    <w:rsid w:val="00BC33BB"/>
    <w:rsid w:val="00BE7EBB"/>
    <w:rsid w:val="00C0429B"/>
    <w:rsid w:val="00C0599E"/>
    <w:rsid w:val="00C3721B"/>
    <w:rsid w:val="00C64EF6"/>
    <w:rsid w:val="00C817C5"/>
    <w:rsid w:val="00C8787A"/>
    <w:rsid w:val="00CA287F"/>
    <w:rsid w:val="00CA3CA3"/>
    <w:rsid w:val="00CB7B7C"/>
    <w:rsid w:val="00CC2C37"/>
    <w:rsid w:val="00CD5AD0"/>
    <w:rsid w:val="00D06A10"/>
    <w:rsid w:val="00D27144"/>
    <w:rsid w:val="00D31239"/>
    <w:rsid w:val="00D65C6C"/>
    <w:rsid w:val="00D74E68"/>
    <w:rsid w:val="00D85BB4"/>
    <w:rsid w:val="00DC2E4A"/>
    <w:rsid w:val="00DD4695"/>
    <w:rsid w:val="00DE111D"/>
    <w:rsid w:val="00E0087C"/>
    <w:rsid w:val="00E04EC3"/>
    <w:rsid w:val="00E231CF"/>
    <w:rsid w:val="00E240D5"/>
    <w:rsid w:val="00E41B55"/>
    <w:rsid w:val="00E4396D"/>
    <w:rsid w:val="00E443FC"/>
    <w:rsid w:val="00E655C9"/>
    <w:rsid w:val="00E81D81"/>
    <w:rsid w:val="00E83962"/>
    <w:rsid w:val="00E909D7"/>
    <w:rsid w:val="00E96D0A"/>
    <w:rsid w:val="00EA13AC"/>
    <w:rsid w:val="00EC2916"/>
    <w:rsid w:val="00EC6E09"/>
    <w:rsid w:val="00ED3F9E"/>
    <w:rsid w:val="00ED6FAE"/>
    <w:rsid w:val="00EF5852"/>
    <w:rsid w:val="00F03148"/>
    <w:rsid w:val="00F06AD4"/>
    <w:rsid w:val="00F1009E"/>
    <w:rsid w:val="00F11245"/>
    <w:rsid w:val="00F372B4"/>
    <w:rsid w:val="00F540C1"/>
    <w:rsid w:val="00F5756A"/>
    <w:rsid w:val="00F84371"/>
    <w:rsid w:val="00FC18F6"/>
    <w:rsid w:val="00FC23D4"/>
    <w:rsid w:val="00FE66C2"/>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decimalSymbol w:val="."/>
  <w:listSeparator w:val=","/>
  <w14:docId w14:val="64A38271"/>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12 Sabon* Roman 05232" w:eastAsiaTheme="minorEastAsia" w:hAnsi="12 Sabon* Roman 05232" w:cs="Calibri"/>
        <w:sz w:val="22"/>
        <w:szCs w:val="22"/>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uiPriority w:val="99"/>
    <w:unhideWhenUsed/>
    <w:rsid w:val="009E41A5"/>
    <w:pPr>
      <w:tabs>
        <w:tab w:val="center" w:pos="4320"/>
        <w:tab w:val="right" w:pos="8640"/>
      </w:tabs>
    </w:pPr>
  </w:style>
  <w:style w:type="character" w:customStyle="1" w:styleId="FooterChar">
    <w:name w:val="Footer Char"/>
    <w:basedOn w:val="DefaultParagraphFont"/>
    <w:link w:val="Footer"/>
    <w:uiPriority w:val="99"/>
    <w:rsid w:val="009E41A5"/>
  </w:style>
  <w:style w:type="character" w:styleId="PageNumber">
    <w:name w:val="page number"/>
    <w:basedOn w:val="DefaultParagraphFont"/>
    <w:uiPriority w:val="99"/>
    <w:semiHidden/>
    <w:unhideWhenUsed/>
    <w:rsid w:val="009E41A5"/>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12 Sabon* Roman 05232" w:eastAsiaTheme="minorEastAsia" w:hAnsi="12 Sabon* Roman 05232" w:cs="Calibri"/>
        <w:sz w:val="22"/>
        <w:szCs w:val="22"/>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uiPriority w:val="99"/>
    <w:unhideWhenUsed/>
    <w:rsid w:val="009E41A5"/>
    <w:pPr>
      <w:tabs>
        <w:tab w:val="center" w:pos="4320"/>
        <w:tab w:val="right" w:pos="8640"/>
      </w:tabs>
    </w:pPr>
  </w:style>
  <w:style w:type="character" w:customStyle="1" w:styleId="FooterChar">
    <w:name w:val="Footer Char"/>
    <w:basedOn w:val="DefaultParagraphFont"/>
    <w:link w:val="Footer"/>
    <w:uiPriority w:val="99"/>
    <w:rsid w:val="009E41A5"/>
  </w:style>
  <w:style w:type="character" w:styleId="PageNumber">
    <w:name w:val="page number"/>
    <w:basedOn w:val="DefaultParagraphFont"/>
    <w:uiPriority w:val="99"/>
    <w:semiHidden/>
    <w:unhideWhenUsed/>
    <w:rsid w:val="009E41A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allowPNG/>
  <w:doNotSaveAsSingleFile/>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footnotes" Target="footnotes.xml"/><Relationship Id="rId6" Type="http://schemas.openxmlformats.org/officeDocument/2006/relationships/endnotes" Target="endnotes.xml"/><Relationship Id="rId7" Type="http://schemas.openxmlformats.org/officeDocument/2006/relationships/footer" Target="footer1.xml"/><Relationship Id="rId8" Type="http://schemas.openxmlformats.org/officeDocument/2006/relationships/footer" Target="footer2.xml"/><Relationship Id="rId9" Type="http://schemas.openxmlformats.org/officeDocument/2006/relationships/fontTable" Target="fontTable.xml"/><Relationship Id="rId10" Type="http://schemas.openxmlformats.org/officeDocument/2006/relationships/theme" Target="theme/theme1.xml"/><Relationship Id="rId1" Type="http://schemas.openxmlformats.org/officeDocument/2006/relationships/styles" Target="styles.xml"/><Relationship Id="rId2" Type="http://schemas.microsoft.com/office/2007/relationships/stylesWithEffects" Target="stylesWithEffect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1486</TotalTime>
  <Pages>8</Pages>
  <Words>3996</Words>
  <Characters>22779</Characters>
  <Application>Microsoft Macintosh Word</Application>
  <DocSecurity>0</DocSecurity>
  <Lines>189</Lines>
  <Paragraphs>53</Paragraphs>
  <ScaleCrop>false</ScaleCrop>
  <Company>Warwick University</Company>
  <LinksUpToDate>false</LinksUpToDate>
  <CharactersWithSpaces>26722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Thomas Crowther</dc:creator>
  <cp:keywords/>
  <dc:description/>
  <cp:lastModifiedBy>Thomas Crowther</cp:lastModifiedBy>
  <cp:revision>22</cp:revision>
  <dcterms:created xsi:type="dcterms:W3CDTF">2015-01-02T10:38:00Z</dcterms:created>
  <dcterms:modified xsi:type="dcterms:W3CDTF">2015-01-14T23:07:00Z</dcterms:modified>
</cp:coreProperties>
</file>