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FFAF25" w14:textId="77777777" w:rsidR="00964255" w:rsidRDefault="00E90AA3">
      <w:pPr>
        <w:spacing w:after="294" w:line="259" w:lineRule="auto"/>
        <w:ind w:left="0" w:right="0" w:firstLine="0"/>
        <w:jc w:val="left"/>
      </w:pPr>
      <w:r>
        <w:rPr>
          <w:b/>
          <w:sz w:val="21"/>
        </w:rPr>
        <w:t xml:space="preserve">RAIDS: Further information for potential applicants for the Research Fellow positions </w:t>
      </w:r>
    </w:p>
    <w:p w14:paraId="76EECFAB" w14:textId="77777777" w:rsidR="00964255" w:rsidRDefault="00E90AA3">
      <w:pPr>
        <w:spacing w:after="194"/>
        <w:ind w:left="-5" w:right="0"/>
      </w:pPr>
      <w:r>
        <w:t>Religious authority and spirituality are under-recognised forces in struggles over mining, supporting both local resistance and corporate power. The ERC-funded RAIDS project aims to explore how religion serves as a potent ‘weapon’ for both marginalised communities and powerful extractive interests. It will analyse eight diverse mining disputes across Brazil, India, Indonesia, and the USA, and use a decolonial-</w:t>
      </w:r>
      <w:r>
        <w:t xml:space="preserve">feminist approach to centre the expertise of those on the front lines. </w:t>
      </w:r>
      <w:proofErr w:type="gramStart"/>
      <w:r>
        <w:t>With regard to</w:t>
      </w:r>
      <w:proofErr w:type="gramEnd"/>
      <w:r>
        <w:t xml:space="preserve"> climate catastrophe and the post-carbon transition, the project aims to offer new insights into how religious organisation and spiritual narratives influence land and labour justice. The findings will help scholars and activists navigate the systemic inequalities related to mining today.  </w:t>
      </w:r>
    </w:p>
    <w:p w14:paraId="42A1B9EC" w14:textId="77777777" w:rsidR="00964255" w:rsidRDefault="00E90AA3">
      <w:pPr>
        <w:spacing w:after="189"/>
        <w:ind w:left="-5" w:right="0"/>
      </w:pPr>
      <w:r>
        <w:t xml:space="preserve">RAIDS (Religious Authority in Extractive Industry Struggles) will be carried out over five years </w:t>
      </w:r>
      <w:r>
        <w:t xml:space="preserve">led by PI Claire Blencowe. Other members of the team to be recruited include a project administrator, a project producer and four Research Fellows. Each of the four Research Fellows will be employed for two years to conduct research on religion in extractive industry struggles in one country (Brazil, USA, India or Indonesia). We are looking for engaged activist-scholars who </w:t>
      </w:r>
      <w:proofErr w:type="gramStart"/>
      <w:r>
        <w:t>are able to</w:t>
      </w:r>
      <w:proofErr w:type="gramEnd"/>
      <w:r>
        <w:t xml:space="preserve"> work closely and respectfully with mine-</w:t>
      </w:r>
      <w:r>
        <w:t xml:space="preserve">affected communities, participating with and supporting the community's existing activism at the same time as carrying out research.  </w:t>
      </w:r>
    </w:p>
    <w:p w14:paraId="516674AA" w14:textId="77777777" w:rsidR="00964255" w:rsidRDefault="00E90AA3">
      <w:pPr>
        <w:spacing w:after="189"/>
        <w:ind w:left="-5" w:right="0"/>
      </w:pPr>
      <w:r>
        <w:t xml:space="preserve">At this point (autumn 2026) we are recruiting for Research Fellows to work on Brazil and USA only; recruitment for the India and Indonesia posts will take place in autumn 2028.  </w:t>
      </w:r>
    </w:p>
    <w:p w14:paraId="6296871B" w14:textId="77777777" w:rsidR="00964255" w:rsidRDefault="00E90AA3">
      <w:pPr>
        <w:spacing w:after="194"/>
        <w:ind w:left="-5" w:right="0"/>
      </w:pPr>
      <w:r>
        <w:t xml:space="preserve">If you wish to apply for this role, </w:t>
      </w:r>
      <w:r>
        <w:rPr>
          <w:b/>
        </w:rPr>
        <w:t>you are invited to propose two extractive industry struggles that you could successfully research as case studies</w:t>
      </w:r>
      <w:r>
        <w:t xml:space="preserve">, drawing upon your existing connections, </w:t>
      </w:r>
      <w:r>
        <w:t xml:space="preserve">or affinities, with mine-affected communities. Please read through the information below so that you have a clear idea of what we are trying to achieve with this research project and whether you, and your case study communities, would be a great fit. </w:t>
      </w:r>
      <w:r>
        <w:rPr>
          <w:b/>
        </w:rPr>
        <w:t>You will be the primary person responsible for carrying out case study research in EITHER Brazil or the USA</w:t>
      </w:r>
      <w:r>
        <w:t xml:space="preserve">. In your application you do not need to propose a methodology for researching your case studies, </w:t>
      </w:r>
      <w:r>
        <w:t xml:space="preserve">you simply need to tell us what each extractive industry struggles is, why it might be promising as a site to research the question of religious authority in extractive industry struggles, and why you personally would be a good fit to work with that community. </w:t>
      </w:r>
    </w:p>
    <w:p w14:paraId="56142EB4" w14:textId="41FB77C6" w:rsidR="00352C8D" w:rsidRDefault="00352C8D" w:rsidP="00352C8D">
      <w:pPr>
        <w:spacing w:after="0" w:line="259" w:lineRule="auto"/>
        <w:ind w:left="0" w:right="0" w:firstLine="0"/>
        <w:jc w:val="left"/>
      </w:pPr>
      <w:r>
        <w:t>To read the job description and selection criteria,</w:t>
      </w:r>
      <w:r w:rsidR="00A22B39">
        <w:t xml:space="preserve"> and to apply,</w:t>
      </w:r>
      <w:r>
        <w:t xml:space="preserve"> please see: </w:t>
      </w:r>
    </w:p>
    <w:p w14:paraId="32F1F3F0" w14:textId="0033FEA2" w:rsidR="00352C8D" w:rsidRPr="00A22B39" w:rsidRDefault="00352C8D" w:rsidP="00A22B39">
      <w:pPr>
        <w:pStyle w:val="ListParagraph"/>
        <w:numPr>
          <w:ilvl w:val="0"/>
          <w:numId w:val="3"/>
        </w:numPr>
        <w:spacing w:after="0" w:line="259" w:lineRule="auto"/>
        <w:ind w:right="0"/>
        <w:jc w:val="left"/>
        <w:rPr>
          <w:sz w:val="18"/>
          <w:szCs w:val="22"/>
        </w:rPr>
      </w:pPr>
      <w:r w:rsidRPr="00A22B39">
        <w:rPr>
          <w:sz w:val="18"/>
          <w:szCs w:val="22"/>
        </w:rPr>
        <w:t xml:space="preserve">Research Fellow (Brazil): </w:t>
      </w:r>
      <w:hyperlink r:id="rId5" w:history="1">
        <w:r w:rsidRPr="00A22B39">
          <w:rPr>
            <w:rStyle w:val="Hyperlink"/>
            <w:sz w:val="18"/>
            <w:szCs w:val="22"/>
          </w:rPr>
          <w:t>https://workwithus.warwick.ac.uk/job/COVENTRY-Research-Fellow-%28Brazil%29-CV4-7AL/1442021533/</w:t>
        </w:r>
      </w:hyperlink>
      <w:r w:rsidRPr="00A22B39">
        <w:rPr>
          <w:sz w:val="18"/>
          <w:szCs w:val="22"/>
        </w:rPr>
        <w:t xml:space="preserve"> </w:t>
      </w:r>
    </w:p>
    <w:p w14:paraId="07280599" w14:textId="77777777" w:rsidR="00352C8D" w:rsidRPr="00A22B39" w:rsidRDefault="00352C8D" w:rsidP="00A22B39">
      <w:pPr>
        <w:pStyle w:val="ListParagraph"/>
        <w:numPr>
          <w:ilvl w:val="0"/>
          <w:numId w:val="3"/>
        </w:numPr>
        <w:spacing w:after="0" w:line="259" w:lineRule="auto"/>
        <w:ind w:right="0"/>
        <w:jc w:val="left"/>
        <w:rPr>
          <w:sz w:val="18"/>
          <w:szCs w:val="22"/>
        </w:rPr>
      </w:pPr>
      <w:r w:rsidRPr="00A22B39">
        <w:rPr>
          <w:sz w:val="18"/>
          <w:szCs w:val="22"/>
        </w:rPr>
        <w:t xml:space="preserve">Research Fellow (USA): </w:t>
      </w:r>
      <w:hyperlink r:id="rId6" w:history="1">
        <w:r w:rsidRPr="00A22B39">
          <w:rPr>
            <w:rStyle w:val="Hyperlink"/>
            <w:sz w:val="18"/>
            <w:szCs w:val="22"/>
          </w:rPr>
          <w:t>https://workwithus.warwick.ac.uk/job/COVENTRY-Research-Fellow-%28USA%29-CV4-7AL/1442020233/</w:t>
        </w:r>
      </w:hyperlink>
      <w:r w:rsidRPr="00A22B39">
        <w:rPr>
          <w:sz w:val="18"/>
          <w:szCs w:val="22"/>
        </w:rPr>
        <w:t xml:space="preserve"> </w:t>
      </w:r>
    </w:p>
    <w:p w14:paraId="256B7608" w14:textId="77777777" w:rsidR="00352C8D" w:rsidRDefault="00352C8D" w:rsidP="00352C8D">
      <w:pPr>
        <w:spacing w:after="0" w:line="259" w:lineRule="auto"/>
        <w:ind w:left="0" w:right="0" w:firstLine="0"/>
        <w:jc w:val="left"/>
      </w:pPr>
    </w:p>
    <w:p w14:paraId="483221A4" w14:textId="0CD5C9D4" w:rsidR="00352C8D" w:rsidRDefault="00352C8D" w:rsidP="00352C8D">
      <w:pPr>
        <w:ind w:left="-5" w:right="0"/>
      </w:pPr>
      <w:r>
        <w:t xml:space="preserve">For </w:t>
      </w:r>
      <w:r w:rsidR="00A22B39">
        <w:t xml:space="preserve">questions about the posts please </w:t>
      </w:r>
      <w:r>
        <w:t xml:space="preserve">contact </w:t>
      </w:r>
      <w:r w:rsidR="00E90AA3">
        <w:t>Claire Blencowe</w:t>
      </w:r>
      <w:r w:rsidR="00E90AA3">
        <w:t xml:space="preserve"> </w:t>
      </w:r>
      <w:r w:rsidR="00E90AA3">
        <w:rPr>
          <w:color w:val="457786"/>
          <w:u w:val="single" w:color="457786"/>
        </w:rPr>
        <w:t>c.blencowe@warwick.ac.uk</w:t>
      </w:r>
      <w:r>
        <w:t>.</w:t>
      </w:r>
    </w:p>
    <w:p w14:paraId="3A5CF390" w14:textId="77777777" w:rsidR="00964255" w:rsidRDefault="00E90AA3">
      <w:pPr>
        <w:pStyle w:val="Heading1"/>
        <w:ind w:left="-5"/>
      </w:pPr>
      <w:r>
        <w:lastRenderedPageBreak/>
        <w:t xml:space="preserve">Research Questions </w:t>
      </w:r>
    </w:p>
    <w:p w14:paraId="1AF8A6FE" w14:textId="77777777" w:rsidR="00964255" w:rsidRDefault="00E90AA3">
      <w:pPr>
        <w:spacing w:after="162" w:line="259" w:lineRule="auto"/>
        <w:ind w:left="-29" w:right="-23" w:firstLine="0"/>
        <w:jc w:val="left"/>
      </w:pPr>
      <w:r>
        <w:rPr>
          <w:rFonts w:ascii="Calibri" w:eastAsia="Calibri" w:hAnsi="Calibri" w:cs="Calibri"/>
          <w:noProof/>
          <w:color w:val="000000"/>
          <w:sz w:val="22"/>
        </w:rPr>
        <mc:AlternateContent>
          <mc:Choice Requires="wpg">
            <w:drawing>
              <wp:inline distT="0" distB="0" distL="0" distR="0" wp14:anchorId="60778C2E" wp14:editId="6549B8F8">
                <wp:extent cx="5766816" cy="6096"/>
                <wp:effectExtent l="0" t="0" r="0" b="0"/>
                <wp:docPr id="10201" name="Group 10201"/>
                <wp:cNvGraphicFramePr/>
                <a:graphic xmlns:a="http://schemas.openxmlformats.org/drawingml/2006/main">
                  <a:graphicData uri="http://schemas.microsoft.com/office/word/2010/wordprocessingGroup">
                    <wpg:wgp>
                      <wpg:cNvGrpSpPr/>
                      <wpg:grpSpPr>
                        <a:xfrm>
                          <a:off x="0" y="0"/>
                          <a:ext cx="5766816" cy="6096"/>
                          <a:chOff x="0" y="0"/>
                          <a:chExt cx="5766816" cy="6096"/>
                        </a:xfrm>
                      </wpg:grpSpPr>
                      <wps:wsp>
                        <wps:cNvPr id="11305" name="Shape 11305"/>
                        <wps:cNvSpPr/>
                        <wps:spPr>
                          <a:xfrm>
                            <a:off x="0" y="0"/>
                            <a:ext cx="5766816" cy="9144"/>
                          </a:xfrm>
                          <a:custGeom>
                            <a:avLst/>
                            <a:gdLst/>
                            <a:ahLst/>
                            <a:cxnLst/>
                            <a:rect l="0" t="0" r="0" b="0"/>
                            <a:pathLst>
                              <a:path w="5766816" h="9144">
                                <a:moveTo>
                                  <a:pt x="0" y="0"/>
                                </a:moveTo>
                                <a:lnTo>
                                  <a:pt x="5766816" y="0"/>
                                </a:lnTo>
                                <a:lnTo>
                                  <a:pt x="57668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201" style="width:454.08pt;height:0.47998pt;mso-position-horizontal-relative:char;mso-position-vertical-relative:line" coordsize="57668,60">
                <v:shape id="Shape 11306" style="position:absolute;width:57668;height:91;left:0;top:0;" coordsize="5766816,9144" path="m0,0l5766816,0l5766816,9144l0,9144l0,0">
                  <v:stroke weight="0pt" endcap="flat" joinstyle="miter" miterlimit="10" on="false" color="#000000" opacity="0"/>
                  <v:fill on="true" color="#000000"/>
                </v:shape>
              </v:group>
            </w:pict>
          </mc:Fallback>
        </mc:AlternateContent>
      </w:r>
    </w:p>
    <w:p w14:paraId="502B2348" w14:textId="77777777" w:rsidR="00964255" w:rsidRDefault="00E90AA3">
      <w:pPr>
        <w:spacing w:line="259" w:lineRule="auto"/>
        <w:ind w:left="-5" w:right="0"/>
      </w:pPr>
      <w:r>
        <w:t xml:space="preserve">Together the team will address the following research question: </w:t>
      </w:r>
    </w:p>
    <w:p w14:paraId="21F56629" w14:textId="77777777" w:rsidR="00964255" w:rsidRDefault="00E90AA3">
      <w:pPr>
        <w:spacing w:after="187" w:line="368" w:lineRule="auto"/>
        <w:ind w:left="0" w:firstLine="0"/>
      </w:pPr>
      <w:r>
        <w:rPr>
          <w:i/>
        </w:rPr>
        <w:t xml:space="preserve"> </w:t>
      </w:r>
      <w:r>
        <w:rPr>
          <w:b/>
          <w:i/>
        </w:rPr>
        <w:t xml:space="preserve">What is the role of religious authority in contemporary extractive industry struggles, both in supporting the interests of extractive corporations, and in supporting marginalised local </w:t>
      </w:r>
      <w:r>
        <w:rPr>
          <w:b/>
          <w:i/>
        </w:rPr>
        <w:t xml:space="preserve">communities who confront those corporations? </w:t>
      </w:r>
      <w:r>
        <w:t xml:space="preserve"> </w:t>
      </w:r>
    </w:p>
    <w:p w14:paraId="5E5D070A" w14:textId="77777777" w:rsidR="00964255" w:rsidRDefault="00E90AA3">
      <w:pPr>
        <w:spacing w:after="302" w:line="259" w:lineRule="auto"/>
        <w:ind w:left="-5" w:right="0"/>
      </w:pPr>
      <w:r>
        <w:t xml:space="preserve">To find answers we will: </w:t>
      </w:r>
    </w:p>
    <w:p w14:paraId="31E3E3CC" w14:textId="77777777" w:rsidR="00964255" w:rsidRDefault="00E90AA3">
      <w:pPr>
        <w:spacing w:after="194"/>
        <w:ind w:left="-5" w:right="0"/>
      </w:pPr>
      <w:r>
        <w:rPr>
          <w:b/>
          <w:i/>
        </w:rPr>
        <w:t>Identify and analyse uses of religious authority in eight specific extractive industry struggles</w:t>
      </w:r>
      <w:r>
        <w:t>, including uses of religious authority by communities organising to oppose or mitigate damages inflicted by extractive industry corporations, and uses of religious authority to support the interests of mining corporations. Establish religious-authority and environmental-religious-</w:t>
      </w:r>
      <w:r>
        <w:t xml:space="preserve">racism as crucial factors within environmental humanities and social science of extractive industry struggles. </w:t>
      </w:r>
    </w:p>
    <w:p w14:paraId="0EA6E8CC" w14:textId="77777777" w:rsidR="00964255" w:rsidRDefault="00E90AA3">
      <w:pPr>
        <w:spacing w:after="194"/>
        <w:ind w:left="-5" w:right="0"/>
      </w:pPr>
      <w:r>
        <w:rPr>
          <w:b/>
          <w:i/>
        </w:rPr>
        <w:t xml:space="preserve">Investigate whether and how extractive industries and religious nationalist movements support each other today </w:t>
      </w:r>
      <w:r>
        <w:t xml:space="preserve">including how economic and affective attachments to extractive industries are cultivated through religious identities, values and practice. Consider how </w:t>
      </w:r>
      <w:proofErr w:type="spellStart"/>
      <w:r>
        <w:t>extractivereligious</w:t>
      </w:r>
      <w:proofErr w:type="spellEnd"/>
      <w:r>
        <w:t>-</w:t>
      </w:r>
      <w:r>
        <w:t>authoritarian coalitions relate to the sovereignty and authority crises of contemporary nation states, including connections and parallels between these contemporary cases and the role of colonial Christianity in 19</w:t>
      </w:r>
      <w:r>
        <w:rPr>
          <w:sz w:val="13"/>
        </w:rPr>
        <w:t>th</w:t>
      </w:r>
      <w:r>
        <w:t xml:space="preserve"> century extractive industry expansion, including structuring of religious environmental racism, ‘civilising’ governmentality and education, and glorification of extractive industries. </w:t>
      </w:r>
    </w:p>
    <w:p w14:paraId="343D8BDD" w14:textId="77777777" w:rsidR="00964255" w:rsidRDefault="00E90AA3">
      <w:pPr>
        <w:ind w:left="-5" w:right="0"/>
      </w:pPr>
      <w:r>
        <w:rPr>
          <w:b/>
          <w:i/>
        </w:rPr>
        <w:t xml:space="preserve">Contribute to egalitarian and just decolonial-feminist scholarship amplifying marginalised expertise in </w:t>
      </w:r>
      <w:r>
        <w:rPr>
          <w:b/>
          <w:i/>
        </w:rPr>
        <w:t>extractive industry struggles by attending to religious and spiritual activism</w:t>
      </w:r>
      <w:r>
        <w:t xml:space="preserve">. Deploy a better understanding of the roles of religious authority in extractive industry struggles to build solidarity, resonance and justice amongst disparate activist communities; including sharing stories of success as well as critical exploration of the potential problems entailed in transnational religious solidarity and humanitarianism. </w:t>
      </w:r>
    </w:p>
    <w:p w14:paraId="382B6824" w14:textId="77777777" w:rsidR="00964255" w:rsidRDefault="00E90AA3">
      <w:pPr>
        <w:pStyle w:val="Heading1"/>
        <w:ind w:left="-5"/>
      </w:pPr>
      <w:r>
        <w:t xml:space="preserve">Research Rationale </w:t>
      </w:r>
    </w:p>
    <w:p w14:paraId="7446F229" w14:textId="77777777" w:rsidR="00964255" w:rsidRDefault="00E90AA3">
      <w:pPr>
        <w:spacing w:after="277" w:line="259" w:lineRule="auto"/>
        <w:ind w:left="-29" w:right="-23" w:firstLine="0"/>
        <w:jc w:val="left"/>
      </w:pPr>
      <w:r>
        <w:rPr>
          <w:rFonts w:ascii="Calibri" w:eastAsia="Calibri" w:hAnsi="Calibri" w:cs="Calibri"/>
          <w:noProof/>
          <w:color w:val="000000"/>
          <w:sz w:val="22"/>
        </w:rPr>
        <mc:AlternateContent>
          <mc:Choice Requires="wpg">
            <w:drawing>
              <wp:inline distT="0" distB="0" distL="0" distR="0" wp14:anchorId="5849F063" wp14:editId="2797EE31">
                <wp:extent cx="5766816" cy="6097"/>
                <wp:effectExtent l="0" t="0" r="0" b="0"/>
                <wp:docPr id="10202" name="Group 10202"/>
                <wp:cNvGraphicFramePr/>
                <a:graphic xmlns:a="http://schemas.openxmlformats.org/drawingml/2006/main">
                  <a:graphicData uri="http://schemas.microsoft.com/office/word/2010/wordprocessingGroup">
                    <wpg:wgp>
                      <wpg:cNvGrpSpPr/>
                      <wpg:grpSpPr>
                        <a:xfrm>
                          <a:off x="0" y="0"/>
                          <a:ext cx="5766816" cy="6097"/>
                          <a:chOff x="0" y="0"/>
                          <a:chExt cx="5766816" cy="6097"/>
                        </a:xfrm>
                      </wpg:grpSpPr>
                      <wps:wsp>
                        <wps:cNvPr id="11307" name="Shape 11307"/>
                        <wps:cNvSpPr/>
                        <wps:spPr>
                          <a:xfrm>
                            <a:off x="0" y="0"/>
                            <a:ext cx="5766816" cy="9144"/>
                          </a:xfrm>
                          <a:custGeom>
                            <a:avLst/>
                            <a:gdLst/>
                            <a:ahLst/>
                            <a:cxnLst/>
                            <a:rect l="0" t="0" r="0" b="0"/>
                            <a:pathLst>
                              <a:path w="5766816" h="9144">
                                <a:moveTo>
                                  <a:pt x="0" y="0"/>
                                </a:moveTo>
                                <a:lnTo>
                                  <a:pt x="5766816" y="0"/>
                                </a:lnTo>
                                <a:lnTo>
                                  <a:pt x="57668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202" style="width:454.08pt;height:0.480042pt;mso-position-horizontal-relative:char;mso-position-vertical-relative:line" coordsize="57668,60">
                <v:shape id="Shape 11308" style="position:absolute;width:57668;height:91;left:0;top:0;" coordsize="5766816,9144" path="m0,0l5766816,0l5766816,9144l0,9144l0,0">
                  <v:stroke weight="0pt" endcap="flat" joinstyle="miter" miterlimit="10" on="false" color="#000000" opacity="0"/>
                  <v:fill on="true" color="#000000"/>
                </v:shape>
              </v:group>
            </w:pict>
          </mc:Fallback>
        </mc:AlternateContent>
      </w:r>
    </w:p>
    <w:p w14:paraId="60C4FADD" w14:textId="77777777" w:rsidR="00964255" w:rsidRDefault="00E90AA3">
      <w:pPr>
        <w:ind w:left="-5" w:right="0"/>
      </w:pPr>
      <w:r>
        <w:t xml:space="preserve">Scholars and activists recognise that authority – </w:t>
      </w:r>
      <w:r>
        <w:t xml:space="preserve">that is to say, the ‘soft’ forms of power engendered in relations of knowledge and care – matters within the politics of extraction. We know, in particular, that the authority of ‘western’ scientific knowledge shapes unjust outcomes in environmental politics by imposing abstract, often racist, instrumental rationality to the exclusion of a range of values and concerns held in local knowledges, bodies, and relations – </w:t>
      </w:r>
      <w:r>
        <w:lastRenderedPageBreak/>
        <w:t xml:space="preserve">often to the benefit of equally abstracting extractive economics. </w:t>
      </w:r>
      <w:r>
        <w:t xml:space="preserve">A </w:t>
      </w:r>
      <w:proofErr w:type="spellStart"/>
      <w:r>
        <w:t>Foucaultian</w:t>
      </w:r>
      <w:proofErr w:type="spellEnd"/>
      <w:r>
        <w:t xml:space="preserve"> perspective on power emphasises that the very structures of power/knowledge that secure inequality and exploitation simultaneously create the conditions of resistance. </w:t>
      </w:r>
      <w:proofErr w:type="gramStart"/>
      <w:r>
        <w:t>Thus</w:t>
      </w:r>
      <w:proofErr w:type="gramEnd"/>
      <w:r>
        <w:t xml:space="preserve"> much feminist and decolonial effort goes into research that uses and transforms scientific knowledge itself as a means of resistance, challenging epistemic injustice by widening the circle of </w:t>
      </w:r>
      <w:r>
        <w:rPr>
          <w:i/>
        </w:rPr>
        <w:t>who</w:t>
      </w:r>
      <w:r>
        <w:t xml:space="preserve"> produces scientific knowledge (e.g. ‘citizen science’), or challenging </w:t>
      </w:r>
      <w:r>
        <w:rPr>
          <w:i/>
        </w:rPr>
        <w:t>what counts</w:t>
      </w:r>
      <w:r>
        <w:t xml:space="preserve"> as scientific knowledge (</w:t>
      </w:r>
      <w:r>
        <w:t xml:space="preserve">e.g. establishing ‘expertise by experience’ or the ‘multiplicity of sciences’). Such work is </w:t>
      </w:r>
      <w:proofErr w:type="gramStart"/>
      <w:r>
        <w:t>really important</w:t>
      </w:r>
      <w:proofErr w:type="gramEnd"/>
      <w:r>
        <w:t xml:space="preserve"> and has often helped marginalised people to find more power within environmental struggles. But we know that in environmental politics ‘the science’ is, in fact, often ignored, whilst a plethora of power/knowledge, media and propaganda tactics, are deployed by big corporations to impact disputes. As such, there is a case for decolonial feminist research to </w:t>
      </w:r>
      <w:r>
        <w:t xml:space="preserve">expand upon the ways we think about and engage with power/knowledge and authority, in hope of identifying additional routes for research to support communities in their struggles. RAIDS aims to contribute to that work by </w:t>
      </w:r>
      <w:r>
        <w:rPr>
          <w:b/>
        </w:rPr>
        <w:t xml:space="preserve">establishing religion as an additional terrain of authority (a cultural field or dimension of power) in extractive industry struggles – a component of </w:t>
      </w:r>
      <w:proofErr w:type="spellStart"/>
      <w:r>
        <w:rPr>
          <w:b/>
        </w:rPr>
        <w:t>extractivist</w:t>
      </w:r>
      <w:proofErr w:type="spellEnd"/>
      <w:r>
        <w:rPr>
          <w:b/>
        </w:rPr>
        <w:t xml:space="preserve"> corporate power </w:t>
      </w:r>
      <w:proofErr w:type="gramStart"/>
      <w:r>
        <w:rPr>
          <w:b/>
        </w:rPr>
        <w:t>and also</w:t>
      </w:r>
      <w:proofErr w:type="gramEnd"/>
      <w:r>
        <w:rPr>
          <w:b/>
        </w:rPr>
        <w:t xml:space="preserve"> of community resistance. </w:t>
      </w:r>
      <w:r>
        <w:t xml:space="preserve"> </w:t>
      </w:r>
    </w:p>
    <w:p w14:paraId="7FD8E6BE" w14:textId="77777777" w:rsidR="00964255" w:rsidRDefault="00E90AA3">
      <w:pPr>
        <w:ind w:left="-5" w:right="0"/>
      </w:pPr>
      <w:r>
        <w:t xml:space="preserve">RAIDS will </w:t>
      </w:r>
      <w:r>
        <w:t>cultivate an additional way of thinking about power relations within extractive industry struggles.</w:t>
      </w:r>
      <w:r>
        <w:rPr>
          <w:b/>
        </w:rPr>
        <w:t xml:space="preserve"> ‘Extractive industry struggles’</w:t>
      </w:r>
      <w:r>
        <w:t xml:space="preserve"> </w:t>
      </w:r>
      <w:r>
        <w:t xml:space="preserve">includes all those disputes wherein new mines for fossil fuels, minerals, or aggregates are being opened in the face of opposition, or communities are attempting to close down, or demand repair or justice for damages inflicted by, existing mines: It includes the struggles for and against the ongoing expansion of fossil fuels, which has become a definitive political questions in this era of climate catastrophe; It also includes disputes over critical mineral </w:t>
      </w:r>
      <w:r>
        <w:t xml:space="preserve">mines which are rapidly expanding, not least because of demand for the metals required in the transition to low carbon electrified futures. Both protest and its suppression are components of extractive industry struggles. </w:t>
      </w:r>
      <w:r>
        <w:rPr>
          <w:b/>
        </w:rPr>
        <w:t xml:space="preserve"> </w:t>
      </w:r>
    </w:p>
    <w:p w14:paraId="3F190DE5" w14:textId="77777777" w:rsidR="00964255" w:rsidRDefault="00E90AA3">
      <w:pPr>
        <w:ind w:left="-5" w:right="0"/>
      </w:pPr>
      <w:r>
        <w:t xml:space="preserve">Religious authority has been largely overlooked in the scholarship on contemporary extractive industries – </w:t>
      </w:r>
      <w:r>
        <w:t xml:space="preserve">perhaps because the Eurocentric ‘secularisation thesis’ continues to limit the sociological imagination such that religious authority is assumed to be something of ‘the past’ or relevant only within ‘traditional’ societies or ‘extremist’ organisations – despite the extensive evidence of the enduring political importance of religion globally. Whilst existing literature recognises religion as an important aspect of the colonial </w:t>
      </w:r>
      <w:r>
        <w:rPr>
          <w:i/>
        </w:rPr>
        <w:t>history</w:t>
      </w:r>
      <w:r>
        <w:t xml:space="preserve"> of </w:t>
      </w:r>
      <w:proofErr w:type="spellStart"/>
      <w:r>
        <w:t>extractivism</w:t>
      </w:r>
      <w:proofErr w:type="spellEnd"/>
      <w:r>
        <w:t xml:space="preserve">, </w:t>
      </w:r>
      <w:r>
        <w:t xml:space="preserve">the role of religion in securing the interests of big businesses today is scarcely acknowledged. Thus, religion has not been properly researched as a pertinent terrain of authority (or field of struggle) in contemporary extractive industry struggles. RAIDS aims to change this, drawing the latest insights of analysis of contemporary racism (wherein </w:t>
      </w:r>
      <w:proofErr w:type="spellStart"/>
      <w:r>
        <w:t>Islamaphobia</w:t>
      </w:r>
      <w:proofErr w:type="spellEnd"/>
      <w:r>
        <w:t xml:space="preserve">, and religious racism are </w:t>
      </w:r>
      <w:r>
        <w:lastRenderedPageBreak/>
        <w:t xml:space="preserve">understood as wholly contemporary) into the analysis of extractive industries, and establishing the concept of </w:t>
      </w:r>
      <w:r>
        <w:t xml:space="preserve">environmental </w:t>
      </w:r>
      <w:r>
        <w:rPr>
          <w:i/>
        </w:rPr>
        <w:t>religious</w:t>
      </w:r>
      <w:r>
        <w:t xml:space="preserve"> racism. This is not simply about critiquing religion, however; rather, it is about identifying religion and spirituality as a significant terrain within struggles – a terrain and resource that can also be used by communities. Indeed, religion has been widely recognised as a powerful ‘weapon of the weak’, engendering forms knowledge and agency that escape Eurocentric and capitalist frameworks. By engaging with the religious and spiritual understanding and activism of front-line </w:t>
      </w:r>
      <w:r>
        <w:t xml:space="preserve">communities, RAIDS seeks new ways of understanding and supporting the existing authority and expertise of marginalised communities.  </w:t>
      </w:r>
    </w:p>
    <w:p w14:paraId="3F36E23C" w14:textId="77777777" w:rsidR="00964255" w:rsidRDefault="00E90AA3">
      <w:pPr>
        <w:ind w:left="-5" w:right="0"/>
      </w:pPr>
      <w:r>
        <w:t xml:space="preserve">The importance of religion and spirituality for activists opposing extractive industry </w:t>
      </w:r>
      <w:r>
        <w:rPr>
          <w:i/>
        </w:rPr>
        <w:t xml:space="preserve">has </w:t>
      </w:r>
      <w:r>
        <w:t xml:space="preserve">already been widely recognised in the context of Indigenous environmental defenders. Indigenous scholars, activists, lawyers and anthropologists emphasise Indigenous understandings of the sacred in the epistemological, social, and legal basis of campaigns to protect mountains, </w:t>
      </w:r>
      <w:r>
        <w:t xml:space="preserve">sacred waters, rocks, communities and other relations, as well as the importance of ritual in sustaining communities in struggle. RAIDS will draw extensively on that scholarship, but heads in a new direction by exploring a wider range of religions that are engaged in extractive industry struggles, emphasising and cultivating cross-cultural solidarity.  </w:t>
      </w:r>
    </w:p>
    <w:p w14:paraId="3791DBAF" w14:textId="77777777" w:rsidR="00964255" w:rsidRDefault="00E90AA3">
      <w:pPr>
        <w:ind w:left="-5" w:right="0"/>
      </w:pPr>
      <w:r>
        <w:t xml:space="preserve">Given the planetary scale of the extractive industry, one important role for research is to connect communities and their struggles at a similar scale </w:t>
      </w:r>
      <w:r>
        <w:t xml:space="preserve">and this is crucial to the transcontinental design of RAIDS.  </w:t>
      </w:r>
    </w:p>
    <w:p w14:paraId="71A591C7" w14:textId="77777777" w:rsidR="00964255" w:rsidRDefault="00E90AA3">
      <w:pPr>
        <w:ind w:left="-5" w:right="0"/>
      </w:pPr>
      <w:r>
        <w:t xml:space="preserve">Brazil, India, Indonesia and the USA are all countries that have seen significant expansion of extractive industry in recent decades, and each is amongst the top producers of one or more fossil fuels or ‘critical’ minerals. Each is the site of dozens of ongoing extractive </w:t>
      </w:r>
      <w:proofErr w:type="gramStart"/>
      <w:r>
        <w:t>industry</w:t>
      </w:r>
      <w:proofErr w:type="gramEnd"/>
      <w:r>
        <w:t xml:space="preserve"> </w:t>
      </w:r>
      <w:r>
        <w:t xml:space="preserve">struggles wherein Indigenous and other communities are resisting displacement and environmental destruction, or campaigning for justice and repair in the wake of environmental disasters. The countries have been selected for the study due to specific commonalities and differences in their political and religious landscapes:  </w:t>
      </w:r>
    </w:p>
    <w:p w14:paraId="77D66AE3" w14:textId="77777777" w:rsidR="00964255" w:rsidRDefault="00E90AA3">
      <w:pPr>
        <w:ind w:left="-5" w:right="0"/>
      </w:pPr>
      <w:r>
        <w:t xml:space="preserve">The </w:t>
      </w:r>
      <w:r>
        <w:rPr>
          <w:b/>
        </w:rPr>
        <w:t xml:space="preserve">key commonality </w:t>
      </w:r>
      <w:r>
        <w:t>is that in each of these countries the recent intensification of extractive industry has been accompanied by a religious revival, and religious-nationalist movement,</w:t>
      </w:r>
      <w:r>
        <w:t xml:space="preserve"> that is gaining increasing political significance intertwined with pro-extractive, populist authoritarian politics. Those politicians and movements have promoted conservative religious values and an increasing role for religions in public service delivery, alongside sexist and racist identities attached to extractive industries, expansions of </w:t>
      </w:r>
      <w:proofErr w:type="spellStart"/>
      <w:r>
        <w:t>extractivism</w:t>
      </w:r>
      <w:proofErr w:type="spellEnd"/>
      <w:r>
        <w:t>, and dismantling environmental protections. In all these countries it makes sense to ask</w:t>
      </w:r>
      <w:r>
        <w:rPr>
          <w:b/>
        </w:rPr>
        <w:t xml:space="preserve"> </w:t>
      </w:r>
      <w:r>
        <w:t xml:space="preserve">whether religious </w:t>
      </w:r>
      <w:r>
        <w:lastRenderedPageBreak/>
        <w:t>nationalist movements are playing a parallel role to that of colonial Christianity in the 19</w:t>
      </w:r>
      <w:r>
        <w:rPr>
          <w:sz w:val="13"/>
        </w:rPr>
        <w:t>th</w:t>
      </w:r>
      <w:r>
        <w:t xml:space="preserve"> Century British Empire in terms of supporting the expansion of extractive industries.  </w:t>
      </w:r>
    </w:p>
    <w:p w14:paraId="77CF805F" w14:textId="77777777" w:rsidR="00964255" w:rsidRDefault="00E90AA3">
      <w:pPr>
        <w:ind w:left="-5" w:right="0"/>
      </w:pPr>
      <w:r>
        <w:t xml:space="preserve">The </w:t>
      </w:r>
      <w:r>
        <w:rPr>
          <w:b/>
        </w:rPr>
        <w:t>key difference</w:t>
      </w:r>
      <w:r>
        <w:t xml:space="preserve"> between the countries is that</w:t>
      </w:r>
      <w:r>
        <w:rPr>
          <w:b/>
        </w:rPr>
        <w:t xml:space="preserve"> different religions are dominant in each country</w:t>
      </w:r>
      <w:r>
        <w:t xml:space="preserve">, this being Protestant evangelical Christianity in the USA, Hinduism in India, Islam in Indonesia, and Catholic Christianity in Brazil alongside burgeoning Pentecostalism that is </w:t>
      </w:r>
      <w:r>
        <w:t xml:space="preserve">far from identical with that of the USA. This difference enables the research to be truly groundbreaking because it moves us beyond a set of stale assumptions about the role of religion in relation to </w:t>
      </w:r>
      <w:proofErr w:type="spellStart"/>
      <w:r>
        <w:t>extractivism</w:t>
      </w:r>
      <w:proofErr w:type="spellEnd"/>
      <w:r>
        <w:t>,</w:t>
      </w:r>
      <w:r>
        <w:rPr>
          <w:b/>
        </w:rPr>
        <w:t xml:space="preserve"> </w:t>
      </w:r>
      <w:r>
        <w:t xml:space="preserve">wherein Christianity is assumed to be the colonial, or capitalist, religion versus romanticised ideas of authentic Eastern and Indigenous religions as essentially nature-loving. </w:t>
      </w:r>
      <w:r>
        <w:t xml:space="preserve">Whilst such assumptions derive from important historical truths about the role of Christianity in European colonialism, they are also simplistic and misleading, not least because of the importance of Christianity (especially Black-led Churches and liberation theology) within environmentalist, anti-racist, decolonial and Indigenous movements historically. In the contemporary </w:t>
      </w:r>
      <w:r>
        <w:t xml:space="preserve">world order, wherein industrial advance, capital accumulation, and expropriation have multiple centres beyond the west, it becomes increasingly urgent to understand both the </w:t>
      </w:r>
      <w:proofErr w:type="spellStart"/>
      <w:r>
        <w:t>extractivist</w:t>
      </w:r>
      <w:proofErr w:type="spellEnd"/>
      <w:r>
        <w:t xml:space="preserve"> and environmental justice role of multiple religions. This multiplicity will help us to decentre the USA in our analyses of extraction and religion as well as eschewing romanticising and dualistic accounts of Indigenous vs </w:t>
      </w:r>
      <w:proofErr w:type="spellStart"/>
      <w:r>
        <w:t>nonIndigenous</w:t>
      </w:r>
      <w:proofErr w:type="spellEnd"/>
      <w:r>
        <w:t xml:space="preserve"> culture. </w:t>
      </w:r>
    </w:p>
    <w:p w14:paraId="6E7CAABB" w14:textId="77777777" w:rsidR="00964255" w:rsidRDefault="00E90AA3">
      <w:pPr>
        <w:pStyle w:val="Heading1"/>
        <w:ind w:left="-5"/>
      </w:pPr>
      <w:r>
        <w:t xml:space="preserve">Explanation of Research Methodology </w:t>
      </w:r>
    </w:p>
    <w:p w14:paraId="3FAEA944" w14:textId="77777777" w:rsidR="00964255" w:rsidRDefault="00E90AA3">
      <w:pPr>
        <w:spacing w:after="277" w:line="259" w:lineRule="auto"/>
        <w:ind w:left="-29" w:right="-23" w:firstLine="0"/>
        <w:jc w:val="left"/>
      </w:pPr>
      <w:r>
        <w:rPr>
          <w:rFonts w:ascii="Calibri" w:eastAsia="Calibri" w:hAnsi="Calibri" w:cs="Calibri"/>
          <w:noProof/>
          <w:color w:val="000000"/>
          <w:sz w:val="22"/>
        </w:rPr>
        <mc:AlternateContent>
          <mc:Choice Requires="wpg">
            <w:drawing>
              <wp:inline distT="0" distB="0" distL="0" distR="0" wp14:anchorId="0A999AAE" wp14:editId="41CFC6A0">
                <wp:extent cx="5766816" cy="6096"/>
                <wp:effectExtent l="0" t="0" r="0" b="0"/>
                <wp:docPr id="10080" name="Group 10080"/>
                <wp:cNvGraphicFramePr/>
                <a:graphic xmlns:a="http://schemas.openxmlformats.org/drawingml/2006/main">
                  <a:graphicData uri="http://schemas.microsoft.com/office/word/2010/wordprocessingGroup">
                    <wpg:wgp>
                      <wpg:cNvGrpSpPr/>
                      <wpg:grpSpPr>
                        <a:xfrm>
                          <a:off x="0" y="0"/>
                          <a:ext cx="5766816" cy="6096"/>
                          <a:chOff x="0" y="0"/>
                          <a:chExt cx="5766816" cy="6096"/>
                        </a:xfrm>
                      </wpg:grpSpPr>
                      <wps:wsp>
                        <wps:cNvPr id="11309" name="Shape 11309"/>
                        <wps:cNvSpPr/>
                        <wps:spPr>
                          <a:xfrm>
                            <a:off x="0" y="0"/>
                            <a:ext cx="5766816" cy="9144"/>
                          </a:xfrm>
                          <a:custGeom>
                            <a:avLst/>
                            <a:gdLst/>
                            <a:ahLst/>
                            <a:cxnLst/>
                            <a:rect l="0" t="0" r="0" b="0"/>
                            <a:pathLst>
                              <a:path w="5766816" h="9144">
                                <a:moveTo>
                                  <a:pt x="0" y="0"/>
                                </a:moveTo>
                                <a:lnTo>
                                  <a:pt x="5766816" y="0"/>
                                </a:lnTo>
                                <a:lnTo>
                                  <a:pt x="57668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080" style="width:454.08pt;height:0.480011pt;mso-position-horizontal-relative:char;mso-position-vertical-relative:line" coordsize="57668,60">
                <v:shape id="Shape 11310" style="position:absolute;width:57668;height:91;left:0;top:0;" coordsize="5766816,9144" path="m0,0l5766816,0l5766816,9144l0,9144l0,0">
                  <v:stroke weight="0pt" endcap="flat" joinstyle="miter" miterlimit="10" on="false" color="#000000" opacity="0"/>
                  <v:fill on="true" color="#000000"/>
                </v:shape>
              </v:group>
            </w:pict>
          </mc:Fallback>
        </mc:AlternateContent>
      </w:r>
    </w:p>
    <w:p w14:paraId="2AA06DBF" w14:textId="77777777" w:rsidR="00964255" w:rsidRDefault="00E90AA3">
      <w:pPr>
        <w:ind w:left="-5" w:right="0"/>
      </w:pPr>
      <w:r>
        <w:t xml:space="preserve">RAIDS deploys a </w:t>
      </w:r>
      <w:r>
        <w:rPr>
          <w:b/>
        </w:rPr>
        <w:t>creative participatory research process</w:t>
      </w:r>
      <w:r>
        <w:t xml:space="preserve"> to generate understanding of the ways that extractive industry struggles are impacted by religious authority. The main fieldwork component of the project will focus analysis on specific mining disputes (two per focus country) and study the campaigns, lobbying, media, government, industry and educational discourse and corporate tactics that impact those disputes. This will include studying unfolding disputes but also the history of those disputes, considering – </w:t>
      </w:r>
      <w:r>
        <w:t xml:space="preserve">for example – legislation, public discourses, education, community building or practice that constrain and empower different actors.  We will be looking for any religious organisations, leaders, images, practices, identities, or discourse impacting the disputes, with a particular attention to manifestations of religious authority (soft power exercised through performance of knowledge, care and security). This is likely to include </w:t>
      </w:r>
      <w:r>
        <w:rPr>
          <w:b/>
        </w:rPr>
        <w:t>phenomena such as:</w:t>
      </w:r>
      <w:r>
        <w:t xml:space="preserve"> </w:t>
      </w:r>
    </w:p>
    <w:p w14:paraId="679EFC45" w14:textId="77777777" w:rsidR="00964255" w:rsidRDefault="00E90AA3">
      <w:pPr>
        <w:numPr>
          <w:ilvl w:val="0"/>
          <w:numId w:val="1"/>
        </w:numPr>
        <w:ind w:right="0" w:hanging="360"/>
      </w:pPr>
      <w:r>
        <w:t xml:space="preserve">demonisation or disqualification from citizenship of groups who oppose mining through reference to their religious identity or religiosity (e.g. the characterisation of environmental defenders as dangerous extremists in the USA, or religious citizenship </w:t>
      </w:r>
      <w:r>
        <w:lastRenderedPageBreak/>
        <w:t xml:space="preserve">laws in India that position Adivasi such that if they retain their land-connected religious identity they are disqualified from citizenship); </w:t>
      </w:r>
    </w:p>
    <w:p w14:paraId="5940D2A2" w14:textId="77777777" w:rsidR="00964255" w:rsidRDefault="00E90AA3">
      <w:pPr>
        <w:numPr>
          <w:ilvl w:val="0"/>
          <w:numId w:val="1"/>
        </w:numPr>
        <w:spacing w:after="2"/>
        <w:ind w:right="0" w:hanging="360"/>
      </w:pPr>
      <w:r>
        <w:t xml:space="preserve">religious conflicts or violence that divide communities and distract from industrial disputes; </w:t>
      </w:r>
    </w:p>
    <w:p w14:paraId="26DD7C73" w14:textId="77777777" w:rsidR="00964255" w:rsidRDefault="00E90AA3">
      <w:pPr>
        <w:numPr>
          <w:ilvl w:val="0"/>
          <w:numId w:val="1"/>
        </w:numPr>
        <w:spacing w:after="114" w:line="259" w:lineRule="auto"/>
        <w:ind w:right="0" w:hanging="360"/>
      </w:pPr>
      <w:r>
        <w:t>co-</w:t>
      </w:r>
      <w:r>
        <w:t xml:space="preserve">option of religious leaders in communities to promote extractive industry interests; </w:t>
      </w:r>
    </w:p>
    <w:p w14:paraId="19FC1B53" w14:textId="77777777" w:rsidR="00964255" w:rsidRDefault="00E90AA3">
      <w:pPr>
        <w:numPr>
          <w:ilvl w:val="0"/>
          <w:numId w:val="1"/>
        </w:numPr>
        <w:spacing w:after="3"/>
        <w:ind w:right="0" w:hanging="360"/>
      </w:pPr>
      <w:r>
        <w:t xml:space="preserve">management, or pacification, of communities through religious governmentality such as religious educational programmes that detach people from their connections to lands (e.g. Hindutva civilising residential schools for tribal children from mining areas in eastern India, or faith led development programmes that promote participation in industry as a route to personal or community redemption); </w:t>
      </w:r>
    </w:p>
    <w:p w14:paraId="77B106EE" w14:textId="77777777" w:rsidR="00964255" w:rsidRDefault="00E90AA3">
      <w:pPr>
        <w:numPr>
          <w:ilvl w:val="0"/>
          <w:numId w:val="1"/>
        </w:numPr>
        <w:spacing w:after="2"/>
        <w:ind w:right="0" w:hanging="360"/>
      </w:pPr>
      <w:r>
        <w:t xml:space="preserve">religious organisations being called upon to serve as mediators winning community support for industry (such as in recent cases in Indonesia);  </w:t>
      </w:r>
    </w:p>
    <w:p w14:paraId="5D63D91D" w14:textId="77777777" w:rsidR="00964255" w:rsidRDefault="00E90AA3">
      <w:pPr>
        <w:numPr>
          <w:ilvl w:val="0"/>
          <w:numId w:val="1"/>
        </w:numPr>
        <w:spacing w:after="2"/>
        <w:ind w:right="0" w:hanging="360"/>
      </w:pPr>
      <w:r>
        <w:t xml:space="preserve">theological justifications of mining expansion (e.g. the increasingly frequently made claim that fossil fuels or minerals are ‘the gift of God’, or quasi-theological claims, such as Brazilian politicians characterising extractive development as the only route to national salvation and sovereignty);    </w:t>
      </w:r>
    </w:p>
    <w:p w14:paraId="5A8D02BA" w14:textId="77777777" w:rsidR="00964255" w:rsidRDefault="00E90AA3">
      <w:pPr>
        <w:numPr>
          <w:ilvl w:val="0"/>
          <w:numId w:val="1"/>
        </w:numPr>
        <w:spacing w:after="3"/>
        <w:ind w:right="0" w:hanging="360"/>
      </w:pPr>
      <w:r>
        <w:t xml:space="preserve">theological justifications of stopping mining (e.g. designation of specific territories or land-based practices as sacred within protected indigenous religions, or faith-based campaigns invoking communities’ sacred duty to protect life);  </w:t>
      </w:r>
    </w:p>
    <w:p w14:paraId="6EAE8790" w14:textId="77777777" w:rsidR="00964255" w:rsidRDefault="00E90AA3">
      <w:pPr>
        <w:numPr>
          <w:ilvl w:val="0"/>
          <w:numId w:val="1"/>
        </w:numPr>
        <w:spacing w:after="0"/>
        <w:ind w:right="0" w:hanging="360"/>
      </w:pPr>
      <w:r>
        <w:t>ritual and spiritual practices that build capacity, solidarity or healing within communities, that support community strength, survival or recovery (e.g. prayer, ritual and religious education programmes that have accompanied Indigenous-</w:t>
      </w:r>
      <w:r>
        <w:t xml:space="preserve">led protest camps to protect water in the USA, land dialogues hosted by Church Land Programme cultivating spiritual connection with land and ancestors for community healing, or personal spiritual practices that sustain community organisers in the face of struggle);  </w:t>
      </w:r>
    </w:p>
    <w:p w14:paraId="38939207" w14:textId="77777777" w:rsidR="00964255" w:rsidRDefault="00E90AA3">
      <w:pPr>
        <w:numPr>
          <w:ilvl w:val="0"/>
          <w:numId w:val="1"/>
        </w:numPr>
        <w:ind w:right="0" w:hanging="360"/>
      </w:pPr>
      <w:r>
        <w:t xml:space="preserve">practices calling upon support from wider religious communities and networks to raise awareness and create public pressure on behalf of communities in disputes. </w:t>
      </w:r>
    </w:p>
    <w:p w14:paraId="1055F3FB" w14:textId="77777777" w:rsidR="00964255" w:rsidRDefault="00E90AA3">
      <w:pPr>
        <w:ind w:left="-5" w:right="0"/>
      </w:pPr>
      <w:r>
        <w:t xml:space="preserve">RAIDS prioritises the experiences, knowledge and authority of the marginalised communities who are engaged in disputes, drawing inspiration from feminist, decolonial, liberation theology, and egalitarian participatory research methodologies. As the groups with the least power in the situation, communities in struggle are likely to have an interest in developing research that illuminates the authority relations and tactics that affect them. Community organisers in these struggles will be the experts, </w:t>
      </w:r>
      <w:r>
        <w:t xml:space="preserve">both on the authority tactics that are used against them, and on their own practices and access to power.  </w:t>
      </w:r>
    </w:p>
    <w:p w14:paraId="4C7DAB11" w14:textId="77777777" w:rsidR="00964255" w:rsidRDefault="00E90AA3">
      <w:pPr>
        <w:ind w:left="-5" w:right="0"/>
      </w:pPr>
      <w:r>
        <w:lastRenderedPageBreak/>
        <w:t xml:space="preserve">We do not want to simply to extract these communities’ experience as data (which would replicate extractive social relations and coloniality of research). Rather, the project </w:t>
      </w:r>
      <w:r>
        <w:rPr>
          <w:i/>
        </w:rPr>
        <w:t>will work</w:t>
      </w:r>
      <w:r>
        <w:t xml:space="preserve"> </w:t>
      </w:r>
      <w:r>
        <w:rPr>
          <w:i/>
        </w:rPr>
        <w:t>with the marginalised researched communities</w:t>
      </w:r>
      <w:r>
        <w:t xml:space="preserve"> to generate understanding of authority relations collaboratively. Knowledge about the above phenomena will be developed through three key processes.  </w:t>
      </w:r>
    </w:p>
    <w:p w14:paraId="0C187E93" w14:textId="77777777" w:rsidR="00964255" w:rsidRDefault="00E90AA3">
      <w:pPr>
        <w:ind w:left="-5" w:right="0"/>
      </w:pPr>
      <w:r>
        <w:t xml:space="preserve">In the </w:t>
      </w:r>
      <w:r>
        <w:rPr>
          <w:b/>
        </w:rPr>
        <w:t>first phase of fieldwork</w:t>
      </w:r>
      <w:r>
        <w:t xml:space="preserve"> the Research Fellows will be employed to engage in activist participant observation with community groups and local NGOs who are actively involved in disputes – undertaking a </w:t>
      </w:r>
      <w:proofErr w:type="gramStart"/>
      <w:r>
        <w:t>6 week</w:t>
      </w:r>
      <w:proofErr w:type="gramEnd"/>
      <w:r>
        <w:t xml:space="preserve"> placement with each of their two case-study communities. This will include volunteering labour for the community group’s activity and inviting conversation and reflection of community group members on the research questions through informal conversations, a small number of </w:t>
      </w:r>
      <w:r>
        <w:t xml:space="preserve">interviews, and through participatory research workshops that will support communities to develop their own insights on these structures. Research Fellows will seek as full as possible an understanding of the specific struggles and the community groups’ understanding of how authority operates in their struggles. Community group members will be asked to explicitly reflect on the key research question in relation their context: </w:t>
      </w:r>
      <w:r>
        <w:rPr>
          <w:i/>
        </w:rPr>
        <w:t xml:space="preserve">What is the role of religious authority in your struggle, both in supporting the interests of the extractive corporation(s), and in supporting marginalised local communities who confront those corporations?  </w:t>
      </w:r>
    </w:p>
    <w:p w14:paraId="22BC8740" w14:textId="77777777" w:rsidR="00964255" w:rsidRDefault="00E90AA3">
      <w:pPr>
        <w:ind w:left="-5" w:right="0"/>
      </w:pPr>
      <w:r>
        <w:t xml:space="preserve">The participatory research workshops will involve community organisers, local NGO reps, and other interested community members, and the research team (max 12 participants). They will use participatory authority studies methods </w:t>
      </w:r>
      <w:r>
        <w:t xml:space="preserve">to simultaneously access communities’ existing understanding of authority in their situation, and to develop new understanding. The workshop design can be adapted to follow the leadership of the </w:t>
      </w:r>
      <w:proofErr w:type="gramStart"/>
      <w:r>
        <w:t>community, but</w:t>
      </w:r>
      <w:proofErr w:type="gramEnd"/>
      <w:r>
        <w:t xml:space="preserve"> might involve posing a problem (the above research question) – collaboratively breaking it down into specific questions or problems – </w:t>
      </w:r>
      <w:r>
        <w:t xml:space="preserve">and carrying out reflection and discussion to collaboratively develop understanding. Amongst the outputs of the initial workshops will be a new series of questions that the community would like the RAIDS team to explore in the second phase of fieldwork. For example, the community might ask the RAIDS team to go off and investigate who is funding an organisation that they have encountered, or to research the history of a particular framing of their dispute, or what tactics a </w:t>
      </w:r>
      <w:r>
        <w:t xml:space="preserve">corporation has deployed elsewhere. This participatory process not only makes the work responsive to the needs of the community; it also incorporates the insight of the community into the research design process. The project Producer will also be present in the participatory workshops to assist in capturing stories, images and material that the community would like to share.    </w:t>
      </w:r>
    </w:p>
    <w:p w14:paraId="359D5E6B" w14:textId="77777777" w:rsidR="00964255" w:rsidRDefault="00E90AA3">
      <w:pPr>
        <w:ind w:left="-5" w:right="0"/>
      </w:pPr>
      <w:r>
        <w:lastRenderedPageBreak/>
        <w:t xml:space="preserve">A </w:t>
      </w:r>
      <w:r>
        <w:rPr>
          <w:b/>
        </w:rPr>
        <w:t>second phase of fieldwork</w:t>
      </w:r>
      <w:r>
        <w:t xml:space="preserve"> steps </w:t>
      </w:r>
      <w:r>
        <w:t xml:space="preserve">back from the specific community groups to engage with a wider view of the situation. The PI and the Research Fellows will work together to investigate relevant legislation, discourses, and institutions, impacting the disputes using documentary analysis and online investigations – looking to understand the role of religion within these – and any additional questions that emerged from the phase 1 workshops. This will deploy the documentary discourse analysis methodologies of genealogy, </w:t>
      </w:r>
      <w:r>
        <w:t xml:space="preserve">governmentality studies and investigative journalism. Documentary research may </w:t>
      </w:r>
      <w:r>
        <w:t>be supplemented by a small number of interviews with experts identified as relevant to the specific situations (such as staff of religious organisations, schools, extractive corporations, NGOs or governments who might be asked to explain their understanding of the relationship between the dispute and religious practices, beliefs, organisations or rights). At the end of this phase the Research Fellows will produce an accessible report on the uses of religious authority in relation to their cases, with collat</w:t>
      </w:r>
      <w:r>
        <w:t>ed stories, examples, and initial analysis. This will feed into the participatory theory workshop in the third phase. Research fellows will also produce a data package for each case, including fieldnotes from participant observation and informal interviews, transcripts of formal interviews, and notes on the participatory workshops to accompany recordings</w:t>
      </w:r>
      <w:r>
        <w:t xml:space="preserve"> for use by the research team.  </w:t>
      </w:r>
    </w:p>
    <w:p w14:paraId="713C033D" w14:textId="77777777" w:rsidR="00964255" w:rsidRDefault="00E90AA3">
      <w:pPr>
        <w:ind w:left="-5" w:right="0"/>
      </w:pPr>
      <w:r>
        <w:t xml:space="preserve">The </w:t>
      </w:r>
      <w:r>
        <w:rPr>
          <w:b/>
        </w:rPr>
        <w:t>third phase of fieldwork</w:t>
      </w:r>
      <w:r>
        <w:t xml:space="preserve"> develops hands-on understanding of authority building in practice by engaging community members in the development of analysis and dialogue </w:t>
      </w:r>
      <w:r>
        <w:t>of their struggles. This will be achieved through a participatory theory workshop in each country, bringing together participants from the two different case studies in that country, as well as the research team and local academics and/or NGO representatives (maximum of 12 participants in total) to work together to analyse data, reflect on the research questions, and to consider ways in which the sharing of data, stories, practices or visions could assist the communities in building their own capacity to im</w:t>
      </w:r>
      <w:r>
        <w:t>pact the outcomes of their dispute, or to survive struggle</w:t>
      </w:r>
      <w:r>
        <w:t xml:space="preserve">. The Research Fellow, PI and hopefully community leaders will cohost this workshop. This is a creative participatory action research process in which the authority of the community group is cultivated through the very process of researching that authority. By working creatively with the communities in the study to amplify their authority we </w:t>
      </w:r>
      <w:r>
        <w:t xml:space="preserve">will be gaining first hand insight into the practice of authority building for community empowerment, learning through experience, as well as through collaborative discussion, what works, what doesn’t, and what problems are entailed. The Producer will have a key role in this fieldwork phase, ensuring that communities are able to capture their stories and ideas in formats that are meaningful, respectful and sharable in ways that are important for the communities as well as for the research. </w:t>
      </w:r>
    </w:p>
    <w:p w14:paraId="2655293B" w14:textId="77777777" w:rsidR="00964255" w:rsidRDefault="00E90AA3">
      <w:pPr>
        <w:ind w:left="-5" w:right="0"/>
      </w:pPr>
      <w:r>
        <w:t xml:space="preserve">It is essential to the research objective of cultivating community authority that participants exercise control over the nature, as well as content, of the work produced – so plans for the </w:t>
      </w:r>
      <w:r>
        <w:lastRenderedPageBreak/>
        <w:t xml:space="preserve">outputs from this phase must remain provisional. But we will begin with the initial suggestion of co-producing content to be published on a project website in an accessible book titled </w:t>
      </w:r>
      <w:r>
        <w:rPr>
          <w:i/>
        </w:rPr>
        <w:t>The Anti-</w:t>
      </w:r>
      <w:proofErr w:type="spellStart"/>
      <w:r>
        <w:rPr>
          <w:i/>
        </w:rPr>
        <w:t>Extractivist</w:t>
      </w:r>
      <w:proofErr w:type="spellEnd"/>
      <w:r>
        <w:rPr>
          <w:i/>
        </w:rPr>
        <w:t xml:space="preserve"> Book of Vision and Prayer: Problems and Possibilities of Religious Activism in Extractive Industry Struggles, </w:t>
      </w:r>
      <w:r>
        <w:t>which would hopefully include contributions from all the communities involved in the project</w:t>
      </w:r>
      <w:r>
        <w:rPr>
          <w:i/>
        </w:rPr>
        <w:t xml:space="preserve"> - </w:t>
      </w:r>
      <w:r>
        <w:t xml:space="preserve">creating a ‘resonance machine’ amplifying the authority of the researched communities through fostering connection and solidarity between them. A project Producer will be employed to work alongside the Research Fellows, PI and the communities to capture, edit, curate, and publish these materials.   </w:t>
      </w:r>
    </w:p>
    <w:p w14:paraId="2C1B8FD5" w14:textId="77777777" w:rsidR="00964255" w:rsidRDefault="00E90AA3">
      <w:pPr>
        <w:ind w:left="-5" w:right="0"/>
      </w:pPr>
      <w:r>
        <w:t xml:space="preserve">The final dimension of the research is involves work to </w:t>
      </w:r>
      <w:r>
        <w:rPr>
          <w:b/>
        </w:rPr>
        <w:t>synthesize</w:t>
      </w:r>
      <w:r>
        <w:t xml:space="preserve"> </w:t>
      </w:r>
      <w:r>
        <w:t xml:space="preserve">data and analysis from all the cases and countries, understand connections between them, and develop a wider theorisation of the role of religious authority in contemporary extractive industry struggles – which will be primarily the responsibility of the PI, drawing on the materials and insights from all the other phases and team members.  </w:t>
      </w:r>
    </w:p>
    <w:p w14:paraId="38699839" w14:textId="77777777" w:rsidR="00964255" w:rsidRDefault="00E90AA3">
      <w:pPr>
        <w:spacing w:after="388" w:line="259" w:lineRule="auto"/>
        <w:ind w:left="-5" w:right="0"/>
      </w:pPr>
      <w:r>
        <w:t xml:space="preserve">In terms of outputs, the Research Fellow will be responsible for producing: </w:t>
      </w:r>
    </w:p>
    <w:p w14:paraId="4601A53D" w14:textId="77777777" w:rsidR="00964255" w:rsidRDefault="00E90AA3">
      <w:pPr>
        <w:numPr>
          <w:ilvl w:val="0"/>
          <w:numId w:val="2"/>
        </w:numPr>
        <w:spacing w:after="2"/>
        <w:ind w:right="0" w:hanging="360"/>
      </w:pPr>
      <w:r>
        <w:t xml:space="preserve">comprehensive data package on each of their case study struggles, </w:t>
      </w:r>
      <w:r>
        <w:t xml:space="preserve">providing materials for the use of the RAIDS team  </w:t>
      </w:r>
    </w:p>
    <w:p w14:paraId="482CE987" w14:textId="77777777" w:rsidR="00964255" w:rsidRDefault="00E90AA3">
      <w:pPr>
        <w:numPr>
          <w:ilvl w:val="0"/>
          <w:numId w:val="2"/>
        </w:numPr>
        <w:spacing w:after="3"/>
        <w:ind w:right="0" w:hanging="360"/>
      </w:pPr>
      <w:r>
        <w:t xml:space="preserve">community-orientated accessible data packages for each case study supporting the participatory workshops and other objectives of the community </w:t>
      </w:r>
    </w:p>
    <w:p w14:paraId="7E07CE1C" w14:textId="77777777" w:rsidR="00964255" w:rsidRDefault="00E90AA3">
      <w:pPr>
        <w:numPr>
          <w:ilvl w:val="0"/>
          <w:numId w:val="2"/>
        </w:numPr>
        <w:spacing w:after="80" w:line="259" w:lineRule="auto"/>
        <w:ind w:right="0" w:hanging="360"/>
      </w:pPr>
      <w:r>
        <w:t xml:space="preserve">3 short essays/reflections, or images contributing towards the collaborative output (e.g. </w:t>
      </w:r>
    </w:p>
    <w:p w14:paraId="0C7B01DC" w14:textId="77777777" w:rsidR="00964255" w:rsidRDefault="00E90AA3">
      <w:pPr>
        <w:spacing w:after="110" w:line="259" w:lineRule="auto"/>
        <w:ind w:left="730" w:right="0"/>
      </w:pPr>
      <w:r>
        <w:t xml:space="preserve">the Anti-Extractive Book of Vision and Prayer, and/or project website) </w:t>
      </w:r>
    </w:p>
    <w:p w14:paraId="660307CC" w14:textId="77777777" w:rsidR="00964255" w:rsidRDefault="00E90AA3">
      <w:pPr>
        <w:numPr>
          <w:ilvl w:val="0"/>
          <w:numId w:val="2"/>
        </w:numPr>
        <w:spacing w:after="85" w:line="259" w:lineRule="auto"/>
        <w:ind w:right="0" w:hanging="360"/>
      </w:pPr>
      <w:r>
        <w:t xml:space="preserve">1 news story </w:t>
      </w:r>
    </w:p>
    <w:p w14:paraId="1D4F03C3" w14:textId="77777777" w:rsidR="00964255" w:rsidRDefault="00E90AA3">
      <w:pPr>
        <w:numPr>
          <w:ilvl w:val="0"/>
          <w:numId w:val="2"/>
        </w:numPr>
        <w:ind w:right="0" w:hanging="360"/>
      </w:pPr>
      <w:r>
        <w:t xml:space="preserve">1 peer reviewed article, lead-authored by the Research Fellow, </w:t>
      </w:r>
      <w:r>
        <w:t xml:space="preserve">analysing the role of religious authority in extractive industry struggles in their focus country </w:t>
      </w:r>
    </w:p>
    <w:p w14:paraId="7B5023D5" w14:textId="77777777" w:rsidR="00964255" w:rsidRDefault="00E90AA3">
      <w:pPr>
        <w:ind w:left="-5" w:right="0"/>
      </w:pPr>
      <w:r>
        <w:t xml:space="preserve">During their final 6 months on the project, the Research Fellow will have time and support to work towards their next career step, alongside writing up and finalising outputs.  </w:t>
      </w:r>
    </w:p>
    <w:p w14:paraId="4C7B93F8" w14:textId="77777777" w:rsidR="00964255" w:rsidRDefault="00E90AA3">
      <w:pPr>
        <w:spacing w:after="388" w:line="259" w:lineRule="auto"/>
        <w:ind w:left="0" w:right="0" w:firstLine="0"/>
        <w:jc w:val="left"/>
      </w:pPr>
      <w:r>
        <w:t xml:space="preserve"> </w:t>
      </w:r>
    </w:p>
    <w:p w14:paraId="6FC68012" w14:textId="77777777" w:rsidR="00352C8D" w:rsidRDefault="00352C8D">
      <w:pPr>
        <w:spacing w:after="0" w:line="259" w:lineRule="auto"/>
        <w:ind w:left="0" w:right="0" w:firstLine="0"/>
        <w:jc w:val="left"/>
      </w:pPr>
    </w:p>
    <w:sectPr w:rsidR="00352C8D">
      <w:pgSz w:w="11904" w:h="16838"/>
      <w:pgMar w:top="1439" w:right="1435" w:bottom="147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2C4581"/>
    <w:multiLevelType w:val="hybridMultilevel"/>
    <w:tmpl w:val="329874E2"/>
    <w:lvl w:ilvl="0" w:tplc="9E40774C">
      <w:start w:val="1"/>
      <w:numFmt w:val="bullet"/>
      <w:lvlText w:val="•"/>
      <w:lvlJc w:val="left"/>
      <w:pPr>
        <w:ind w:left="720"/>
      </w:pPr>
      <w:rPr>
        <w:rFonts w:ascii="Arial" w:eastAsia="Arial" w:hAnsi="Arial" w:cs="Arial"/>
        <w:b w:val="0"/>
        <w:i w:val="0"/>
        <w:strike w:val="0"/>
        <w:dstrike w:val="0"/>
        <w:color w:val="0B0B0B"/>
        <w:sz w:val="20"/>
        <w:szCs w:val="20"/>
        <w:u w:val="none" w:color="000000"/>
        <w:bdr w:val="none" w:sz="0" w:space="0" w:color="auto"/>
        <w:shd w:val="clear" w:color="auto" w:fill="auto"/>
        <w:vertAlign w:val="baseline"/>
      </w:rPr>
    </w:lvl>
    <w:lvl w:ilvl="1" w:tplc="2214D3BA">
      <w:start w:val="1"/>
      <w:numFmt w:val="bullet"/>
      <w:lvlText w:val="o"/>
      <w:lvlJc w:val="left"/>
      <w:pPr>
        <w:ind w:left="1440"/>
      </w:pPr>
      <w:rPr>
        <w:rFonts w:ascii="Segoe UI Symbol" w:eastAsia="Segoe UI Symbol" w:hAnsi="Segoe UI Symbol" w:cs="Segoe UI Symbol"/>
        <w:b w:val="0"/>
        <w:i w:val="0"/>
        <w:strike w:val="0"/>
        <w:dstrike w:val="0"/>
        <w:color w:val="0B0B0B"/>
        <w:sz w:val="20"/>
        <w:szCs w:val="20"/>
        <w:u w:val="none" w:color="000000"/>
        <w:bdr w:val="none" w:sz="0" w:space="0" w:color="auto"/>
        <w:shd w:val="clear" w:color="auto" w:fill="auto"/>
        <w:vertAlign w:val="baseline"/>
      </w:rPr>
    </w:lvl>
    <w:lvl w:ilvl="2" w:tplc="164E2884">
      <w:start w:val="1"/>
      <w:numFmt w:val="bullet"/>
      <w:lvlText w:val="▪"/>
      <w:lvlJc w:val="left"/>
      <w:pPr>
        <w:ind w:left="2160"/>
      </w:pPr>
      <w:rPr>
        <w:rFonts w:ascii="Segoe UI Symbol" w:eastAsia="Segoe UI Symbol" w:hAnsi="Segoe UI Symbol" w:cs="Segoe UI Symbol"/>
        <w:b w:val="0"/>
        <w:i w:val="0"/>
        <w:strike w:val="0"/>
        <w:dstrike w:val="0"/>
        <w:color w:val="0B0B0B"/>
        <w:sz w:val="20"/>
        <w:szCs w:val="20"/>
        <w:u w:val="none" w:color="000000"/>
        <w:bdr w:val="none" w:sz="0" w:space="0" w:color="auto"/>
        <w:shd w:val="clear" w:color="auto" w:fill="auto"/>
        <w:vertAlign w:val="baseline"/>
      </w:rPr>
    </w:lvl>
    <w:lvl w:ilvl="3" w:tplc="DB5E1E08">
      <w:start w:val="1"/>
      <w:numFmt w:val="bullet"/>
      <w:lvlText w:val="•"/>
      <w:lvlJc w:val="left"/>
      <w:pPr>
        <w:ind w:left="2880"/>
      </w:pPr>
      <w:rPr>
        <w:rFonts w:ascii="Arial" w:eastAsia="Arial" w:hAnsi="Arial" w:cs="Arial"/>
        <w:b w:val="0"/>
        <w:i w:val="0"/>
        <w:strike w:val="0"/>
        <w:dstrike w:val="0"/>
        <w:color w:val="0B0B0B"/>
        <w:sz w:val="20"/>
        <w:szCs w:val="20"/>
        <w:u w:val="none" w:color="000000"/>
        <w:bdr w:val="none" w:sz="0" w:space="0" w:color="auto"/>
        <w:shd w:val="clear" w:color="auto" w:fill="auto"/>
        <w:vertAlign w:val="baseline"/>
      </w:rPr>
    </w:lvl>
    <w:lvl w:ilvl="4" w:tplc="6B249A92">
      <w:start w:val="1"/>
      <w:numFmt w:val="bullet"/>
      <w:lvlText w:val="o"/>
      <w:lvlJc w:val="left"/>
      <w:pPr>
        <w:ind w:left="3600"/>
      </w:pPr>
      <w:rPr>
        <w:rFonts w:ascii="Segoe UI Symbol" w:eastAsia="Segoe UI Symbol" w:hAnsi="Segoe UI Symbol" w:cs="Segoe UI Symbol"/>
        <w:b w:val="0"/>
        <w:i w:val="0"/>
        <w:strike w:val="0"/>
        <w:dstrike w:val="0"/>
        <w:color w:val="0B0B0B"/>
        <w:sz w:val="20"/>
        <w:szCs w:val="20"/>
        <w:u w:val="none" w:color="000000"/>
        <w:bdr w:val="none" w:sz="0" w:space="0" w:color="auto"/>
        <w:shd w:val="clear" w:color="auto" w:fill="auto"/>
        <w:vertAlign w:val="baseline"/>
      </w:rPr>
    </w:lvl>
    <w:lvl w:ilvl="5" w:tplc="6ECAA912">
      <w:start w:val="1"/>
      <w:numFmt w:val="bullet"/>
      <w:lvlText w:val="▪"/>
      <w:lvlJc w:val="left"/>
      <w:pPr>
        <w:ind w:left="4320"/>
      </w:pPr>
      <w:rPr>
        <w:rFonts w:ascii="Segoe UI Symbol" w:eastAsia="Segoe UI Symbol" w:hAnsi="Segoe UI Symbol" w:cs="Segoe UI Symbol"/>
        <w:b w:val="0"/>
        <w:i w:val="0"/>
        <w:strike w:val="0"/>
        <w:dstrike w:val="0"/>
        <w:color w:val="0B0B0B"/>
        <w:sz w:val="20"/>
        <w:szCs w:val="20"/>
        <w:u w:val="none" w:color="000000"/>
        <w:bdr w:val="none" w:sz="0" w:space="0" w:color="auto"/>
        <w:shd w:val="clear" w:color="auto" w:fill="auto"/>
        <w:vertAlign w:val="baseline"/>
      </w:rPr>
    </w:lvl>
    <w:lvl w:ilvl="6" w:tplc="958C84DE">
      <w:start w:val="1"/>
      <w:numFmt w:val="bullet"/>
      <w:lvlText w:val="•"/>
      <w:lvlJc w:val="left"/>
      <w:pPr>
        <w:ind w:left="5040"/>
      </w:pPr>
      <w:rPr>
        <w:rFonts w:ascii="Arial" w:eastAsia="Arial" w:hAnsi="Arial" w:cs="Arial"/>
        <w:b w:val="0"/>
        <w:i w:val="0"/>
        <w:strike w:val="0"/>
        <w:dstrike w:val="0"/>
        <w:color w:val="0B0B0B"/>
        <w:sz w:val="20"/>
        <w:szCs w:val="20"/>
        <w:u w:val="none" w:color="000000"/>
        <w:bdr w:val="none" w:sz="0" w:space="0" w:color="auto"/>
        <w:shd w:val="clear" w:color="auto" w:fill="auto"/>
        <w:vertAlign w:val="baseline"/>
      </w:rPr>
    </w:lvl>
    <w:lvl w:ilvl="7" w:tplc="A1220672">
      <w:start w:val="1"/>
      <w:numFmt w:val="bullet"/>
      <w:lvlText w:val="o"/>
      <w:lvlJc w:val="left"/>
      <w:pPr>
        <w:ind w:left="5760"/>
      </w:pPr>
      <w:rPr>
        <w:rFonts w:ascii="Segoe UI Symbol" w:eastAsia="Segoe UI Symbol" w:hAnsi="Segoe UI Symbol" w:cs="Segoe UI Symbol"/>
        <w:b w:val="0"/>
        <w:i w:val="0"/>
        <w:strike w:val="0"/>
        <w:dstrike w:val="0"/>
        <w:color w:val="0B0B0B"/>
        <w:sz w:val="20"/>
        <w:szCs w:val="20"/>
        <w:u w:val="none" w:color="000000"/>
        <w:bdr w:val="none" w:sz="0" w:space="0" w:color="auto"/>
        <w:shd w:val="clear" w:color="auto" w:fill="auto"/>
        <w:vertAlign w:val="baseline"/>
      </w:rPr>
    </w:lvl>
    <w:lvl w:ilvl="8" w:tplc="93C09540">
      <w:start w:val="1"/>
      <w:numFmt w:val="bullet"/>
      <w:lvlText w:val="▪"/>
      <w:lvlJc w:val="left"/>
      <w:pPr>
        <w:ind w:left="6480"/>
      </w:pPr>
      <w:rPr>
        <w:rFonts w:ascii="Segoe UI Symbol" w:eastAsia="Segoe UI Symbol" w:hAnsi="Segoe UI Symbol" w:cs="Segoe UI Symbol"/>
        <w:b w:val="0"/>
        <w:i w:val="0"/>
        <w:strike w:val="0"/>
        <w:dstrike w:val="0"/>
        <w:color w:val="0B0B0B"/>
        <w:sz w:val="20"/>
        <w:szCs w:val="20"/>
        <w:u w:val="none" w:color="000000"/>
        <w:bdr w:val="none" w:sz="0" w:space="0" w:color="auto"/>
        <w:shd w:val="clear" w:color="auto" w:fill="auto"/>
        <w:vertAlign w:val="baseline"/>
      </w:rPr>
    </w:lvl>
  </w:abstractNum>
  <w:abstractNum w:abstractNumId="1" w15:restartNumberingAfterBreak="0">
    <w:nsid w:val="5AFB1B6B"/>
    <w:multiLevelType w:val="hybridMultilevel"/>
    <w:tmpl w:val="13A026A4"/>
    <w:lvl w:ilvl="0" w:tplc="CC1CF12C">
      <w:start w:val="1"/>
      <w:numFmt w:val="bullet"/>
      <w:lvlText w:val="•"/>
      <w:lvlJc w:val="left"/>
      <w:pPr>
        <w:ind w:left="720"/>
      </w:pPr>
      <w:rPr>
        <w:rFonts w:ascii="Century Gothic" w:eastAsia="Century Gothic" w:hAnsi="Century Gothic" w:cs="Century Gothic"/>
        <w:b w:val="0"/>
        <w:i w:val="0"/>
        <w:strike w:val="0"/>
        <w:dstrike w:val="0"/>
        <w:color w:val="0B0B0B"/>
        <w:sz w:val="20"/>
        <w:szCs w:val="20"/>
        <w:u w:val="none" w:color="000000"/>
        <w:bdr w:val="none" w:sz="0" w:space="0" w:color="auto"/>
        <w:shd w:val="clear" w:color="auto" w:fill="auto"/>
        <w:vertAlign w:val="baseline"/>
      </w:rPr>
    </w:lvl>
    <w:lvl w:ilvl="1" w:tplc="CECE5CEE">
      <w:start w:val="1"/>
      <w:numFmt w:val="bullet"/>
      <w:lvlText w:val="o"/>
      <w:lvlJc w:val="left"/>
      <w:pPr>
        <w:ind w:left="1440"/>
      </w:pPr>
      <w:rPr>
        <w:rFonts w:ascii="Century Gothic" w:eastAsia="Century Gothic" w:hAnsi="Century Gothic" w:cs="Century Gothic"/>
        <w:b w:val="0"/>
        <w:i w:val="0"/>
        <w:strike w:val="0"/>
        <w:dstrike w:val="0"/>
        <w:color w:val="0B0B0B"/>
        <w:sz w:val="20"/>
        <w:szCs w:val="20"/>
        <w:u w:val="none" w:color="000000"/>
        <w:bdr w:val="none" w:sz="0" w:space="0" w:color="auto"/>
        <w:shd w:val="clear" w:color="auto" w:fill="auto"/>
        <w:vertAlign w:val="baseline"/>
      </w:rPr>
    </w:lvl>
    <w:lvl w:ilvl="2" w:tplc="8E3E5AB8">
      <w:start w:val="1"/>
      <w:numFmt w:val="bullet"/>
      <w:lvlText w:val="▪"/>
      <w:lvlJc w:val="left"/>
      <w:pPr>
        <w:ind w:left="2160"/>
      </w:pPr>
      <w:rPr>
        <w:rFonts w:ascii="Century Gothic" w:eastAsia="Century Gothic" w:hAnsi="Century Gothic" w:cs="Century Gothic"/>
        <w:b w:val="0"/>
        <w:i w:val="0"/>
        <w:strike w:val="0"/>
        <w:dstrike w:val="0"/>
        <w:color w:val="0B0B0B"/>
        <w:sz w:val="20"/>
        <w:szCs w:val="20"/>
        <w:u w:val="none" w:color="000000"/>
        <w:bdr w:val="none" w:sz="0" w:space="0" w:color="auto"/>
        <w:shd w:val="clear" w:color="auto" w:fill="auto"/>
        <w:vertAlign w:val="baseline"/>
      </w:rPr>
    </w:lvl>
    <w:lvl w:ilvl="3" w:tplc="C8AE6B34">
      <w:start w:val="1"/>
      <w:numFmt w:val="bullet"/>
      <w:lvlText w:val="•"/>
      <w:lvlJc w:val="left"/>
      <w:pPr>
        <w:ind w:left="2880"/>
      </w:pPr>
      <w:rPr>
        <w:rFonts w:ascii="Century Gothic" w:eastAsia="Century Gothic" w:hAnsi="Century Gothic" w:cs="Century Gothic"/>
        <w:b w:val="0"/>
        <w:i w:val="0"/>
        <w:strike w:val="0"/>
        <w:dstrike w:val="0"/>
        <w:color w:val="0B0B0B"/>
        <w:sz w:val="20"/>
        <w:szCs w:val="20"/>
        <w:u w:val="none" w:color="000000"/>
        <w:bdr w:val="none" w:sz="0" w:space="0" w:color="auto"/>
        <w:shd w:val="clear" w:color="auto" w:fill="auto"/>
        <w:vertAlign w:val="baseline"/>
      </w:rPr>
    </w:lvl>
    <w:lvl w:ilvl="4" w:tplc="46FA4670">
      <w:start w:val="1"/>
      <w:numFmt w:val="bullet"/>
      <w:lvlText w:val="o"/>
      <w:lvlJc w:val="left"/>
      <w:pPr>
        <w:ind w:left="3600"/>
      </w:pPr>
      <w:rPr>
        <w:rFonts w:ascii="Century Gothic" w:eastAsia="Century Gothic" w:hAnsi="Century Gothic" w:cs="Century Gothic"/>
        <w:b w:val="0"/>
        <w:i w:val="0"/>
        <w:strike w:val="0"/>
        <w:dstrike w:val="0"/>
        <w:color w:val="0B0B0B"/>
        <w:sz w:val="20"/>
        <w:szCs w:val="20"/>
        <w:u w:val="none" w:color="000000"/>
        <w:bdr w:val="none" w:sz="0" w:space="0" w:color="auto"/>
        <w:shd w:val="clear" w:color="auto" w:fill="auto"/>
        <w:vertAlign w:val="baseline"/>
      </w:rPr>
    </w:lvl>
    <w:lvl w:ilvl="5" w:tplc="8E70E640">
      <w:start w:val="1"/>
      <w:numFmt w:val="bullet"/>
      <w:lvlText w:val="▪"/>
      <w:lvlJc w:val="left"/>
      <w:pPr>
        <w:ind w:left="4320"/>
      </w:pPr>
      <w:rPr>
        <w:rFonts w:ascii="Century Gothic" w:eastAsia="Century Gothic" w:hAnsi="Century Gothic" w:cs="Century Gothic"/>
        <w:b w:val="0"/>
        <w:i w:val="0"/>
        <w:strike w:val="0"/>
        <w:dstrike w:val="0"/>
        <w:color w:val="0B0B0B"/>
        <w:sz w:val="20"/>
        <w:szCs w:val="20"/>
        <w:u w:val="none" w:color="000000"/>
        <w:bdr w:val="none" w:sz="0" w:space="0" w:color="auto"/>
        <w:shd w:val="clear" w:color="auto" w:fill="auto"/>
        <w:vertAlign w:val="baseline"/>
      </w:rPr>
    </w:lvl>
    <w:lvl w:ilvl="6" w:tplc="D1C06ED0">
      <w:start w:val="1"/>
      <w:numFmt w:val="bullet"/>
      <w:lvlText w:val="•"/>
      <w:lvlJc w:val="left"/>
      <w:pPr>
        <w:ind w:left="5040"/>
      </w:pPr>
      <w:rPr>
        <w:rFonts w:ascii="Century Gothic" w:eastAsia="Century Gothic" w:hAnsi="Century Gothic" w:cs="Century Gothic"/>
        <w:b w:val="0"/>
        <w:i w:val="0"/>
        <w:strike w:val="0"/>
        <w:dstrike w:val="0"/>
        <w:color w:val="0B0B0B"/>
        <w:sz w:val="20"/>
        <w:szCs w:val="20"/>
        <w:u w:val="none" w:color="000000"/>
        <w:bdr w:val="none" w:sz="0" w:space="0" w:color="auto"/>
        <w:shd w:val="clear" w:color="auto" w:fill="auto"/>
        <w:vertAlign w:val="baseline"/>
      </w:rPr>
    </w:lvl>
    <w:lvl w:ilvl="7" w:tplc="7F3203E8">
      <w:start w:val="1"/>
      <w:numFmt w:val="bullet"/>
      <w:lvlText w:val="o"/>
      <w:lvlJc w:val="left"/>
      <w:pPr>
        <w:ind w:left="5760"/>
      </w:pPr>
      <w:rPr>
        <w:rFonts w:ascii="Century Gothic" w:eastAsia="Century Gothic" w:hAnsi="Century Gothic" w:cs="Century Gothic"/>
        <w:b w:val="0"/>
        <w:i w:val="0"/>
        <w:strike w:val="0"/>
        <w:dstrike w:val="0"/>
        <w:color w:val="0B0B0B"/>
        <w:sz w:val="20"/>
        <w:szCs w:val="20"/>
        <w:u w:val="none" w:color="000000"/>
        <w:bdr w:val="none" w:sz="0" w:space="0" w:color="auto"/>
        <w:shd w:val="clear" w:color="auto" w:fill="auto"/>
        <w:vertAlign w:val="baseline"/>
      </w:rPr>
    </w:lvl>
    <w:lvl w:ilvl="8" w:tplc="2086F8F8">
      <w:start w:val="1"/>
      <w:numFmt w:val="bullet"/>
      <w:lvlText w:val="▪"/>
      <w:lvlJc w:val="left"/>
      <w:pPr>
        <w:ind w:left="6480"/>
      </w:pPr>
      <w:rPr>
        <w:rFonts w:ascii="Century Gothic" w:eastAsia="Century Gothic" w:hAnsi="Century Gothic" w:cs="Century Gothic"/>
        <w:b w:val="0"/>
        <w:i w:val="0"/>
        <w:strike w:val="0"/>
        <w:dstrike w:val="0"/>
        <w:color w:val="0B0B0B"/>
        <w:sz w:val="20"/>
        <w:szCs w:val="20"/>
        <w:u w:val="none" w:color="000000"/>
        <w:bdr w:val="none" w:sz="0" w:space="0" w:color="auto"/>
        <w:shd w:val="clear" w:color="auto" w:fill="auto"/>
        <w:vertAlign w:val="baseline"/>
      </w:rPr>
    </w:lvl>
  </w:abstractNum>
  <w:abstractNum w:abstractNumId="2" w15:restartNumberingAfterBreak="0">
    <w:nsid w:val="77B41399"/>
    <w:multiLevelType w:val="hybridMultilevel"/>
    <w:tmpl w:val="F99EA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8549257">
    <w:abstractNumId w:val="1"/>
  </w:num>
  <w:num w:numId="2" w16cid:durableId="539628068">
    <w:abstractNumId w:val="0"/>
  </w:num>
  <w:num w:numId="3" w16cid:durableId="89570171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255"/>
    <w:rsid w:val="002508EC"/>
    <w:rsid w:val="00352C8D"/>
    <w:rsid w:val="00964255"/>
    <w:rsid w:val="00A22B39"/>
    <w:rsid w:val="00E90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AEAE29"/>
  <w15:docId w15:val="{84A04231-1302-CE42-B1C9-0F1A1E3F7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8" w:line="366" w:lineRule="auto"/>
      <w:ind w:left="10" w:right="1" w:hanging="10"/>
      <w:jc w:val="both"/>
    </w:pPr>
    <w:rPr>
      <w:rFonts w:ascii="Century Gothic" w:eastAsia="Century Gothic" w:hAnsi="Century Gothic" w:cs="Century Gothic"/>
      <w:color w:val="0B0B0B"/>
      <w:sz w:val="20"/>
    </w:rPr>
  </w:style>
  <w:style w:type="paragraph" w:styleId="Heading1">
    <w:name w:val="heading 1"/>
    <w:next w:val="Normal"/>
    <w:link w:val="Heading1Char"/>
    <w:uiPriority w:val="9"/>
    <w:qFormat/>
    <w:pPr>
      <w:keepNext/>
      <w:keepLines/>
      <w:spacing w:after="0" w:line="259" w:lineRule="auto"/>
      <w:ind w:left="10" w:hanging="10"/>
      <w:outlineLvl w:val="0"/>
    </w:pPr>
    <w:rPr>
      <w:rFonts w:ascii="Century Gothic" w:eastAsia="Century Gothic" w:hAnsi="Century Gothic" w:cs="Century Gothic"/>
      <w:b/>
      <w:color w:val="0B0B0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B0B0B"/>
      <w:sz w:val="20"/>
    </w:rPr>
  </w:style>
  <w:style w:type="character" w:styleId="Hyperlink">
    <w:name w:val="Hyperlink"/>
    <w:basedOn w:val="DefaultParagraphFont"/>
    <w:uiPriority w:val="99"/>
    <w:unhideWhenUsed/>
    <w:rsid w:val="00352C8D"/>
    <w:rPr>
      <w:color w:val="467886" w:themeColor="hyperlink"/>
      <w:u w:val="single"/>
    </w:rPr>
  </w:style>
  <w:style w:type="character" w:styleId="UnresolvedMention">
    <w:name w:val="Unresolved Mention"/>
    <w:basedOn w:val="DefaultParagraphFont"/>
    <w:uiPriority w:val="99"/>
    <w:semiHidden/>
    <w:unhideWhenUsed/>
    <w:rsid w:val="00352C8D"/>
    <w:rPr>
      <w:color w:val="605E5C"/>
      <w:shd w:val="clear" w:color="auto" w:fill="E1DFDD"/>
    </w:rPr>
  </w:style>
  <w:style w:type="paragraph" w:styleId="ListParagraph">
    <w:name w:val="List Paragraph"/>
    <w:basedOn w:val="Normal"/>
    <w:uiPriority w:val="34"/>
    <w:qFormat/>
    <w:rsid w:val="00A22B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orkwithus.warwick.ac.uk/job/COVENTRY-Research-Fellow-%28USA%29-CV4-7AL/1442020233/" TargetMode="External"/><Relationship Id="rId5" Type="http://schemas.openxmlformats.org/officeDocument/2006/relationships/hyperlink" Target="https://workwithus.warwick.ac.uk/job/COVENTRY-Research-Fellow-%28Brazil%29-CV4-7AL/144202153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3851</Words>
  <Characters>21953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Blencowe</dc:creator>
  <cp:keywords/>
  <cp:lastModifiedBy>Claire Blencowe</cp:lastModifiedBy>
  <cp:revision>2</cp:revision>
  <dcterms:created xsi:type="dcterms:W3CDTF">2026-09-29T10:30:00Z</dcterms:created>
  <dcterms:modified xsi:type="dcterms:W3CDTF">2026-09-29T10:30:00Z</dcterms:modified>
</cp:coreProperties>
</file>