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47A2" w:rsidRDefault="00E047A2"/>
    <w:p w:rsidR="00EF5A3D" w:rsidRPr="00C2471D" w:rsidRDefault="00C2471D">
      <w:pPr>
        <w:rPr>
          <w:b/>
        </w:rPr>
      </w:pPr>
      <w:r>
        <w:rPr>
          <w:b/>
        </w:rPr>
        <w:t>Introduction</w:t>
      </w:r>
    </w:p>
    <w:p w:rsidR="00354736" w:rsidRDefault="00EF5A3D">
      <w:r>
        <w:t>European societies are getting steadily older: a legacy possibly derived from decades of relative prospe</w:t>
      </w:r>
      <w:bookmarkStart w:id="0" w:name="_GoBack"/>
      <w:bookmarkEnd w:id="0"/>
      <w:r>
        <w:t xml:space="preserve">rity, peace and the </w:t>
      </w:r>
      <w:r w:rsidR="00203889">
        <w:t xml:space="preserve">post-war </w:t>
      </w:r>
      <w:r>
        <w:t>development of s</w:t>
      </w:r>
      <w:r w:rsidR="00203889">
        <w:t>trong</w:t>
      </w:r>
      <w:r>
        <w:t xml:space="preserve"> welfare states. However, as many commentators have noted, ageing societies create their own problems and the emergent ‘demographic challenge’ envisages a future where smaller and smaller numbers of full time workers sustain a growing army of aged and infirm retirees. Over the last 20 years, fearful of future burdens this scenario would impose on the public finances, EU members have taken steps to restructure future state pension obligations – promoting funded schemes and personal private provision in their stead. These developments are relatively well known and widely studied. Since 1986, British workers have been offered tax incentives to ‘contract out’ of the state second pension or occupational provision and to take out a personal pension plan instead. Since 2001, the Swedish state has obliged workers to pay a proportion of their pension contribution into a funded personal scheme and that same year the German government introduced the well-known </w:t>
      </w:r>
      <w:proofErr w:type="spellStart"/>
      <w:r>
        <w:t>Riester-Rente</w:t>
      </w:r>
      <w:proofErr w:type="spellEnd"/>
      <w:r>
        <w:t>, designed to encourage German working people to invest for their own old age. Such developments have been actively encouraged by the European Commission</w:t>
      </w:r>
      <w:r w:rsidR="003B4BE6">
        <w:t>: in both the recent green and white papers on how to promote safe, sustainable and adequate pensions, much emphasis was placed on the promotion  of funded schemes, on raising retirement ages and on continuing to reduce the obligations of the public sector in sustaining old age income security.</w:t>
      </w:r>
      <w:r w:rsidR="00354736">
        <w:t xml:space="preserve"> To date, the Commis</w:t>
      </w:r>
      <w:r w:rsidR="00203889">
        <w:t xml:space="preserve">sion has </w:t>
      </w:r>
      <w:r w:rsidR="00354736">
        <w:t>view</w:t>
      </w:r>
      <w:r w:rsidR="00203889">
        <w:t>ed</w:t>
      </w:r>
      <w:r w:rsidR="00354736">
        <w:t xml:space="preserve"> pension sustainability and adequacy overwhelmingly in financial terms: hardly surprising when the 2008 financial crash created pension fund losses in the region of 20</w:t>
      </w:r>
      <w:r w:rsidR="00203889">
        <w:t xml:space="preserve"> per cent. </w:t>
      </w:r>
      <w:r w:rsidR="00354736">
        <w:t xml:space="preserve"> </w:t>
      </w:r>
      <w:r w:rsidR="00541C04">
        <w:t>So the emphasis has been to prolong working life, to promote pension portability (an alignment of tax regulations among member states) and to offer some form of pension guarantee</w:t>
      </w:r>
      <w:r w:rsidR="003239E8">
        <w:t>, to encourage working people in countries where funded schemes are not mandatory, to trust in new systems.</w:t>
      </w:r>
    </w:p>
    <w:p w:rsidR="00541C04" w:rsidRDefault="00DB7747">
      <w:r>
        <w:t>However, this shift towards funded pension schemes where pension rights are determined by the total sum of individual contributions paid and not by final salary or state guarantees threatens another policy objective – the promotion of gender equality.</w:t>
      </w:r>
      <w:r w:rsidR="002330CF">
        <w:t xml:space="preserve"> Individualised pensions based on personal savings assume a personal history of 40+ years of continuous full time employment. While this is the common pattern sustained by a male working life, it does not characterise female career trajectories as mother hood involves career breaks and a return to part-time employment - and part-time employment translates into a part-time pension. When we consider that women have longer life expectancy than men and thus that the majority of pensioners are female, we might conclude that recent policy developments have been explicitly designed to cater for a minority of the future pensioner population.</w:t>
      </w:r>
    </w:p>
    <w:p w:rsidR="002330CF" w:rsidRDefault="002330CF" w:rsidP="002330CF">
      <w:r>
        <w:t>Viewed historically, the genesis of earnings-related pensions in most West European states evolved with</w:t>
      </w:r>
      <w:r>
        <w:t>in</w:t>
      </w:r>
      <w:r>
        <w:t xml:space="preserve"> a wage bargaining framework in the decades following the Second World War. Under very different circumstances to those that pertain today, trade unions and workers’ organisations agreed to forego immediate wage increases that (employers claimed) would threaten industrial recovery and economic growth in exchange for higher retirement pensions at the end of a working life. Thus, under both book reserve schemes and within a reformed state pension (1957), German trade unions helped to secure a share for retired workers in rising living standards. Equally, French trade unions universalised and consolidated supplementary pensions under a labour agreement with MEDEF in </w:t>
      </w:r>
      <w:r>
        <w:lastRenderedPageBreak/>
        <w:t>1959: Swedish trade unions and the Swedish Social Democratic Party introduced ATP. The same period witnessed even UK trade unionists exchanging higher wages today for superannuation tomorrow. In this way, old age income security became inextricably linked to pre</w:t>
      </w:r>
      <w:r w:rsidR="000D4CF2">
        <w:t>vious labour market engagement. Pensions developed in this era assumed what we now term the male breadwinner model: the male provider paid contributions that gave his wife pension entitlements in her own right if he predeceased her. Recent moves towards individual pension rights embedded in recent policy throws this relationship into question: survivors’ benefits are not guaranteed under new schemes.</w:t>
      </w:r>
      <w:r w:rsidR="00B52FEE">
        <w:t xml:space="preserve"> Moreover, the addition of ‘care credits’ (allocating standardised contributions to compensate for time off work) does not provide a real answer to the future pension problems faced by mothers as </w:t>
      </w:r>
      <w:r w:rsidR="00604DBC">
        <w:t>absence during key years also affects future promotion prospects and career development, which also affects pension saving.</w:t>
      </w:r>
    </w:p>
    <w:p w:rsidR="00DA4FE8" w:rsidRDefault="00B52FEE" w:rsidP="002330CF">
      <w:r>
        <w:t>As current pensioners are the beneficiaries of schemes developed in the 1960s, so the impact of rec</w:t>
      </w:r>
      <w:r w:rsidR="00604DBC">
        <w:t xml:space="preserve">ent changes is not </w:t>
      </w:r>
      <w:r w:rsidR="00DA4FE8">
        <w:t xml:space="preserve">so much </w:t>
      </w:r>
      <w:r w:rsidR="00604DBC">
        <w:t xml:space="preserve">in evidence today, but will affect future generations. </w:t>
      </w:r>
      <w:r w:rsidR="00287937">
        <w:t xml:space="preserve">More tellingly perhaps, social expectation will have to come to terms with the new reality: that women are and will continue to be expected to work and pay for their own pensions. Fifty years ago, the good mother was expected to give up paid employment and stay at home, </w:t>
      </w:r>
      <w:r w:rsidR="005C0171">
        <w:t xml:space="preserve">to offer unwaged domestic services to the household, to raise her children responsibly and to be carer of first resort for family dependents. To do otherwise was to act selfishly. Public judgement has undertaken a complete </w:t>
      </w:r>
      <w:r w:rsidR="005C0171">
        <w:rPr>
          <w:i/>
        </w:rPr>
        <w:t>volte face</w:t>
      </w:r>
      <w:r w:rsidR="005C0171">
        <w:t xml:space="preserve">. Today, the good mother is expected to place her offspring and elderly relatives in care to return to full-time waged work. Failure to do this leads to marginalisation on the labour market and, increasingly, to the prospect of an impoverished old </w:t>
      </w:r>
      <w:proofErr w:type="gramStart"/>
      <w:r w:rsidR="005C0171">
        <w:t>age</w:t>
      </w:r>
      <w:r w:rsidR="005C0171">
        <w:t xml:space="preserve"> </w:t>
      </w:r>
      <w:r w:rsidR="00287937">
        <w:t xml:space="preserve"> –</w:t>
      </w:r>
      <w:proofErr w:type="gramEnd"/>
      <w:r w:rsidR="00287937">
        <w:t xml:space="preserve"> particularly if she joins the growing numbers of divorced women.</w:t>
      </w:r>
    </w:p>
    <w:p w:rsidR="00287937" w:rsidRDefault="00287937" w:rsidP="002330CF">
      <w:r>
        <w:t xml:space="preserve">This paper explores </w:t>
      </w:r>
      <w:r w:rsidR="006936C2">
        <w:t>recent pension</w:t>
      </w:r>
      <w:r>
        <w:t xml:space="preserve"> develop</w:t>
      </w:r>
      <w:r w:rsidR="006936C2">
        <w:t>ments and their implications</w:t>
      </w:r>
      <w:r>
        <w:t>.</w:t>
      </w:r>
      <w:r w:rsidR="006936C2">
        <w:t xml:space="preserve"> The first section identifies the causes of potential future gender-based pension problems; the second analyses current policy responses to them while the third draws some conclusions. </w:t>
      </w:r>
    </w:p>
    <w:p w:rsidR="006936C2" w:rsidRDefault="006936C2" w:rsidP="002330CF">
      <w:r>
        <w:rPr>
          <w:b/>
        </w:rPr>
        <w:t>Why women’s pension rights are lower than men’s</w:t>
      </w:r>
    </w:p>
    <w:p w:rsidR="00D17B3B" w:rsidRPr="00E3296D" w:rsidRDefault="00E3296D" w:rsidP="002330CF">
      <w:r>
        <w:rPr>
          <w:i/>
        </w:rPr>
        <w:t>‘Although the participation rate of women has been growing … the average working life of women is shorter than that of men. In addition, women work part-time more often than men and there is also an average gender pay-gap of about 15 per cent between women and men. All this negatively affects the pension income of women in contribution-related pension schemes …’</w:t>
      </w:r>
      <w:r>
        <w:rPr>
          <w:rStyle w:val="FootnoteReference"/>
          <w:i/>
        </w:rPr>
        <w:footnoteReference w:id="1"/>
      </w:r>
    </w:p>
    <w:p w:rsidR="009C01AE" w:rsidRDefault="00C24EAA" w:rsidP="009C01AE">
      <w:pPr>
        <w:rPr>
          <w:rFonts w:cs="Syntax LT Std"/>
          <w:color w:val="000000"/>
        </w:rPr>
      </w:pPr>
      <w:r>
        <w:t xml:space="preserve">As indicated in the introduction to this paper, </w:t>
      </w:r>
      <w:r w:rsidR="004276FA">
        <w:t>differences in labour market behaviour and employment patterns lies at the heart of the issue. Modelling future pensions on full careers leads to misleading results</w:t>
      </w:r>
      <w:r w:rsidR="009C01AE">
        <w:t>.</w:t>
      </w:r>
      <w:r w:rsidR="009C01AE" w:rsidRPr="009C01AE">
        <w:rPr>
          <w:rFonts w:cs="Syntax LT Std"/>
          <w:color w:val="000000"/>
          <w:sz w:val="18"/>
          <w:szCs w:val="18"/>
        </w:rPr>
        <w:t xml:space="preserve"> </w:t>
      </w:r>
      <w:r w:rsidR="009C01AE" w:rsidRPr="009C01AE">
        <w:rPr>
          <w:rFonts w:cs="Syntax LT Std"/>
          <w:color w:val="000000"/>
        </w:rPr>
        <w:t>In pension reforms, this trend is most commonly as</w:t>
      </w:r>
      <w:r w:rsidR="009C01AE" w:rsidRPr="009C01AE">
        <w:rPr>
          <w:rFonts w:cs="Syntax LT Std"/>
          <w:color w:val="000000"/>
        </w:rPr>
        <w:softHyphen/>
        <w:t>sociated with partial privatization of the pension schemes</w:t>
      </w:r>
      <w:r w:rsidR="009C01AE" w:rsidRPr="009C01AE">
        <w:rPr>
          <w:rStyle w:val="A9"/>
          <w:sz w:val="22"/>
          <w:szCs w:val="22"/>
        </w:rPr>
        <w:t>4</w:t>
      </w:r>
      <w:r w:rsidR="009C01AE" w:rsidRPr="009C01AE">
        <w:rPr>
          <w:rFonts w:cs="Syntax LT Std"/>
          <w:color w:val="000000"/>
        </w:rPr>
        <w:t>, a reduced publicly pay-as-you go system supplemented with saving schemes, and a tighter linking of pension benefits with contribution levels. The overall tendency of the pension systems suggests that retirement benefits are more closely linked to contributions and thus to career pay. As redistributive (public) pension elements are withdrawn, with them goes the reduction in inequalities they brought. This means that in</w:t>
      </w:r>
      <w:r w:rsidR="009C01AE" w:rsidRPr="009C01AE">
        <w:rPr>
          <w:rFonts w:cs="Syntax LT Std"/>
          <w:color w:val="000000"/>
        </w:rPr>
        <w:softHyphen/>
        <w:t xml:space="preserve">equalities in </w:t>
      </w:r>
      <w:r w:rsidR="00F77173">
        <w:rPr>
          <w:rFonts w:cs="Syntax LT Std"/>
          <w:color w:val="000000"/>
        </w:rPr>
        <w:t>the labour market are</w:t>
      </w:r>
      <w:r w:rsidR="009C01AE" w:rsidRPr="009C01AE">
        <w:rPr>
          <w:rFonts w:cs="Syntax LT Std"/>
          <w:color w:val="000000"/>
        </w:rPr>
        <w:t xml:space="preserve"> carried over into retirement income</w:t>
      </w:r>
      <w:r w:rsidR="00F77173">
        <w:rPr>
          <w:rFonts w:cs="Syntax LT Std"/>
          <w:color w:val="000000"/>
        </w:rPr>
        <w:t>.</w:t>
      </w:r>
    </w:p>
    <w:p w:rsidR="002330CF" w:rsidRDefault="00F77173">
      <w:pPr>
        <w:rPr>
          <w:rFonts w:cs="Syntax LT Std"/>
          <w:color w:val="000000"/>
        </w:rPr>
      </w:pPr>
      <w:r>
        <w:rPr>
          <w:rFonts w:cs="Syntax LT Std"/>
          <w:color w:val="000000"/>
        </w:rPr>
        <w:lastRenderedPageBreak/>
        <w:t>Recent studies of female employment patterns in Europe</w:t>
      </w:r>
      <w:r>
        <w:rPr>
          <w:rStyle w:val="FootnoteReference"/>
          <w:rFonts w:cs="Syntax LT Std"/>
          <w:color w:val="000000"/>
        </w:rPr>
        <w:footnoteReference w:id="2"/>
      </w:r>
      <w:r w:rsidR="002140AE">
        <w:rPr>
          <w:rFonts w:cs="Syntax LT Std"/>
          <w:color w:val="000000"/>
        </w:rPr>
        <w:t xml:space="preserve"> reveal similar patterns (with the exception of the Nordic states). While men continue to follow working careers based on full time employment, women still interrupt their careers to raise children and give family support. An extensive literature now documents the uneven distribution of unwaged social care that underpins this arrangement</w:t>
      </w:r>
      <w:r w:rsidR="00CC2F7D">
        <w:rPr>
          <w:rStyle w:val="FootnoteReference"/>
          <w:rFonts w:cs="Syntax LT Std"/>
          <w:color w:val="000000"/>
        </w:rPr>
        <w:footnoteReference w:id="3"/>
      </w:r>
      <w:r w:rsidR="00CC2F7D">
        <w:rPr>
          <w:rFonts w:cs="Syntax LT Std"/>
          <w:color w:val="000000"/>
        </w:rPr>
        <w:t xml:space="preserve"> that </w:t>
      </w:r>
      <w:r w:rsidR="00995279">
        <w:rPr>
          <w:rFonts w:cs="Syntax LT Std"/>
          <w:color w:val="000000"/>
        </w:rPr>
        <w:t>reinforce</w:t>
      </w:r>
      <w:r w:rsidR="00CC2F7D">
        <w:rPr>
          <w:rFonts w:cs="Syntax LT Std"/>
          <w:color w:val="000000"/>
        </w:rPr>
        <w:t xml:space="preserve">s the </w:t>
      </w:r>
      <w:r w:rsidR="00995279">
        <w:rPr>
          <w:rFonts w:cs="Syntax LT Std"/>
          <w:color w:val="000000"/>
        </w:rPr>
        <w:t>view that wome</w:t>
      </w:r>
      <w:r w:rsidR="00CC2F7D">
        <w:rPr>
          <w:rFonts w:cs="Syntax LT Std"/>
          <w:color w:val="000000"/>
        </w:rPr>
        <w:t xml:space="preserve">n’s earnings </w:t>
      </w:r>
      <w:r w:rsidR="00995279">
        <w:rPr>
          <w:rFonts w:cs="Syntax LT Std"/>
          <w:color w:val="000000"/>
        </w:rPr>
        <w:t>are essentially</w:t>
      </w:r>
      <w:r w:rsidR="00CC2F7D">
        <w:rPr>
          <w:rFonts w:cs="Syntax LT Std"/>
          <w:color w:val="000000"/>
        </w:rPr>
        <w:t xml:space="preserve"> a household supplement to those of the male breadwinner. </w:t>
      </w:r>
      <w:r w:rsidR="00995279">
        <w:rPr>
          <w:rFonts w:cs="Syntax LT Std"/>
          <w:color w:val="000000"/>
        </w:rPr>
        <w:t xml:space="preserve">In </w:t>
      </w:r>
      <w:r w:rsidR="00277814">
        <w:rPr>
          <w:rFonts w:cs="Syntax LT Std"/>
          <w:color w:val="000000"/>
        </w:rPr>
        <w:t>general terms,</w:t>
      </w:r>
      <w:r w:rsidR="008D0059">
        <w:rPr>
          <w:rFonts w:cs="Syntax LT Std"/>
          <w:color w:val="000000"/>
        </w:rPr>
        <w:t xml:space="preserve"> </w:t>
      </w:r>
      <w:r w:rsidR="00995279">
        <w:rPr>
          <w:rFonts w:cs="Syntax LT Std"/>
          <w:color w:val="000000"/>
        </w:rPr>
        <w:t xml:space="preserve">women </w:t>
      </w:r>
      <w:r w:rsidR="008D0059">
        <w:rPr>
          <w:rFonts w:cs="Syntax LT Std"/>
          <w:color w:val="000000"/>
        </w:rPr>
        <w:t xml:space="preserve">reach pensionable age with substantially lower pension rights than those of their partners/husbands and continue to rely on survivors’ benefits on widowhood. </w:t>
      </w:r>
      <w:r w:rsidR="00277814">
        <w:rPr>
          <w:rFonts w:cs="Syntax LT Std"/>
          <w:color w:val="000000"/>
        </w:rPr>
        <w:t>This gender pension gap is at its lowest in the Nordic states: in contrast, it is at its widest in Germany and the UK, where the average female pension is over 43 per cent lower than the average male. In these two countries, we can observe how poor quality jobs and periods spent out of the labour market combine to achieve this rather undesirable result.</w:t>
      </w:r>
    </w:p>
    <w:p w:rsidR="00277814" w:rsidRDefault="00277814">
      <w:pPr>
        <w:rPr>
          <w:rFonts w:cs="Syntax LT Std"/>
          <w:color w:val="000000"/>
        </w:rPr>
      </w:pPr>
      <w:r>
        <w:rPr>
          <w:rFonts w:cs="Syntax LT Std"/>
          <w:color w:val="000000"/>
        </w:rPr>
        <w:t xml:space="preserve">Close scrutiny of how motherhood </w:t>
      </w:r>
      <w:r w:rsidR="00560EDC">
        <w:rPr>
          <w:rFonts w:cs="Syntax LT Std"/>
          <w:color w:val="000000"/>
        </w:rPr>
        <w:t>….</w:t>
      </w:r>
    </w:p>
    <w:p w:rsidR="00560EDC" w:rsidRDefault="00560EDC">
      <w:pPr>
        <w:rPr>
          <w:rFonts w:cs="Syntax LT Std"/>
          <w:color w:val="000000"/>
        </w:rPr>
      </w:pPr>
    </w:p>
    <w:p w:rsidR="00560EDC" w:rsidRDefault="00560EDC">
      <w:pPr>
        <w:rPr>
          <w:rFonts w:cs="Syntax LT Std"/>
          <w:color w:val="000000"/>
        </w:rPr>
      </w:pPr>
      <w:r>
        <w:rPr>
          <w:rFonts w:cs="Syntax LT Std"/>
          <w:color w:val="000000"/>
        </w:rPr>
        <w:t xml:space="preserve">There are signs in both countries that old patterns are changing and </w:t>
      </w:r>
      <w:proofErr w:type="gramStart"/>
      <w:r>
        <w:rPr>
          <w:rFonts w:cs="Syntax LT Std"/>
          <w:color w:val="000000"/>
        </w:rPr>
        <w:t>that younger cohorts</w:t>
      </w:r>
      <w:proofErr w:type="gramEnd"/>
      <w:r>
        <w:rPr>
          <w:rFonts w:cs="Syntax LT Std"/>
          <w:color w:val="000000"/>
        </w:rPr>
        <w:t xml:space="preserve"> are making more effort to return to full-time work after childbirth – although whether this will be sustained </w:t>
      </w:r>
      <w:r w:rsidR="00BE4653">
        <w:rPr>
          <w:rFonts w:cs="Syntax LT Std"/>
          <w:color w:val="000000"/>
        </w:rPr>
        <w:t>over</w:t>
      </w:r>
      <w:r>
        <w:rPr>
          <w:rFonts w:cs="Syntax LT Std"/>
          <w:color w:val="000000"/>
        </w:rPr>
        <w:t xml:space="preserve"> the long run </w:t>
      </w:r>
      <w:r w:rsidR="00BE4653">
        <w:rPr>
          <w:rFonts w:cs="Syntax LT Std"/>
          <w:color w:val="000000"/>
        </w:rPr>
        <w:t>is impossible to say</w:t>
      </w:r>
      <w:r>
        <w:rPr>
          <w:rFonts w:cs="Syntax LT Std"/>
          <w:color w:val="000000"/>
        </w:rPr>
        <w:t>.</w:t>
      </w:r>
      <w:r w:rsidR="00C71EC0">
        <w:rPr>
          <w:rFonts w:cs="Syntax LT Std"/>
          <w:color w:val="000000"/>
        </w:rPr>
        <w:t xml:space="preserve"> However, </w:t>
      </w:r>
      <w:r w:rsidR="00303E13">
        <w:rPr>
          <w:rFonts w:cs="Syntax LT Std"/>
          <w:color w:val="000000"/>
        </w:rPr>
        <w:t>for the UK at least, the runes are not good: the most recent survey of pension saving showed that for women this fell back in 2012 while for men such saving</w:t>
      </w:r>
      <w:r w:rsidR="00BE4653">
        <w:rPr>
          <w:rFonts w:cs="Syntax LT Std"/>
          <w:color w:val="000000"/>
        </w:rPr>
        <w:t>s</w:t>
      </w:r>
      <w:r w:rsidR="00303E13">
        <w:rPr>
          <w:rFonts w:cs="Syntax LT Std"/>
          <w:color w:val="000000"/>
        </w:rPr>
        <w:t xml:space="preserve"> rose and the percentage of women not saving anything at all rose by 2 per cent to 25 per cent, still markedly below the male rate of 19 per cent</w:t>
      </w:r>
      <w:r w:rsidR="00303E13">
        <w:rPr>
          <w:rStyle w:val="FootnoteReference"/>
          <w:rFonts w:cs="Syntax LT Std"/>
          <w:color w:val="000000"/>
        </w:rPr>
        <w:footnoteReference w:id="4"/>
      </w:r>
      <w:r w:rsidR="00303E13">
        <w:rPr>
          <w:rFonts w:cs="Syntax LT Std"/>
          <w:color w:val="000000"/>
        </w:rPr>
        <w:t>. Moreover, while several surveys in both countries show convergence on female and male saving</w:t>
      </w:r>
      <w:r w:rsidR="00BE4653">
        <w:rPr>
          <w:rFonts w:cs="Syntax LT Std"/>
          <w:color w:val="000000"/>
        </w:rPr>
        <w:t xml:space="preserve"> coverage</w:t>
      </w:r>
      <w:r w:rsidR="00303E13">
        <w:rPr>
          <w:rFonts w:cs="Syntax LT Std"/>
          <w:color w:val="000000"/>
        </w:rPr>
        <w:t xml:space="preserve"> in recent years</w:t>
      </w:r>
      <w:r w:rsidR="00BE4653">
        <w:rPr>
          <w:rFonts w:cs="Syntax LT Std"/>
          <w:color w:val="000000"/>
        </w:rPr>
        <w:t xml:space="preserve"> (that is to say, the numbers of women and men saving for a pension is becoming more equal)</w:t>
      </w:r>
      <w:r w:rsidR="00303E13">
        <w:rPr>
          <w:rFonts w:cs="Syntax LT Std"/>
          <w:color w:val="000000"/>
        </w:rPr>
        <w:t xml:space="preserve"> such data tell us very little about persistence over a working lifetime: whether such savings lapse </w:t>
      </w:r>
      <w:r w:rsidR="00F7083B">
        <w:rPr>
          <w:rFonts w:cs="Syntax LT Std"/>
          <w:color w:val="000000"/>
        </w:rPr>
        <w:t>when full time employment gives way to part-time work following childbirth (the prevailing trend in both countries) or when a short-term job contract ends, or when the wife changes job when her husband’s career requires the family to move ho</w:t>
      </w:r>
      <w:r w:rsidR="00CE0187">
        <w:rPr>
          <w:rFonts w:cs="Syntax LT Std"/>
          <w:color w:val="000000"/>
        </w:rPr>
        <w:t>m</w:t>
      </w:r>
      <w:r w:rsidR="00F7083B">
        <w:rPr>
          <w:rFonts w:cs="Syntax LT Std"/>
          <w:color w:val="000000"/>
        </w:rPr>
        <w:t>e to another town.</w:t>
      </w:r>
      <w:r w:rsidR="00DF5E02">
        <w:rPr>
          <w:rFonts w:cs="Syntax LT Std"/>
          <w:color w:val="000000"/>
        </w:rPr>
        <w:t xml:space="preserve"> UK research on completed families of retired women indicates that the larger the family, the less likely the mother is to be in any sort of employment – and that the rise in female labour market activity rates in the late twentieth century reflects a rise in part-time, but not full time employment</w:t>
      </w:r>
      <w:r w:rsidR="00DF5E02">
        <w:rPr>
          <w:rStyle w:val="FootnoteReference"/>
          <w:rFonts w:cs="Syntax LT Std"/>
          <w:color w:val="000000"/>
        </w:rPr>
        <w:footnoteReference w:id="5"/>
      </w:r>
      <w:r w:rsidR="00DF5E02">
        <w:rPr>
          <w:rFonts w:cs="Syntax LT Std"/>
          <w:color w:val="000000"/>
        </w:rPr>
        <w:t>.</w:t>
      </w:r>
      <w:r w:rsidR="00BE4653">
        <w:rPr>
          <w:rFonts w:cs="Syntax LT Std"/>
          <w:color w:val="000000"/>
        </w:rPr>
        <w:t xml:space="preserve"> </w:t>
      </w:r>
      <w:r w:rsidR="00ED06D9">
        <w:rPr>
          <w:rFonts w:cs="Syntax LT Std"/>
          <w:color w:val="000000"/>
        </w:rPr>
        <w:t xml:space="preserve"> Certainly British women in their fifties are half as likely as their younger sisters to be in full time employment</w:t>
      </w:r>
      <w:r w:rsidR="00061B62">
        <w:rPr>
          <w:rFonts w:cs="Syntax LT Std"/>
          <w:color w:val="000000"/>
        </w:rPr>
        <w:t xml:space="preserve"> (20 per cent in contrast to 40 per cent) and the majority who have returned to full time work are professionally qualified, reflecting the problems encountered by those with no or few qualifications when they try to return to work. Add to this the bout of recent public expenditure cuts which have forced redundancies in the public services where such women work and we begin to understand the long-term impact of labour </w:t>
      </w:r>
      <w:r w:rsidR="00061B62">
        <w:rPr>
          <w:rFonts w:cs="Syntax LT Std"/>
          <w:color w:val="000000"/>
        </w:rPr>
        <w:lastRenderedPageBreak/>
        <w:t>market problems that shape female earning (and saving) behaviour</w:t>
      </w:r>
      <w:r w:rsidR="00061B62">
        <w:rPr>
          <w:rStyle w:val="FootnoteReference"/>
          <w:rFonts w:cs="Syntax LT Std"/>
          <w:color w:val="000000"/>
        </w:rPr>
        <w:footnoteReference w:id="6"/>
      </w:r>
      <w:r w:rsidR="00061B62">
        <w:rPr>
          <w:rFonts w:cs="Syntax LT Std"/>
          <w:color w:val="000000"/>
        </w:rPr>
        <w:t>.</w:t>
      </w:r>
      <w:r w:rsidR="00007C22">
        <w:rPr>
          <w:rFonts w:cs="Syntax LT Std"/>
          <w:color w:val="000000"/>
        </w:rPr>
        <w:t xml:space="preserve"> The vast majority of part-time jobs are low paid and frequently insecure, again not conducive to fostering the type of voluntary savings on which future German as well as British pensioners will be increasingly expected to rely.</w:t>
      </w:r>
    </w:p>
    <w:p w:rsidR="00C235A1" w:rsidRDefault="00007C22">
      <w:r>
        <w:t>For the purpose underpinning the introduction and promotion of personal pension savings is to reduce, or at least contain, pressures on public pension schemes – the so-called first pillar – on which many women come to rely. This forms part of a general policy strategy found under many guises all over Europe (bar Greece) under which public expenditure on Pay As You Go schemes is to be contained and funded systems increasingly to take their place. As noted in the following section, many European countries have offered pension ‘credits’ for women whose absence from the labour market is due to child care responsibilities</w:t>
      </w:r>
      <w:r w:rsidR="0048192D">
        <w:t xml:space="preserve">. However, this is not enough to raise their pension savings to a level equivalent to men’s, as subsequent partial labour market activity necessarily reduces saving capacity and leaves the woman with a smaller pension ‘pot’ on retirement. </w:t>
      </w:r>
    </w:p>
    <w:p w:rsidR="00ED06D9" w:rsidRDefault="0048192D">
      <w:r>
        <w:t xml:space="preserve">In both Germany and Britain, the expectation is that this will be annuitized: the money will be used to purchase a pension product to generate an income for the rest of the annuitant’s lifetime. As female life expectancy is generally higher than male, insurance companies selling such products used to differentiate between the sexes: a practice rendered illegal first by regulations governing the </w:t>
      </w:r>
      <w:proofErr w:type="spellStart"/>
      <w:r>
        <w:t>Riester-Rente</w:t>
      </w:r>
      <w:proofErr w:type="spellEnd"/>
      <w:r>
        <w:t>, subsequently by the European Commission</w:t>
      </w:r>
      <w:r>
        <w:rPr>
          <w:rStyle w:val="FootnoteReference"/>
        </w:rPr>
        <w:footnoteReference w:id="7"/>
      </w:r>
      <w:r w:rsidR="00C235A1">
        <w:t>. However, a smaller pension pot still purchases a lower pension. More over annuities markets are complex and are not widely understood. As most personal pension schemes in Europe are in their infancy, the behaviour of annuitants has not been widely studied. In the UK, however, we know that most annuitants do not shop around for best value and that 66 per cent of retirees faced with a choice of products select the simple single life annuity: this offers the most money immediately. It offers no protection against inflation: index-linked annuities are more expensive. More importantly, it offers no survivor’s benefit – again that option means extra cost. Whether or not the purchaser is aware of this (do men prefer a higher pension when alive to the provision of income to their widow?) is uncertain. What is apparent is that, if this state of affairs persists, a lot of old women are going to discover, on bereavement, that with widowhood comes a sharp drop in income – just at a point in life when they can do very little about it.</w:t>
      </w:r>
    </w:p>
    <w:p w:rsidR="00B62F3D" w:rsidRDefault="004F2064">
      <w:r>
        <w:rPr>
          <w:b/>
        </w:rPr>
        <w:t>What are the policy solutions?</w:t>
      </w:r>
    </w:p>
    <w:p w:rsidR="00B62F3D" w:rsidRDefault="00B62F3D">
      <w:r>
        <w:t>The transition from PAYG to funded personal pensions has commanded much political attention</w:t>
      </w:r>
      <w:r w:rsidR="007242AC">
        <w:t>, particularly with reference to inter-generational solidarity in the light of rising longevity and the tax burdens it is likely to impose on future generations of workers</w:t>
      </w:r>
      <w:r w:rsidR="007242AC">
        <w:rPr>
          <w:rStyle w:val="FootnoteReference"/>
        </w:rPr>
        <w:footnoteReference w:id="8"/>
      </w:r>
      <w:r w:rsidR="007242AC">
        <w:t xml:space="preserve">. Somehow, gender solidarity has gone by the board. The issue of women’s pension futures crosses the European Commission’s desk at three inter-related policy points: equality policy, employment policy and pension policy. </w:t>
      </w:r>
      <w:r w:rsidR="00C7739E">
        <w:t xml:space="preserve">The promotion of equal treatment has commanded three directives: in social security (1978): in employment (2006) and in access to goods and services (2004) – the last being the basis for the ECJ ruling referred to in the preceding section. However, throughout, the object of equal treatment has </w:t>
      </w:r>
      <w:r w:rsidR="00C7739E">
        <w:lastRenderedPageBreak/>
        <w:t xml:space="preserve">been to make a woman a ‘man like any other’. Hence EC policy </w:t>
      </w:r>
      <w:r w:rsidR="00E549E2">
        <w:t xml:space="preserve">has focused on the one hand on increasing female labour market activity rates and improving female earnings: on the other, on encouraging member states to promote the equal sharing of domestic duties between couples </w:t>
      </w:r>
      <w:r w:rsidR="00E77C4D">
        <w:t xml:space="preserve">by pushing fathers to take parental leave - </w:t>
      </w:r>
      <w:r w:rsidR="00E549E2">
        <w:t xml:space="preserve">and </w:t>
      </w:r>
      <w:r w:rsidR="00E549E2">
        <w:t>to offer</w:t>
      </w:r>
      <w:r w:rsidR="00E549E2">
        <w:t xml:space="preserve"> compensation</w:t>
      </w:r>
      <w:r w:rsidR="00E549E2">
        <w:t xml:space="preserve"> for career breaks </w:t>
      </w:r>
      <w:r w:rsidR="00E77C4D">
        <w:t>consequent on</w:t>
      </w:r>
      <w:r w:rsidR="00E549E2">
        <w:t xml:space="preserve"> child care</w:t>
      </w:r>
      <w:r w:rsidR="00E549E2">
        <w:t>. Compensating females for damaged pension rights due to domestic obligations can involve redistribution through the state pension formula, or the provision of a minimum pension guarantee</w:t>
      </w:r>
      <w:r w:rsidR="00E77C4D">
        <w:t>,</w:t>
      </w:r>
      <w:r w:rsidR="00E549E2">
        <w:t xml:space="preserve"> or the provision of credits under state or occupational pension schemes, but are far less common in funded pension systems.</w:t>
      </w:r>
    </w:p>
    <w:p w:rsidR="00BE6B1C" w:rsidRDefault="00BE6B1C">
      <w:r>
        <w:t xml:space="preserve">The promotion of female labour market participation </w:t>
      </w:r>
      <w:r w:rsidR="00BB5A0C">
        <w:t>rates has long been the mainspring through which the Commission has fostered gender equality. Th</w:t>
      </w:r>
      <w:r w:rsidR="00E77C4D">
        <w:t>is</w:t>
      </w:r>
      <w:r w:rsidR="00BB5A0C">
        <w:t xml:space="preserve"> strategy offers more than one solution to the pension crisis</w:t>
      </w:r>
      <w:r w:rsidR="008A1079">
        <w:t xml:space="preserve"> as </w:t>
      </w:r>
      <w:r w:rsidR="00676DBC">
        <w:t xml:space="preserve">higher </w:t>
      </w:r>
      <w:r w:rsidR="008A1079">
        <w:t xml:space="preserve">numbers of women workers increases tax and social contribution revenues, thereby relieving the burden on the public finances that a </w:t>
      </w:r>
      <w:r w:rsidR="00E77C4D">
        <w:t>fast expanding older generation threatens to create</w:t>
      </w:r>
      <w:r w:rsidR="008A1079">
        <w:t>.</w:t>
      </w:r>
      <w:r w:rsidR="00E77C4D">
        <w:t xml:space="preserve"> However, away from the Nordic states, mothers return to part-time work: in Germany and the UK in particular, the continuing high gender pension gap reflects the consequences of part-time employment, low pay and fractured working histories. To counter this, the EC</w:t>
      </w:r>
      <w:r w:rsidR="00B2159A">
        <w:t xml:space="preserve"> promotes more training to improve women’s professional career choices and better child care to enable such choices to be followed up. In both the EC’s recent Green and White Papers on pensions</w:t>
      </w:r>
      <w:r w:rsidR="004F2064">
        <w:rPr>
          <w:rStyle w:val="FootnoteReference"/>
        </w:rPr>
        <w:footnoteReference w:id="9"/>
      </w:r>
      <w:r w:rsidR="00B2159A">
        <w:t xml:space="preserve">, adequacy and sustainability are viewed as two sides of the same essentially coin: financial sustainability is to be attained by prolonging  working lives and by promoting lifelong learning to encourage women returners. Gender inequalities are not addressed as such. In the wake of the 2008 financial crash and </w:t>
      </w:r>
      <w:r w:rsidR="00D856C9">
        <w:t>consequent tighter fiscal constraints</w:t>
      </w:r>
      <w:r w:rsidR="00B2159A">
        <w:t xml:space="preserve">, however, the extension of </w:t>
      </w:r>
      <w:r w:rsidR="00D856C9">
        <w:t xml:space="preserve">child care </w:t>
      </w:r>
      <w:r w:rsidR="00B2159A">
        <w:t xml:space="preserve">services to enable mothers to return to work </w:t>
      </w:r>
      <w:r w:rsidR="00D856C9">
        <w:t xml:space="preserve">is highly problematic and, as the UK government is currently realising, any private alternative without state subsidy is either too expensive for the average female wage earner or itself pays very low wages and relies on untrained personnel. Hardly surprisingly, the consequences are reflected in a flood of immigrant domestic workers from outside the EU, mostly women, whose employment </w:t>
      </w:r>
      <w:r w:rsidR="003B0569">
        <w:t>is highly precarious and whose own pension rights either do not exist or are liable to vanish on their return to their homeland.</w:t>
      </w:r>
      <w:r w:rsidR="003B0569">
        <w:rPr>
          <w:rStyle w:val="FootnoteReference"/>
        </w:rPr>
        <w:footnoteReference w:id="10"/>
      </w:r>
      <w:r w:rsidR="004F2064">
        <w:t xml:space="preserve"> This hardly offers a solution to the problem of the exploitation of female domestic workers.</w:t>
      </w:r>
    </w:p>
    <w:p w:rsidR="00D74777" w:rsidRDefault="00D74777">
      <w:r>
        <w:t xml:space="preserve">This is not to argue that member states have </w:t>
      </w:r>
      <w:r w:rsidR="00E51BF9">
        <w:t xml:space="preserve">not </w:t>
      </w:r>
      <w:r>
        <w:t xml:space="preserve">taken steps to protect women’s pensions. </w:t>
      </w:r>
      <w:r w:rsidR="00E51BF9">
        <w:t xml:space="preserve">All member states offer credits for child care against the state pension. In Germany, the child allowance offered for non-working wives of under </w:t>
      </w:r>
      <w:proofErr w:type="spellStart"/>
      <w:r w:rsidR="00E51BF9">
        <w:t>Riester</w:t>
      </w:r>
      <w:proofErr w:type="spellEnd"/>
      <w:r w:rsidR="00E51BF9">
        <w:t xml:space="preserve"> regulations enables them to continue with contributions while out of the labour market. </w:t>
      </w:r>
      <w:r w:rsidR="007F61B0">
        <w:t>Yet the comparative generosity of German pension credit systems (continuing in part until the child is ten years old) has been blamed for prolonging mothers’ labour market absence and, rather than encouraging a return to the labour market via part-time work, has actually justified labour market withdrawal, thereby damaging these women’s future pension rights</w:t>
      </w:r>
      <w:r w:rsidR="007F61B0">
        <w:rPr>
          <w:rStyle w:val="FootnoteReference"/>
        </w:rPr>
        <w:footnoteReference w:id="11"/>
      </w:r>
      <w:r w:rsidR="00D917A1">
        <w:t>. The strong tradition of the survivor’s pension is damaging here: this is not a personal, but a derived right and reinforces female dependence on the spouse. For real</w:t>
      </w:r>
      <w:r w:rsidR="008A507B">
        <w:t xml:space="preserve"> freedom of choice, it might be argued, mothers should be encouraged aw</w:t>
      </w:r>
      <w:r w:rsidR="00247A69">
        <w:t xml:space="preserve">ay from </w:t>
      </w:r>
      <w:r w:rsidR="008A507B">
        <w:t xml:space="preserve">mini-jobs and part-time employment: jobs characterised by low wages and poor security characteristic of a dual labour </w:t>
      </w:r>
      <w:r w:rsidR="008A507B">
        <w:lastRenderedPageBreak/>
        <w:t>market</w:t>
      </w:r>
      <w:r w:rsidR="00247A69">
        <w:t>, whose occupants are excluded from</w:t>
      </w:r>
      <w:r w:rsidR="00247A69">
        <w:t xml:space="preserve"> compulsory pension cover</w:t>
      </w:r>
      <w:r w:rsidR="008A507B">
        <w:t xml:space="preserve">. </w:t>
      </w:r>
      <w:r w:rsidR="00247A69">
        <w:t xml:space="preserve"> Many studies have addressed the problems that emerge with dual labour market development. Suffice to say that, in this instance, its perpetuation reinforces the male breadwinner model for which Germany has become notorious and it would be in the interests of both genders to secure a move towards more equal treatment.</w:t>
      </w:r>
    </w:p>
    <w:p w:rsidR="00285459" w:rsidRDefault="00285459">
      <w:r>
        <w:t xml:space="preserve">In the UK, the other </w:t>
      </w:r>
      <w:r w:rsidR="00191450">
        <w:t xml:space="preserve">major European </w:t>
      </w:r>
      <w:r>
        <w:t xml:space="preserve">country where the gender pension gap is notably higher than the EU average, similar disparities emerge, but for different reasons. </w:t>
      </w:r>
      <w:r w:rsidR="00D42A6B">
        <w:t>Since 2000, poor market returns and disappearing tax advantages have encouraged employers running occupational schemes on a defined benefit (DB) basis</w:t>
      </w:r>
      <w:r w:rsidR="00D27086">
        <w:t xml:space="preserve"> (where pension rights are based on final salary and offer a survivor’s benefit) to abandon them in favour of group pension arrangements where the pension are based on defined contributions (DC): the amount saved by each contributor, which offer no survivor’s benefit. Today, only about 13 per cent of workers covered by an occupational pension remain in a DB scheme. Until last year, there was no obligation on an employer to offer an occupational pension outside the public sector: in consequence very few part-time workers, who are largely women, get any cover at all.</w:t>
      </w:r>
      <w:r w:rsidR="005D30CB">
        <w:t xml:space="preserve"> </w:t>
      </w:r>
      <w:r>
        <w:t xml:space="preserve">In comparative terms, the treatment of women pensioners in the UK is poor. A recent review of pension schemes in the EU noted that Britain is nearly unique among member states in not offering pension credits to second tier pension accruals (outside the public sector) for career breaks due to child rearing, unemployment or the provision of social care. In consequence, the ‘at risk of poverty at age 65+’ index, which stands at 16 per cent for men and 22 per cent for women across the EU as a whole, displays a greater than 10 per cent gender </w:t>
      </w:r>
      <w:r w:rsidR="00191450">
        <w:t>disparity in the case of the UK</w:t>
      </w:r>
      <w:r w:rsidR="00191450">
        <w:rPr>
          <w:rStyle w:val="FootnoteReference"/>
        </w:rPr>
        <w:footnoteReference w:id="12"/>
      </w:r>
      <w:r w:rsidR="00191450">
        <w:t>.</w:t>
      </w:r>
      <w:r w:rsidR="0051731E">
        <w:t xml:space="preserve"> Current policy seeks to ameliorate the situation</w:t>
      </w:r>
      <w:r w:rsidR="001A1D98">
        <w:t>. First, plans are in place to raise the basic state pension, currently among the lowest in the developed world, above the means-tested Pension Credit</w:t>
      </w:r>
      <w:r w:rsidR="001A1D98">
        <w:rPr>
          <w:rStyle w:val="FootnoteReference"/>
        </w:rPr>
        <w:footnoteReference w:id="13"/>
      </w:r>
      <w:r w:rsidR="001A1D98">
        <w:t xml:space="preserve"> by 2017. Second, under a new scheme of auto-enrolment, introduced in the autumn of 2012 and run by the National Employment Savings Trust (NEST), private employers are obliged to register all employees for a personal pension and, unless the employee elects to ‘opt out’, are also obliged to match the worker’s contribution with their own. These new arrangements are primarily designed to improve the retirement income of the low paid – who are predominantly female.</w:t>
      </w:r>
      <w:r w:rsidR="004D49CC">
        <w:t xml:space="preserve"> Whether or not this eventuates remains to be seen.</w:t>
      </w:r>
    </w:p>
    <w:p w:rsidR="00311A4F" w:rsidRDefault="00311A4F">
      <w:r>
        <w:t>In both countries, therefore, positive steps have been taken to raise the security of pension income for women, but more is needed if female old age poverty is not to re-emerge as funded pension systems replace state schemes</w:t>
      </w:r>
    </w:p>
    <w:p w:rsidR="00311A4F" w:rsidRDefault="00311A4F" w:rsidP="00311A4F">
      <w:r>
        <w:rPr>
          <w:b/>
        </w:rPr>
        <w:t>Conclusions</w:t>
      </w:r>
    </w:p>
    <w:p w:rsidR="00311A4F" w:rsidRDefault="00311A4F" w:rsidP="00311A4F">
      <w:r>
        <w:t xml:space="preserve">Two contrasting conceptions of justice underpin the debate on women’s pensions and most European countries try to forge a compromise between them. First, as upheld by the insurance industry and reflected in recent promotion of private personal funded pensions, actuarial principle dictates that those who pay in the most should reap the greatest reward. In other words, those who </w:t>
      </w:r>
      <w:r>
        <w:lastRenderedPageBreak/>
        <w:t>save most assiduously for old age merit a better pension than those who do not. Such tenets underpin arguments, found both in pension literature and in pension policy that women should be taught to change their habits, to become more self-reliant and to put more money aside for their old age. The second body of argument focuses instead on issues of social justice and points to the much larger quantity of unwaged work undertaken by women in the home that prevents them earning (and saving) as much as men. In the words of a recent commentary ‘What women do or do not do in the labour market is closely linked to what men do or do not do in the home.’</w:t>
      </w:r>
      <w:r>
        <w:rPr>
          <w:rStyle w:val="FootnoteReference"/>
        </w:rPr>
        <w:footnoteReference w:id="14"/>
      </w:r>
      <w:r>
        <w:t xml:space="preserve"> Such arguments point specifically to questions of social care, pointing out not only the damage done to female career trajectories by child care obligations in key years of working life, but also the needs of older, frail family members that impose their own demands on women in their fifties and sixties. While the first receives some compensation in the form of care credits, the second does not. As pension ages rise to cope with greater longevity, so the needs of the elderly impose increasingly on the time and energies of their daughters, making it extremely difficult for women who should be in waged work to insist that their own careers and future pensions should take primacy over the needs of older relatives. As the care literature argues, the commodification of care work has its limits. It is simply inhuman to assume that all socially dependent people should be put into commercial or state-run homes to be cared for by strangers. The individualisation of social protection, the dominant trend in recent pension policy, does not recognise the social implications of the behaviour it seeks to promote. </w:t>
      </w:r>
    </w:p>
    <w:p w:rsidR="00311A4F" w:rsidRDefault="00311A4F" w:rsidP="00311A4F">
      <w:r>
        <w:t>Gender equality, we are coming to realise, is not attained when women are pushed into acting the same way as men: the goal requires both sexes to modify their expectations and behaviour. Without entering into the wider implications of this, we might note a few modifications of current pension policy that would further this principle. Occupational and personal pensions must be made more gender-friendly. First, as an absolute minimum, care for the old and frail (whose numbers, after all, are increasing at an accelerated rate) should be given the same credited protection as child care. Second, more attention needs to be paid to the ‘</w:t>
      </w:r>
      <w:proofErr w:type="spellStart"/>
      <w:r>
        <w:t>decumulation</w:t>
      </w:r>
      <w:proofErr w:type="spellEnd"/>
      <w:r>
        <w:t>’ phase of funded pension provision: the point at which savings are transformed into a pension. At minimum, an annuity should be required to be both index linked and to offer a survivor’s pension. Better still, following practices found in American regulations governing 401K schemes, any modification of investment or draw-down must be witnessed and countersigned by the spouse of the saver. Best of all, the principle of splitting pension savings between couples should be a requirement on retirement</w:t>
      </w:r>
      <w:r>
        <w:rPr>
          <w:rStyle w:val="FootnoteReference"/>
        </w:rPr>
        <w:footnoteReference w:id="15"/>
      </w:r>
      <w:r>
        <w:t>. In addition, the pay gap needs serious attention: in 2012 this stood at over 17 per cent for the EU as a whole. In both Germany and the UK it is worse – in Germany it is currently 23 per cent, which explains much of the yawning gender pension gap currently experienced by German retirees and merits the serious attention of German trade unions.</w:t>
      </w:r>
    </w:p>
    <w:p w:rsidR="00311A4F" w:rsidRPr="001A067A" w:rsidRDefault="00311A4F" w:rsidP="00311A4F">
      <w:r>
        <w:t xml:space="preserve">The outcomes of such measures, however, lie far in the distant future. Like an oil tanker, altering the course of pension policy takes an extraordinarily long time to have an effect. The generation that entered the labour market in the 1960s convinced that women should dedicate their energies and commitment to hearth and home are only now coming to retirement – and these women are far less likely than younger cohorts to have built up any pension rights of their own. If still married or widowed they – and their older sisters – still rely on their husbands’ pension benefit rights: if </w:t>
      </w:r>
      <w:r>
        <w:lastRenderedPageBreak/>
        <w:t xml:space="preserve">divorced, their highly precarious situation is likely to be reflected among claims to minimum state pensions (where these exist) or social assistance (where these do not).  This generation, who will be around for decades to come, still rely substantially on state pensions and the ambitions of various European governments to reduce state obligations to the elderly as funded systems take hold are likely to prove over-optimistic. In the immediate future, then, German trade unionists should appreciate the short-comings of the funded pension schemes that have been introduced (that, after all, benefit the middle classes far more than ordinary workers) and should fight to protect state pensions as the sole steady guarantor against the threat of future female poverty in old age. </w:t>
      </w:r>
    </w:p>
    <w:p w:rsidR="00311A4F" w:rsidRDefault="00311A4F"/>
    <w:sectPr w:rsidR="00311A4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FEB" w:rsidRDefault="00796FEB" w:rsidP="00E3296D">
      <w:pPr>
        <w:spacing w:after="0" w:line="240" w:lineRule="auto"/>
      </w:pPr>
      <w:r>
        <w:separator/>
      </w:r>
    </w:p>
  </w:endnote>
  <w:endnote w:type="continuationSeparator" w:id="0">
    <w:p w:rsidR="00796FEB" w:rsidRDefault="00796FEB" w:rsidP="00E329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Syntax LT Std">
    <w:altName w:val="Syntax LT St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FEB" w:rsidRDefault="00796FEB" w:rsidP="00E3296D">
      <w:pPr>
        <w:spacing w:after="0" w:line="240" w:lineRule="auto"/>
      </w:pPr>
      <w:r>
        <w:separator/>
      </w:r>
    </w:p>
  </w:footnote>
  <w:footnote w:type="continuationSeparator" w:id="0">
    <w:p w:rsidR="00796FEB" w:rsidRDefault="00796FEB" w:rsidP="00E3296D">
      <w:pPr>
        <w:spacing w:after="0" w:line="240" w:lineRule="auto"/>
      </w:pPr>
      <w:r>
        <w:continuationSeparator/>
      </w:r>
    </w:p>
  </w:footnote>
  <w:footnote w:id="1">
    <w:p w:rsidR="00E3296D" w:rsidRPr="00E3296D" w:rsidRDefault="00E3296D">
      <w:pPr>
        <w:pStyle w:val="FootnoteText"/>
      </w:pPr>
      <w:r>
        <w:rPr>
          <w:rStyle w:val="FootnoteReference"/>
        </w:rPr>
        <w:footnoteRef/>
      </w:r>
      <w:r>
        <w:t xml:space="preserve"> S. </w:t>
      </w:r>
      <w:proofErr w:type="spellStart"/>
      <w:r>
        <w:t>Hastmann</w:t>
      </w:r>
      <w:proofErr w:type="spellEnd"/>
      <w:r>
        <w:t xml:space="preserve"> and J. </w:t>
      </w:r>
      <w:proofErr w:type="spellStart"/>
      <w:r>
        <w:t>Huellsman</w:t>
      </w:r>
      <w:proofErr w:type="spellEnd"/>
      <w:r>
        <w:t xml:space="preserve"> (2009) </w:t>
      </w:r>
      <w:r>
        <w:rPr>
          <w:i/>
        </w:rPr>
        <w:t>The Socio-Economic Impact of Pension Systems on Women</w:t>
      </w:r>
      <w:r>
        <w:t xml:space="preserve"> study financed by the EC: DG for Employment, Social Affairs and Equal Opportunities: 49.</w:t>
      </w:r>
    </w:p>
  </w:footnote>
  <w:footnote w:id="2">
    <w:p w:rsidR="00F77173" w:rsidRPr="00F77173" w:rsidRDefault="00F77173">
      <w:pPr>
        <w:pStyle w:val="FootnoteText"/>
      </w:pPr>
      <w:r>
        <w:rPr>
          <w:rStyle w:val="FootnoteReference"/>
        </w:rPr>
        <w:footnoteRef/>
      </w:r>
      <w:r>
        <w:t xml:space="preserve"> </w:t>
      </w:r>
      <w:r>
        <w:rPr>
          <w:i/>
        </w:rPr>
        <w:t>Effect of Life Courses on Women’s Pensions</w:t>
      </w:r>
      <w:r>
        <w:t xml:space="preserve"> (2012) synthesis report: EC Review on Social Protection and Social Inclusion (2011): DG Employment, Soci</w:t>
      </w:r>
      <w:r w:rsidR="002140AE">
        <w:t>al</w:t>
      </w:r>
      <w:r>
        <w:t xml:space="preserve"> </w:t>
      </w:r>
      <w:r w:rsidR="00DB2D64">
        <w:t>Affairs and Inclusion [PROGRESS]. This covers reports from Austria, Czech Republic, France, Hungary Spain, Italy, Luxembourg, Netherlands and Sweden.</w:t>
      </w:r>
    </w:p>
  </w:footnote>
  <w:footnote w:id="3">
    <w:p w:rsidR="00CC2F7D" w:rsidRDefault="00CC2F7D" w:rsidP="00303E13">
      <w:pPr>
        <w:spacing w:after="0" w:line="240" w:lineRule="auto"/>
      </w:pPr>
      <w:r>
        <w:rPr>
          <w:rStyle w:val="FootnoteReference"/>
        </w:rPr>
        <w:footnoteRef/>
      </w:r>
      <w:r>
        <w:t xml:space="preserve"> </w:t>
      </w:r>
      <w:r w:rsidRPr="00CC2F7D">
        <w:rPr>
          <w:sz w:val="20"/>
          <w:szCs w:val="20"/>
        </w:rPr>
        <w:t>J. Lewis.(</w:t>
      </w:r>
      <w:proofErr w:type="spellStart"/>
      <w:r w:rsidRPr="00CC2F7D">
        <w:rPr>
          <w:sz w:val="20"/>
          <w:szCs w:val="20"/>
        </w:rPr>
        <w:t>ed</w:t>
      </w:r>
      <w:proofErr w:type="spellEnd"/>
      <w:r w:rsidRPr="00CC2F7D">
        <w:rPr>
          <w:sz w:val="20"/>
          <w:szCs w:val="20"/>
        </w:rPr>
        <w:t xml:space="preserve">), </w:t>
      </w:r>
      <w:r w:rsidR="00DF5E02">
        <w:rPr>
          <w:sz w:val="20"/>
          <w:szCs w:val="20"/>
        </w:rPr>
        <w:t>(</w:t>
      </w:r>
      <w:r w:rsidRPr="00CC2F7D">
        <w:rPr>
          <w:sz w:val="20"/>
          <w:szCs w:val="20"/>
        </w:rPr>
        <w:t>1998</w:t>
      </w:r>
      <w:r w:rsidR="00DF5E02">
        <w:rPr>
          <w:sz w:val="20"/>
          <w:szCs w:val="20"/>
        </w:rPr>
        <w:t>)</w:t>
      </w:r>
      <w:r w:rsidRPr="00CC2F7D">
        <w:rPr>
          <w:sz w:val="20"/>
          <w:szCs w:val="20"/>
        </w:rPr>
        <w:t xml:space="preserve"> </w:t>
      </w:r>
      <w:r w:rsidRPr="00CC2F7D">
        <w:rPr>
          <w:i/>
          <w:sz w:val="20"/>
          <w:szCs w:val="20"/>
        </w:rPr>
        <w:t>Social Care, Gender and Welfare State Restructuring in Europe</w:t>
      </w:r>
      <w:r w:rsidRPr="00CC2F7D">
        <w:rPr>
          <w:sz w:val="20"/>
          <w:szCs w:val="20"/>
        </w:rPr>
        <w:t xml:space="preserve">, Aldershot, </w:t>
      </w:r>
      <w:proofErr w:type="spellStart"/>
      <w:r w:rsidRPr="00CC2F7D">
        <w:rPr>
          <w:sz w:val="20"/>
          <w:szCs w:val="20"/>
        </w:rPr>
        <w:t>Ashgate</w:t>
      </w:r>
      <w:proofErr w:type="spellEnd"/>
      <w:r>
        <w:rPr>
          <w:sz w:val="20"/>
          <w:szCs w:val="20"/>
        </w:rPr>
        <w:t xml:space="preserve">; also </w:t>
      </w:r>
      <w:r>
        <w:t xml:space="preserve">J. </w:t>
      </w:r>
      <w:r w:rsidRPr="00CC2F7D">
        <w:rPr>
          <w:sz w:val="20"/>
          <w:szCs w:val="20"/>
        </w:rPr>
        <w:t xml:space="preserve">Lewis and S. </w:t>
      </w:r>
      <w:proofErr w:type="spellStart"/>
      <w:r w:rsidRPr="00CC2F7D">
        <w:rPr>
          <w:sz w:val="20"/>
          <w:szCs w:val="20"/>
        </w:rPr>
        <w:t>Guiliari</w:t>
      </w:r>
      <w:proofErr w:type="spellEnd"/>
      <w:r w:rsidR="00DF5E02">
        <w:rPr>
          <w:sz w:val="20"/>
          <w:szCs w:val="20"/>
        </w:rPr>
        <w:t xml:space="preserve"> (</w:t>
      </w:r>
      <w:r w:rsidRPr="00CC2F7D">
        <w:rPr>
          <w:sz w:val="20"/>
          <w:szCs w:val="20"/>
        </w:rPr>
        <w:t>2005</w:t>
      </w:r>
      <w:r w:rsidR="00DF5E02">
        <w:rPr>
          <w:sz w:val="20"/>
          <w:szCs w:val="20"/>
        </w:rPr>
        <w:t>)</w:t>
      </w:r>
      <w:r w:rsidRPr="00CC2F7D">
        <w:rPr>
          <w:sz w:val="20"/>
          <w:szCs w:val="20"/>
        </w:rPr>
        <w:t xml:space="preserve"> ‘The adult worker model, family, gender equality and care’, </w:t>
      </w:r>
      <w:r w:rsidRPr="00CC2F7D">
        <w:rPr>
          <w:i/>
          <w:sz w:val="20"/>
          <w:szCs w:val="20"/>
        </w:rPr>
        <w:t xml:space="preserve">Economy and Society, </w:t>
      </w:r>
      <w:r w:rsidRPr="00CC2F7D">
        <w:rPr>
          <w:sz w:val="20"/>
          <w:szCs w:val="20"/>
        </w:rPr>
        <w:t>34, 1, 76-104</w:t>
      </w:r>
    </w:p>
  </w:footnote>
  <w:footnote w:id="4">
    <w:p w:rsidR="00303E13" w:rsidRPr="00303E13" w:rsidRDefault="00303E13">
      <w:pPr>
        <w:pStyle w:val="FootnoteText"/>
        <w:rPr>
          <w:i/>
        </w:rPr>
      </w:pPr>
      <w:r>
        <w:rPr>
          <w:rStyle w:val="FootnoteReference"/>
        </w:rPr>
        <w:footnoteRef/>
      </w:r>
      <w:r>
        <w:t xml:space="preserve"> </w:t>
      </w:r>
      <w:proofErr w:type="gramStart"/>
      <w:r>
        <w:t xml:space="preserve">Scottish Widows, (2012) </w:t>
      </w:r>
      <w:r>
        <w:rPr>
          <w:i/>
        </w:rPr>
        <w:t>Women and Pensions Report.</w:t>
      </w:r>
      <w:proofErr w:type="gramEnd"/>
      <w:r>
        <w:rPr>
          <w:i/>
        </w:rPr>
        <w:t xml:space="preserve"> </w:t>
      </w:r>
    </w:p>
  </w:footnote>
  <w:footnote w:id="5">
    <w:p w:rsidR="00DF5E02" w:rsidRDefault="00DF5E02" w:rsidP="00DF5E02">
      <w:pPr>
        <w:autoSpaceDE w:val="0"/>
        <w:autoSpaceDN w:val="0"/>
        <w:adjustRightInd w:val="0"/>
        <w:spacing w:after="0" w:line="240" w:lineRule="auto"/>
        <w:rPr>
          <w:rFonts w:ascii="Times New Roman" w:hAnsi="Times New Roman" w:cs="Times New Roman"/>
          <w:sz w:val="24"/>
          <w:szCs w:val="24"/>
        </w:rPr>
      </w:pPr>
      <w:r>
        <w:rPr>
          <w:rStyle w:val="FootnoteReference"/>
        </w:rPr>
        <w:footnoteRef/>
      </w:r>
      <w:r>
        <w:t xml:space="preserve"> </w:t>
      </w:r>
      <w:r>
        <w:rPr>
          <w:sz w:val="20"/>
          <w:szCs w:val="20"/>
        </w:rPr>
        <w:t xml:space="preserve">T. </w:t>
      </w:r>
      <w:proofErr w:type="spellStart"/>
      <w:r>
        <w:rPr>
          <w:sz w:val="20"/>
          <w:szCs w:val="20"/>
        </w:rPr>
        <w:t>Sefton</w:t>
      </w:r>
      <w:proofErr w:type="spellEnd"/>
      <w:r>
        <w:rPr>
          <w:sz w:val="20"/>
          <w:szCs w:val="20"/>
        </w:rPr>
        <w:t xml:space="preserve">, M. </w:t>
      </w:r>
      <w:proofErr w:type="spellStart"/>
      <w:r>
        <w:rPr>
          <w:sz w:val="20"/>
          <w:szCs w:val="20"/>
        </w:rPr>
        <w:t>Evandrou</w:t>
      </w:r>
      <w:proofErr w:type="spellEnd"/>
      <w:r>
        <w:rPr>
          <w:sz w:val="20"/>
          <w:szCs w:val="20"/>
        </w:rPr>
        <w:t xml:space="preserve"> and J. </w:t>
      </w:r>
      <w:proofErr w:type="spellStart"/>
      <w:r>
        <w:rPr>
          <w:sz w:val="20"/>
          <w:szCs w:val="20"/>
        </w:rPr>
        <w:t>Falkington</w:t>
      </w:r>
      <w:proofErr w:type="spellEnd"/>
      <w:r>
        <w:rPr>
          <w:sz w:val="20"/>
          <w:szCs w:val="20"/>
        </w:rPr>
        <w:t xml:space="preserve"> (2010) ‘Family ties: women’s work and family histories and their association with incomes in later life’</w:t>
      </w:r>
      <w:r w:rsidRPr="00DF5E02">
        <w:rPr>
          <w:rFonts w:ascii="Times New Roman" w:hAnsi="Times New Roman" w:cs="Times New Roman"/>
          <w:i/>
          <w:iCs/>
          <w:sz w:val="24"/>
          <w:szCs w:val="24"/>
        </w:rPr>
        <w:t xml:space="preserve"> </w:t>
      </w:r>
      <w:r w:rsidRPr="00DF5E02">
        <w:rPr>
          <w:rFonts w:cstheme="minorHAnsi"/>
          <w:i/>
          <w:iCs/>
          <w:sz w:val="20"/>
          <w:szCs w:val="20"/>
        </w:rPr>
        <w:t xml:space="preserve">Journal. </w:t>
      </w:r>
      <w:proofErr w:type="gramStart"/>
      <w:r w:rsidRPr="00DF5E02">
        <w:rPr>
          <w:rFonts w:cstheme="minorHAnsi"/>
          <w:i/>
          <w:iCs/>
          <w:sz w:val="20"/>
          <w:szCs w:val="20"/>
        </w:rPr>
        <w:t>of</w:t>
      </w:r>
      <w:proofErr w:type="gramEnd"/>
      <w:r w:rsidRPr="00DF5E02">
        <w:rPr>
          <w:rFonts w:cstheme="minorHAnsi"/>
          <w:i/>
          <w:iCs/>
          <w:sz w:val="20"/>
          <w:szCs w:val="20"/>
        </w:rPr>
        <w:t xml:space="preserve"> Social Policy</w:t>
      </w:r>
      <w:r>
        <w:rPr>
          <w:rFonts w:cstheme="minorHAnsi"/>
          <w:sz w:val="20"/>
          <w:szCs w:val="20"/>
        </w:rPr>
        <w:t xml:space="preserve">, </w:t>
      </w:r>
      <w:r w:rsidRPr="00DF5E02">
        <w:rPr>
          <w:rFonts w:cstheme="minorHAnsi"/>
          <w:sz w:val="20"/>
          <w:szCs w:val="20"/>
        </w:rPr>
        <w:t>39, 3</w:t>
      </w:r>
      <w:r>
        <w:rPr>
          <w:rFonts w:cstheme="minorHAnsi"/>
          <w:sz w:val="20"/>
          <w:szCs w:val="20"/>
        </w:rPr>
        <w:t>.</w:t>
      </w:r>
    </w:p>
    <w:p w:rsidR="00DF5E02" w:rsidRDefault="00DF5E02" w:rsidP="00DF5E02">
      <w:pPr>
        <w:pStyle w:val="FootnoteText"/>
      </w:pPr>
      <w:r>
        <w:rPr>
          <w:rFonts w:ascii="Times New Roman" w:hAnsi="Times New Roman" w:cs="Times New Roman"/>
          <w:sz w:val="24"/>
          <w:szCs w:val="24"/>
        </w:rPr>
        <w:t>.</w:t>
      </w:r>
    </w:p>
  </w:footnote>
  <w:footnote w:id="6">
    <w:p w:rsidR="00061B62" w:rsidRDefault="00061B62">
      <w:pPr>
        <w:pStyle w:val="FootnoteText"/>
      </w:pPr>
      <w:r>
        <w:rPr>
          <w:rStyle w:val="FootnoteReference"/>
        </w:rPr>
        <w:footnoteRef/>
      </w:r>
      <w:r>
        <w:t xml:space="preserve"> Scottish Widows, (2009), </w:t>
      </w:r>
      <w:r>
        <w:rPr>
          <w:i/>
        </w:rPr>
        <w:t>Women and Pensions Report</w:t>
      </w:r>
      <w:r>
        <w:rPr>
          <w:i/>
        </w:rPr>
        <w:t>.</w:t>
      </w:r>
    </w:p>
  </w:footnote>
  <w:footnote w:id="7">
    <w:p w:rsidR="0048192D" w:rsidRDefault="0048192D">
      <w:pPr>
        <w:pStyle w:val="FootnoteText"/>
      </w:pPr>
      <w:r>
        <w:rPr>
          <w:rStyle w:val="FootnoteReference"/>
        </w:rPr>
        <w:footnoteRef/>
      </w:r>
      <w:r>
        <w:t xml:space="preserve"> In 2004, an EC Directive rendered gender discrimination in the sale of goods and services illegal, with a seven year moratorium placed on insurance products. In 2011, the European Court of Justice, in a case brought by a Belgian consumer group, ruled that gender discrimination in the sale of annuities (and all other insurance products) was illegal.</w:t>
      </w:r>
    </w:p>
  </w:footnote>
  <w:footnote w:id="8">
    <w:p w:rsidR="007242AC" w:rsidRDefault="007242AC">
      <w:pPr>
        <w:pStyle w:val="FootnoteText"/>
      </w:pPr>
      <w:r>
        <w:rPr>
          <w:rStyle w:val="FootnoteReference"/>
        </w:rPr>
        <w:footnoteRef/>
      </w:r>
      <w:r>
        <w:t xml:space="preserve"> E.g. A.G </w:t>
      </w:r>
      <w:proofErr w:type="spellStart"/>
      <w:r>
        <w:t>Grech</w:t>
      </w:r>
      <w:proofErr w:type="spellEnd"/>
      <w:r>
        <w:t>, (2010), ‘Assessing the sustainability of pension reforms in Europe’ (LSE CASE paper no. 140)</w:t>
      </w:r>
    </w:p>
  </w:footnote>
  <w:footnote w:id="9">
    <w:p w:rsidR="004F2064" w:rsidRDefault="004F2064">
      <w:pPr>
        <w:pStyle w:val="FootnoteText"/>
      </w:pPr>
      <w:r>
        <w:rPr>
          <w:rStyle w:val="FootnoteReference"/>
        </w:rPr>
        <w:footnoteRef/>
      </w:r>
      <w:r>
        <w:t xml:space="preserve"> Ref EC Green and White Papers</w:t>
      </w:r>
    </w:p>
  </w:footnote>
  <w:footnote w:id="10">
    <w:p w:rsidR="003B0569" w:rsidRDefault="003B0569">
      <w:pPr>
        <w:pStyle w:val="FootnoteText"/>
      </w:pPr>
      <w:r>
        <w:rPr>
          <w:rStyle w:val="FootnoteReference"/>
        </w:rPr>
        <w:footnoteRef/>
      </w:r>
      <w:r>
        <w:t xml:space="preserve"> Ref Fiona Williams</w:t>
      </w:r>
    </w:p>
  </w:footnote>
  <w:footnote w:id="11">
    <w:p w:rsidR="007F61B0" w:rsidRPr="00D917A1" w:rsidRDefault="007F61B0">
      <w:pPr>
        <w:pStyle w:val="FootnoteText"/>
      </w:pPr>
      <w:r>
        <w:rPr>
          <w:rStyle w:val="FootnoteReference"/>
        </w:rPr>
        <w:footnoteRef/>
      </w:r>
      <w:r>
        <w:t xml:space="preserve"> </w:t>
      </w:r>
      <w:r w:rsidR="00247A69">
        <w:t xml:space="preserve">German </w:t>
      </w:r>
      <w:r>
        <w:t xml:space="preserve">Federal Ministry for Family Affairs, Senior Citizens and Youth (2011), </w:t>
      </w:r>
      <w:r>
        <w:rPr>
          <w:i/>
        </w:rPr>
        <w:t xml:space="preserve">Women’s biographical patterns and pension </w:t>
      </w:r>
      <w:r w:rsidR="00D917A1">
        <w:rPr>
          <w:i/>
        </w:rPr>
        <w:t xml:space="preserve">income </w:t>
      </w:r>
      <w:r>
        <w:rPr>
          <w:i/>
        </w:rPr>
        <w:t>prospects: Executive Summary</w:t>
      </w:r>
      <w:r w:rsidR="00D917A1">
        <w:t>.</w:t>
      </w:r>
    </w:p>
  </w:footnote>
  <w:footnote w:id="12">
    <w:p w:rsidR="00191450" w:rsidRDefault="00191450" w:rsidP="00191450">
      <w:pPr>
        <w:autoSpaceDE w:val="0"/>
        <w:autoSpaceDN w:val="0"/>
        <w:adjustRightInd w:val="0"/>
        <w:spacing w:after="0" w:line="240" w:lineRule="auto"/>
      </w:pPr>
      <w:r>
        <w:rPr>
          <w:rStyle w:val="FootnoteReference"/>
        </w:rPr>
        <w:footnoteRef/>
      </w:r>
      <w:r>
        <w:t xml:space="preserve"> </w:t>
      </w:r>
      <w:r w:rsidRPr="00191450">
        <w:rPr>
          <w:rFonts w:cstheme="minorHAnsi"/>
          <w:sz w:val="20"/>
          <w:szCs w:val="20"/>
        </w:rPr>
        <w:t>European Commission Economic Policy Committee and Social Protection</w:t>
      </w:r>
      <w:r>
        <w:rPr>
          <w:rFonts w:cstheme="minorHAnsi"/>
          <w:sz w:val="20"/>
          <w:szCs w:val="20"/>
        </w:rPr>
        <w:t xml:space="preserve"> </w:t>
      </w:r>
      <w:r w:rsidRPr="00191450">
        <w:rPr>
          <w:rFonts w:cstheme="minorHAnsi"/>
          <w:sz w:val="20"/>
          <w:szCs w:val="20"/>
        </w:rPr>
        <w:t xml:space="preserve">Committee, </w:t>
      </w:r>
      <w:r>
        <w:rPr>
          <w:rFonts w:cstheme="minorHAnsi"/>
          <w:sz w:val="20"/>
          <w:szCs w:val="20"/>
        </w:rPr>
        <w:t>(</w:t>
      </w:r>
      <w:r w:rsidRPr="00191450">
        <w:rPr>
          <w:rFonts w:cstheme="minorHAnsi"/>
          <w:sz w:val="20"/>
          <w:szCs w:val="20"/>
        </w:rPr>
        <w:t>2010</w:t>
      </w:r>
      <w:r>
        <w:rPr>
          <w:rFonts w:cstheme="minorHAnsi"/>
          <w:sz w:val="20"/>
          <w:szCs w:val="20"/>
        </w:rPr>
        <w:t>)</w:t>
      </w:r>
      <w:r w:rsidRPr="00191450">
        <w:rPr>
          <w:rFonts w:cstheme="minorHAnsi"/>
          <w:sz w:val="20"/>
          <w:szCs w:val="20"/>
        </w:rPr>
        <w:t xml:space="preserve"> </w:t>
      </w:r>
      <w:r w:rsidRPr="00191450">
        <w:rPr>
          <w:rFonts w:cstheme="minorHAnsi"/>
          <w:i/>
          <w:iCs/>
          <w:sz w:val="20"/>
          <w:szCs w:val="20"/>
        </w:rPr>
        <w:t xml:space="preserve">Interim Report of EPC – SPC on Pensions </w:t>
      </w:r>
      <w:r w:rsidRPr="00191450">
        <w:rPr>
          <w:rFonts w:cstheme="minorHAnsi"/>
          <w:sz w:val="20"/>
          <w:szCs w:val="20"/>
        </w:rPr>
        <w:t>(SOC 359: ECOFIN</w:t>
      </w:r>
      <w:r>
        <w:rPr>
          <w:rFonts w:cstheme="minorHAnsi"/>
        </w:rPr>
        <w:t xml:space="preserve"> 289)</w:t>
      </w:r>
    </w:p>
  </w:footnote>
  <w:footnote w:id="13">
    <w:p w:rsidR="001A1D98" w:rsidRDefault="001A1D98">
      <w:pPr>
        <w:pStyle w:val="FootnoteText"/>
      </w:pPr>
      <w:r>
        <w:rPr>
          <w:rStyle w:val="FootnoteReference"/>
        </w:rPr>
        <w:footnoteRef/>
      </w:r>
      <w:r>
        <w:t xml:space="preserve"> Introduced by the last Labour government, Pension Credit offers pensioners without other resources a top-up to the state pension. The existence of this additional benefit, it is widely believed, is a disincentive on the low paid to save as a small funded pension offers no real advantage but merely removes the claimant’s right to Pension Credit.</w:t>
      </w:r>
    </w:p>
  </w:footnote>
  <w:footnote w:id="14">
    <w:p w:rsidR="00311A4F" w:rsidRPr="005E3674" w:rsidRDefault="00311A4F" w:rsidP="00311A4F">
      <w:pPr>
        <w:pStyle w:val="FootnoteText"/>
      </w:pPr>
      <w:r>
        <w:rPr>
          <w:rStyle w:val="FootnoteReference"/>
        </w:rPr>
        <w:footnoteRef/>
      </w:r>
      <w:r>
        <w:t xml:space="preserve"> </w:t>
      </w:r>
      <w:r>
        <w:rPr>
          <w:i/>
        </w:rPr>
        <w:t xml:space="preserve">Effect of Life Courses … </w:t>
      </w:r>
      <w:r>
        <w:t>op. cit.: 22.</w:t>
      </w:r>
    </w:p>
  </w:footnote>
  <w:footnote w:id="15">
    <w:p w:rsidR="00311A4F" w:rsidRDefault="00311A4F" w:rsidP="00311A4F">
      <w:pPr>
        <w:pStyle w:val="FootnoteText"/>
      </w:pPr>
      <w:r>
        <w:rPr>
          <w:rStyle w:val="FootnoteReference"/>
        </w:rPr>
        <w:footnoteRef/>
      </w:r>
      <w:r>
        <w:t xml:space="preserve"> </w:t>
      </w:r>
      <w:proofErr w:type="gramStart"/>
      <w:r>
        <w:t>Ibid. Conclusions.</w:t>
      </w:r>
      <w:proofErr w:type="gramEnd"/>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A3D"/>
    <w:rsid w:val="00007C22"/>
    <w:rsid w:val="00061B62"/>
    <w:rsid w:val="000D4CF2"/>
    <w:rsid w:val="00191450"/>
    <w:rsid w:val="001A1D98"/>
    <w:rsid w:val="001B184E"/>
    <w:rsid w:val="00203889"/>
    <w:rsid w:val="002140AE"/>
    <w:rsid w:val="002330CF"/>
    <w:rsid w:val="00247A69"/>
    <w:rsid w:val="00277814"/>
    <w:rsid w:val="00285459"/>
    <w:rsid w:val="00287937"/>
    <w:rsid w:val="00303E13"/>
    <w:rsid w:val="00311A4F"/>
    <w:rsid w:val="003239E8"/>
    <w:rsid w:val="00354736"/>
    <w:rsid w:val="003B0569"/>
    <w:rsid w:val="003B4BE6"/>
    <w:rsid w:val="004276FA"/>
    <w:rsid w:val="00475BDF"/>
    <w:rsid w:val="0048192D"/>
    <w:rsid w:val="004D49CC"/>
    <w:rsid w:val="004F2064"/>
    <w:rsid w:val="0051731E"/>
    <w:rsid w:val="00541C04"/>
    <w:rsid w:val="00560EDC"/>
    <w:rsid w:val="005C0171"/>
    <w:rsid w:val="005D30CB"/>
    <w:rsid w:val="00604DBC"/>
    <w:rsid w:val="00676DBC"/>
    <w:rsid w:val="006936C2"/>
    <w:rsid w:val="007242AC"/>
    <w:rsid w:val="00796FEB"/>
    <w:rsid w:val="007F61B0"/>
    <w:rsid w:val="008A1079"/>
    <w:rsid w:val="008A507B"/>
    <w:rsid w:val="008D0059"/>
    <w:rsid w:val="00995279"/>
    <w:rsid w:val="009C01AE"/>
    <w:rsid w:val="00B2159A"/>
    <w:rsid w:val="00B52FEE"/>
    <w:rsid w:val="00B62F3D"/>
    <w:rsid w:val="00BB5A0C"/>
    <w:rsid w:val="00BE4653"/>
    <w:rsid w:val="00BE6B1C"/>
    <w:rsid w:val="00C235A1"/>
    <w:rsid w:val="00C2471D"/>
    <w:rsid w:val="00C24EAA"/>
    <w:rsid w:val="00C71EC0"/>
    <w:rsid w:val="00C7739E"/>
    <w:rsid w:val="00CC2F7D"/>
    <w:rsid w:val="00CE0187"/>
    <w:rsid w:val="00D17B3B"/>
    <w:rsid w:val="00D27086"/>
    <w:rsid w:val="00D42A6B"/>
    <w:rsid w:val="00D74777"/>
    <w:rsid w:val="00D856C9"/>
    <w:rsid w:val="00D917A1"/>
    <w:rsid w:val="00DA4FE8"/>
    <w:rsid w:val="00DB2D64"/>
    <w:rsid w:val="00DB7747"/>
    <w:rsid w:val="00DF5E02"/>
    <w:rsid w:val="00E047A2"/>
    <w:rsid w:val="00E3296D"/>
    <w:rsid w:val="00E51BF9"/>
    <w:rsid w:val="00E549E2"/>
    <w:rsid w:val="00E566B2"/>
    <w:rsid w:val="00E77C4D"/>
    <w:rsid w:val="00ED06D9"/>
    <w:rsid w:val="00EF5A3D"/>
    <w:rsid w:val="00F7083B"/>
    <w:rsid w:val="00F771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329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296D"/>
    <w:rPr>
      <w:sz w:val="20"/>
      <w:szCs w:val="20"/>
    </w:rPr>
  </w:style>
  <w:style w:type="character" w:styleId="FootnoteReference">
    <w:name w:val="footnote reference"/>
    <w:basedOn w:val="DefaultParagraphFont"/>
    <w:uiPriority w:val="99"/>
    <w:semiHidden/>
    <w:unhideWhenUsed/>
    <w:rsid w:val="00E3296D"/>
    <w:rPr>
      <w:vertAlign w:val="superscript"/>
    </w:rPr>
  </w:style>
  <w:style w:type="character" w:customStyle="1" w:styleId="A9">
    <w:name w:val="A9"/>
    <w:uiPriority w:val="99"/>
    <w:rsid w:val="009C01AE"/>
    <w:rPr>
      <w:rFonts w:cs="Syntax LT Std"/>
      <w:color w:val="000000"/>
      <w:sz w:val="10"/>
      <w:szCs w:val="1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329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296D"/>
    <w:rPr>
      <w:sz w:val="20"/>
      <w:szCs w:val="20"/>
    </w:rPr>
  </w:style>
  <w:style w:type="character" w:styleId="FootnoteReference">
    <w:name w:val="footnote reference"/>
    <w:basedOn w:val="DefaultParagraphFont"/>
    <w:uiPriority w:val="99"/>
    <w:semiHidden/>
    <w:unhideWhenUsed/>
    <w:rsid w:val="00E3296D"/>
    <w:rPr>
      <w:vertAlign w:val="superscript"/>
    </w:rPr>
  </w:style>
  <w:style w:type="character" w:customStyle="1" w:styleId="A9">
    <w:name w:val="A9"/>
    <w:uiPriority w:val="99"/>
    <w:rsid w:val="009C01AE"/>
    <w:rPr>
      <w:rFonts w:cs="Syntax LT Std"/>
      <w:color w:val="000000"/>
      <w:sz w:val="10"/>
      <w:szCs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9890E7-008E-47FF-B03C-E68CD0659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1705</TotalTime>
  <Pages>8</Pages>
  <Words>3815</Words>
  <Characters>21444</Characters>
  <Application>Microsoft Office Word</Application>
  <DocSecurity>0</DocSecurity>
  <Lines>289</Lines>
  <Paragraphs>22</Paragraphs>
  <ScaleCrop>false</ScaleCrop>
  <HeadingPairs>
    <vt:vector size="2" baseType="variant">
      <vt:variant>
        <vt:lpstr>Title</vt:lpstr>
      </vt:variant>
      <vt:variant>
        <vt:i4>1</vt:i4>
      </vt:variant>
    </vt:vector>
  </HeadingPairs>
  <TitlesOfParts>
    <vt:vector size="1" baseType="lpstr">
      <vt:lpstr/>
    </vt:vector>
  </TitlesOfParts>
  <Company>The University of Sheffield</Company>
  <LinksUpToDate>false</LinksUpToDate>
  <CharactersWithSpaces>25237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Noel</dc:creator>
  <cp:keywords/>
  <dc:description/>
  <cp:lastModifiedBy>Noel</cp:lastModifiedBy>
  <cp:revision>41</cp:revision>
  <dcterms:created xsi:type="dcterms:W3CDTF">2013-02-01T16:39:00Z</dcterms:created>
  <dcterms:modified xsi:type="dcterms:W3CDTF">2013-02-03T18:04:00Z</dcterms:modified>
</cp:coreProperties>
</file>