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323337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2E74B5" w:themeColor="accent1" w:themeShade="BF"/>
          <w:sz w:val="24"/>
          <w:szCs w:val="24"/>
        </w:rPr>
      </w:sdtEndPr>
      <w:sdtContent>
        <w:p w:rsidR="005C092B" w:rsidRPr="00C04697" w:rsidRDefault="00C04697">
          <w:pPr>
            <w:rPr>
              <w:rFonts w:ascii="Arial" w:hAnsi="Arial" w:cs="Arial"/>
              <w:b/>
              <w:color w:val="2E74B5" w:themeColor="accent1" w:themeShade="BF"/>
              <w:sz w:val="24"/>
              <w:szCs w:val="24"/>
            </w:rPr>
          </w:pPr>
          <w:r w:rsidRPr="00C04697">
            <w:rPr>
              <w:b/>
              <w:color w:val="2E74B5" w:themeColor="accent1" w:themeShade="BF"/>
            </w:rPr>
            <w:t xml:space="preserve">Risk Assessment Form </w:t>
          </w:r>
          <w:r w:rsidR="00F74966">
            <w:rPr>
              <w:b/>
              <w:color w:val="2E74B5" w:themeColor="accent1" w:themeShade="BF"/>
            </w:rPr>
            <w:t>– RA-</w:t>
          </w:r>
          <w:r w:rsidR="003710BE" w:rsidRPr="003710BE">
            <w:t xml:space="preserve"> </w:t>
          </w:r>
          <w:r w:rsidR="000E6B25">
            <w:rPr>
              <w:b/>
              <w:color w:val="2E74B5" w:themeColor="accent1" w:themeShade="BF"/>
            </w:rPr>
            <w:t>Vairable</w:t>
          </w:r>
          <w:r w:rsidR="003710BE">
            <w:rPr>
              <w:b/>
              <w:color w:val="2E74B5" w:themeColor="accent1" w:themeShade="BF"/>
            </w:rPr>
            <w:t>Temperature</w:t>
          </w:r>
          <w:r w:rsidR="003710BE" w:rsidRPr="003710BE">
            <w:rPr>
              <w:b/>
              <w:color w:val="2E74B5" w:themeColor="accent1" w:themeShade="BF"/>
            </w:rPr>
            <w:t>Raman</w:t>
          </w:r>
          <w:r w:rsidR="00F74966">
            <w:rPr>
              <w:b/>
              <w:color w:val="2E74B5" w:themeColor="accent1" w:themeShade="BF"/>
            </w:rPr>
            <w:t>_V1</w:t>
          </w:r>
          <w:r w:rsidR="003C1993">
            <w:rPr>
              <w:b/>
              <w:color w:val="2E74B5" w:themeColor="accent1" w:themeShade="BF"/>
            </w:rPr>
            <w:t>.1</w:t>
          </w:r>
        </w:p>
      </w:sdtContent>
    </w:sdt>
    <w:p w:rsidR="00C04697" w:rsidRDefault="00C04697" w:rsidP="00C0469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802"/>
        <w:gridCol w:w="1498"/>
        <w:gridCol w:w="1283"/>
        <w:gridCol w:w="1368"/>
        <w:gridCol w:w="1422"/>
        <w:gridCol w:w="2790"/>
      </w:tblGrid>
      <w:tr w:rsidR="00C04697" w:rsidTr="00A0497C"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C04697" w:rsidRDefault="00C04697" w:rsidP="003C4632">
            <w:pPr>
              <w:jc w:val="right"/>
            </w:pPr>
            <w:r>
              <w:t>Title of Assessment</w:t>
            </w:r>
          </w:p>
        </w:tc>
        <w:tc>
          <w:tcPr>
            <w:tcW w:w="5583" w:type="dxa"/>
            <w:gridSpan w:val="3"/>
          </w:tcPr>
          <w:p w:rsidR="00C04697" w:rsidRDefault="000E6B25" w:rsidP="003C4632">
            <w:r>
              <w:t xml:space="preserve">Variable </w:t>
            </w:r>
            <w:r w:rsidR="003710BE">
              <w:t xml:space="preserve">Temperature Raman/Photoluminescence 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:rsidR="00C04697" w:rsidRDefault="00C04697" w:rsidP="003C4632">
            <w:pPr>
              <w:jc w:val="right"/>
            </w:pPr>
            <w:r>
              <w:t xml:space="preserve">                Date of assessment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04697" w:rsidRDefault="000E6B25" w:rsidP="003C1993">
            <w:pPr>
              <w:jc w:val="center"/>
            </w:pPr>
            <w:r>
              <w:t>05/0</w:t>
            </w:r>
            <w:r w:rsidR="000F4058">
              <w:t>1/</w:t>
            </w:r>
            <w:r>
              <w:t>2018</w:t>
            </w:r>
          </w:p>
        </w:tc>
      </w:tr>
      <w:tr w:rsidR="00C04697" w:rsidTr="00A0497C">
        <w:trPr>
          <w:trHeight w:val="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3C4632">
            <w:pPr>
              <w:jc w:val="right"/>
            </w:pPr>
          </w:p>
        </w:tc>
        <w:tc>
          <w:tcPr>
            <w:tcW w:w="280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4697" w:rsidRDefault="00C04697" w:rsidP="003C4632"/>
        </w:tc>
        <w:tc>
          <w:tcPr>
            <w:tcW w:w="278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C04697" w:rsidRDefault="00C04697" w:rsidP="003C4632"/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697" w:rsidRDefault="00A0497C" w:rsidP="00A0497C">
            <w:pPr>
              <w:jc w:val="right"/>
            </w:pPr>
            <w:r>
              <w:t xml:space="preserve">                       Date of</w:t>
            </w:r>
            <w:r w:rsidR="00C04697">
              <w:t xml:space="preserve"> review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697" w:rsidRDefault="00A0497C" w:rsidP="003C4632">
            <w:pPr>
              <w:jc w:val="center"/>
            </w:pPr>
            <w:r>
              <w:t>11/02</w:t>
            </w:r>
            <w:r w:rsidR="000F4058">
              <w:t>/2019</w:t>
            </w:r>
          </w:p>
        </w:tc>
      </w:tr>
      <w:tr w:rsidR="00A0497C" w:rsidTr="00A0497C">
        <w:trPr>
          <w:trHeight w:val="85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497C" w:rsidRDefault="00A0497C" w:rsidP="00A0497C">
            <w:pPr>
              <w:jc w:val="right"/>
            </w:pPr>
            <w:r>
              <w:t>Department</w:t>
            </w:r>
          </w:p>
        </w:tc>
        <w:tc>
          <w:tcPr>
            <w:tcW w:w="55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97C" w:rsidRDefault="00A0497C" w:rsidP="00A0497C">
            <w:r>
              <w:t>Physics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A0497C" w:rsidRDefault="00A0497C" w:rsidP="00A0497C">
            <w:pPr>
              <w:jc w:val="right"/>
            </w:pPr>
            <w:r>
              <w:t xml:space="preserve">                       Date for review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A0497C" w:rsidRDefault="00A0497C" w:rsidP="00A0497C">
            <w:pPr>
              <w:jc w:val="center"/>
            </w:pPr>
            <w:r>
              <w:t>11/02/2020</w:t>
            </w:r>
          </w:p>
        </w:tc>
      </w:tr>
      <w:tr w:rsidR="00A0497C" w:rsidTr="00A0497C">
        <w:trPr>
          <w:trHeight w:val="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0497C" w:rsidRDefault="00A0497C" w:rsidP="00A0497C">
            <w:pPr>
              <w:jc w:val="right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A0497C" w:rsidRDefault="00A0497C" w:rsidP="00A0497C"/>
        </w:tc>
        <w:tc>
          <w:tcPr>
            <w:tcW w:w="278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A0497C" w:rsidRDefault="00A0497C" w:rsidP="00A0497C"/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497C" w:rsidRDefault="00A0497C" w:rsidP="00A0497C">
            <w:pPr>
              <w:jc w:val="right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97C" w:rsidRDefault="00A0497C" w:rsidP="00A0497C">
            <w:pPr>
              <w:jc w:val="right"/>
            </w:pPr>
          </w:p>
        </w:tc>
      </w:tr>
      <w:tr w:rsidR="00A0497C" w:rsidTr="00A0497C">
        <w:trPr>
          <w:trHeight w:val="547"/>
        </w:trPr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A0497C" w:rsidRDefault="00A0497C" w:rsidP="00A0497C">
            <w:pPr>
              <w:jc w:val="right"/>
            </w:pPr>
            <w:r>
              <w:t>Descriptions of Activities</w:t>
            </w:r>
          </w:p>
        </w:tc>
        <w:tc>
          <w:tcPr>
            <w:tcW w:w="11163" w:type="dxa"/>
            <w:gridSpan w:val="6"/>
          </w:tcPr>
          <w:p w:rsidR="00A0497C" w:rsidRDefault="00A0497C" w:rsidP="00A0497C">
            <w:r>
              <w:t xml:space="preserve">Raman or Photoluminescence measurements conducted at variable temperature using the </w:t>
            </w:r>
            <w:proofErr w:type="spellStart"/>
            <w:r>
              <w:t>Linkam</w:t>
            </w:r>
            <w:proofErr w:type="spellEnd"/>
            <w:r>
              <w:t xml:space="preserve"> Scientific THMS600 or TS1500</w:t>
            </w:r>
          </w:p>
        </w:tc>
      </w:tr>
      <w:tr w:rsidR="00A0497C" w:rsidTr="00A0497C">
        <w:trPr>
          <w:trHeight w:val="22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0497C" w:rsidRDefault="00A0497C" w:rsidP="00A0497C">
            <w:pPr>
              <w:jc w:val="right"/>
            </w:pPr>
          </w:p>
        </w:tc>
        <w:tc>
          <w:tcPr>
            <w:tcW w:w="43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0497C" w:rsidRDefault="00A0497C" w:rsidP="00A0497C"/>
        </w:tc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</w:tcPr>
          <w:p w:rsidR="00A0497C" w:rsidRDefault="00A0497C" w:rsidP="00A0497C"/>
        </w:tc>
        <w:tc>
          <w:tcPr>
            <w:tcW w:w="4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0497C" w:rsidRDefault="00A0497C" w:rsidP="00A0497C"/>
        </w:tc>
      </w:tr>
      <w:tr w:rsidR="00A0497C" w:rsidTr="00A0497C">
        <w:trPr>
          <w:trHeight w:val="659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97C" w:rsidRDefault="00A0497C" w:rsidP="00A0497C">
            <w:pPr>
              <w:jc w:val="right"/>
            </w:pPr>
            <w:r>
              <w:t>Name of those working to this assessment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C" w:rsidRDefault="00A0497C" w:rsidP="00A0497C">
            <w:r>
              <w:t>Trained variable temperature users</w:t>
            </w:r>
          </w:p>
        </w:tc>
        <w:tc>
          <w:tcPr>
            <w:tcW w:w="2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97C" w:rsidRDefault="00A0497C" w:rsidP="00A0497C">
            <w:pPr>
              <w:jc w:val="right"/>
            </w:pPr>
            <w:r>
              <w:t>Any others who may be affected by this assessment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C" w:rsidRDefault="00A0497C" w:rsidP="00A0497C">
            <w:r>
              <w:t>People in Millburn house</w:t>
            </w:r>
          </w:p>
        </w:tc>
      </w:tr>
      <w:tr w:rsidR="00A0497C" w:rsidTr="00A0497C">
        <w:trPr>
          <w:trHeight w:val="413"/>
        </w:trPr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A0497C" w:rsidRDefault="00A0497C" w:rsidP="00A0497C">
            <w:pPr>
              <w:jc w:val="right"/>
            </w:pPr>
            <w:r>
              <w:t>Assessment carried out by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497C" w:rsidRDefault="00A0497C" w:rsidP="00A0497C">
            <w:r>
              <w:t>Ben Breeze</w:t>
            </w:r>
          </w:p>
        </w:tc>
        <w:tc>
          <w:tcPr>
            <w:tcW w:w="6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97C" w:rsidRDefault="00A0497C" w:rsidP="00A0497C"/>
        </w:tc>
      </w:tr>
      <w:tr w:rsidR="00A0497C" w:rsidTr="00A0497C">
        <w:trPr>
          <w:trHeight w:val="41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0497C" w:rsidRDefault="00A0497C" w:rsidP="00A0497C">
            <w:pPr>
              <w:jc w:val="right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97C" w:rsidRDefault="00A0497C" w:rsidP="00A0497C"/>
        </w:tc>
        <w:tc>
          <w:tcPr>
            <w:tcW w:w="6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97C" w:rsidRDefault="00A0497C" w:rsidP="00A0497C"/>
        </w:tc>
      </w:tr>
    </w:tbl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C04697" w:rsidTr="003C4632">
        <w:trPr>
          <w:trHeight w:val="3127"/>
        </w:trPr>
        <w:tc>
          <w:tcPr>
            <w:tcW w:w="2836" w:type="dxa"/>
            <w:tcBorders>
              <w:left w:val="single" w:sz="4" w:space="0" w:color="D8D8D8"/>
              <w:bottom w:val="single" w:sz="4" w:space="0" w:color="D8D8D8"/>
              <w:right w:val="single" w:sz="4" w:space="0" w:color="auto"/>
            </w:tcBorders>
          </w:tcPr>
          <w:p w:rsidR="00C04697" w:rsidRPr="00967DA2" w:rsidRDefault="00C04697" w:rsidP="003C4632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967DA2">
              <w:rPr>
                <w:rFonts w:asciiTheme="minorHAnsi" w:hAnsiTheme="minorHAnsi" w:cs="Arial"/>
                <w:sz w:val="22"/>
                <w:szCs w:val="22"/>
              </w:rPr>
              <w:t>Additional information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7" w:rsidRDefault="00D02E67" w:rsidP="000E6B25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These experiment is designed to be used in conjunc</w:t>
            </w:r>
            <w:r w:rsidR="000E6B25">
              <w:rPr>
                <w:rFonts w:ascii="Arial" w:hAnsi="Arial" w:cs="Arial"/>
                <w:szCs w:val="24"/>
              </w:rPr>
              <w:t>tion with other spectrometers (</w:t>
            </w:r>
            <w:proofErr w:type="spellStart"/>
            <w:r w:rsidR="000E6B25">
              <w:rPr>
                <w:rFonts w:ascii="Arial" w:hAnsi="Arial" w:cs="Arial"/>
                <w:szCs w:val="24"/>
              </w:rPr>
              <w:t>Renisahw</w:t>
            </w:r>
            <w:proofErr w:type="spellEnd"/>
            <w:r w:rsidR="000E6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E6B25">
              <w:rPr>
                <w:rFonts w:ascii="Arial" w:hAnsi="Arial" w:cs="Arial"/>
                <w:szCs w:val="24"/>
              </w:rPr>
              <w:t>inVia</w:t>
            </w:r>
            <w:proofErr w:type="spellEnd"/>
            <w:r w:rsidR="000E6B25">
              <w:rPr>
                <w:rFonts w:ascii="Arial" w:hAnsi="Arial" w:cs="Arial"/>
                <w:szCs w:val="24"/>
              </w:rPr>
              <w:t xml:space="preserve"> or Horiba </w:t>
            </w:r>
            <w:proofErr w:type="spellStart"/>
            <w:r w:rsidR="000E6B25">
              <w:rPr>
                <w:rFonts w:ascii="Arial" w:hAnsi="Arial" w:cs="Arial"/>
                <w:szCs w:val="24"/>
              </w:rPr>
              <w:t>LabRam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and </w:t>
            </w:r>
            <w:r w:rsidR="000E6B25">
              <w:rPr>
                <w:rFonts w:ascii="Arial" w:hAnsi="Arial" w:cs="Arial"/>
                <w:szCs w:val="24"/>
              </w:rPr>
              <w:t xml:space="preserve">the appropriate </w:t>
            </w:r>
            <w:r>
              <w:rPr>
                <w:rFonts w:ascii="Arial" w:hAnsi="Arial" w:cs="Arial"/>
                <w:szCs w:val="24"/>
              </w:rPr>
              <w:t xml:space="preserve">risk assessments should also be followed prior to use. This document only deals with the additional hazards </w:t>
            </w:r>
            <w:r w:rsidR="000E6B25">
              <w:rPr>
                <w:rFonts w:ascii="Arial" w:hAnsi="Arial" w:cs="Arial"/>
                <w:szCs w:val="24"/>
              </w:rPr>
              <w:t>posed by the addition of the variable temperature stage and as must be used alongside the relevant spectrometer Risk Assessment.</w:t>
            </w:r>
          </w:p>
          <w:p w:rsidR="000E6B25" w:rsidRDefault="000E6B25" w:rsidP="000E6B25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C04697" w:rsidRDefault="00C04697" w:rsidP="00C04697"/>
    <w:tbl>
      <w:tblPr>
        <w:tblW w:w="14242" w:type="dxa"/>
        <w:tblInd w:w="103" w:type="dxa"/>
        <w:tblLook w:val="04A0" w:firstRow="1" w:lastRow="0" w:firstColumn="1" w:lastColumn="0" w:noHBand="0" w:noVBand="1"/>
      </w:tblPr>
      <w:tblGrid>
        <w:gridCol w:w="3285"/>
        <w:gridCol w:w="1584"/>
        <w:gridCol w:w="3171"/>
        <w:gridCol w:w="1865"/>
        <w:gridCol w:w="1779"/>
        <w:gridCol w:w="1316"/>
        <w:gridCol w:w="1242"/>
      </w:tblGrid>
      <w:tr w:rsidR="002D1272" w:rsidRPr="000A10B3" w:rsidTr="000E6B25">
        <w:trPr>
          <w:trHeight w:val="945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FA2797" w:rsidRPr="000A10B3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lastRenderedPageBreak/>
              <w:t>Foreseeable Significant Hazard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Hazard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Risk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Existing control measures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Controlled residual risk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1454A9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Further Action </w:t>
            </w:r>
            <w:r>
              <w:rPr>
                <w:rFonts w:ascii="Calibri" w:eastAsia="Times New Roman" w:hAnsi="Calibri" w:cs="Times New Roman"/>
                <w:bCs/>
              </w:rPr>
              <w:t>where risk remains moderate/high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By whom &amp; when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3C4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Controlled Risk Level </w:t>
            </w:r>
          </w:p>
        </w:tc>
      </w:tr>
      <w:tr w:rsidR="002D1272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057D2" w:rsidRPr="006F523D" w:rsidRDefault="00D057D2" w:rsidP="00D057D2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Compressed Gas leak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057D2" w:rsidRDefault="00D057D2" w:rsidP="00D05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Asphyxiation</w:t>
            </w:r>
          </w:p>
          <w:p w:rsidR="00D057D2" w:rsidRPr="006F523D" w:rsidRDefault="00D057D2" w:rsidP="00D057D2">
            <w:pPr>
              <w:rPr>
                <w:rFonts w:ascii="Calibri" w:hAnsi="Calibri"/>
                <w:b/>
                <w:bCs/>
                <w:color w:val="000099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057D2" w:rsidRDefault="00D057D2" w:rsidP="00D05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 xml:space="preserve">Read all relevant safety data sheets, University and Departmental Safety regulations and guidance, and pass any required safety tests.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D057D2" w:rsidRPr="001A2CC3" w:rsidRDefault="00D057D2" w:rsidP="00D05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experiments must be conducted in a lab with oxygen sensors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D057D2" w:rsidRDefault="000F4058" w:rsidP="00D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D057D2">
              <w:rPr>
                <w:rFonts w:ascii="Calibri" w:eastAsia="Times New Roman" w:hAnsi="Calibri" w:cs="Times New Roman"/>
              </w:rPr>
              <w:t>Extreme, Unlikely)</w:t>
            </w:r>
          </w:p>
          <w:p w:rsidR="00D057D2" w:rsidRPr="003C4632" w:rsidRDefault="00D057D2" w:rsidP="00D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E74B5" w:themeColor="accent1" w:themeShade="BF"/>
              </w:rPr>
            </w:pPr>
            <w:r w:rsidRPr="00D057D2">
              <w:rPr>
                <w:rFonts w:ascii="Calibri" w:eastAsia="Times New Roman" w:hAnsi="Calibri" w:cs="Times New Roman"/>
                <w:color w:val="BF8F00" w:themeColor="accent4" w:themeShade="BF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057D2" w:rsidRPr="001A2CC3" w:rsidRDefault="00D057D2" w:rsidP="00D05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057D2" w:rsidRDefault="00D057D2" w:rsidP="00D05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D057D2" w:rsidRPr="001A2CC3" w:rsidRDefault="00D057D2" w:rsidP="00D05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29/11/2017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D057D2" w:rsidRPr="006F523D" w:rsidRDefault="00D057D2" w:rsidP="00D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057D2">
              <w:rPr>
                <w:rFonts w:ascii="Calibri" w:eastAsia="Times New Roman" w:hAnsi="Calibri" w:cs="Times New Roman"/>
                <w:color w:val="BF8F00" w:themeColor="accent4" w:themeShade="BF"/>
              </w:rPr>
              <w:t>Moderate</w:t>
            </w:r>
          </w:p>
        </w:tc>
      </w:tr>
      <w:tr w:rsidR="000E6B2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0E6B25" w:rsidRPr="006F523D" w:rsidRDefault="000E6B25" w:rsidP="000E6B2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Cryogenics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Inhalation or ingestion causing loss of consciousness, asphyxiation or Burns. 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 xml:space="preserve">Read all relevant safety data sheets, University and Departmental Safety regulations and guidance, and pass any required safety tests.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:rsidR="000E6B25" w:rsidRPr="00B563B7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B563B7">
              <w:rPr>
                <w:rFonts w:ascii="Calibri" w:eastAsia="Times New Roman" w:hAnsi="Calibri" w:cs="Times New Roman"/>
                <w:color w:val="00B0F0"/>
              </w:rPr>
              <w:t>Low</w:t>
            </w:r>
          </w:p>
          <w:p w:rsidR="000E6B25" w:rsidRPr="001A2CC3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04/01/18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Pr="006F523D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0E6B2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0E6B25" w:rsidRPr="006F523D" w:rsidRDefault="000E6B25" w:rsidP="000E6B2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Main electricity. 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B563B7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hAnsi="Calibri"/>
                <w:bCs/>
              </w:rPr>
              <w:t>Electric shock or burns.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Users are not to tamper with the equipment. All equipment must have an in date Pat test.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:rsidR="000E6B25" w:rsidRPr="001A2CC3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29/11/2017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Pr="006F523D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0E6B2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0E6B25" w:rsidRPr="006F523D" w:rsidRDefault="000E6B25" w:rsidP="000E6B2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Obstructed walkways 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Slip, Fall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Do not block walkways, be aware of risk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(Minor, Possible)</w:t>
            </w:r>
          </w:p>
          <w:p w:rsidR="000E6B25" w:rsidRPr="001A2CC3" w:rsidRDefault="00A0497C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29/11/2017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Pr="006F523D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0E6B2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0E6B25" w:rsidRPr="006F523D" w:rsidRDefault="000E6B25" w:rsidP="000E6B2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Laser Light 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973FF4" w:rsidRDefault="000E6B25" w:rsidP="000E6B25">
            <w:pPr>
              <w:rPr>
                <w:rFonts w:ascii="Calibri" w:hAnsi="Calibri"/>
                <w:bCs/>
                <w:color w:val="000099"/>
              </w:rPr>
            </w:pPr>
            <w:r w:rsidRPr="00973FF4">
              <w:rPr>
                <w:rFonts w:ascii="Calibri" w:hAnsi="Calibri"/>
                <w:bCs/>
              </w:rPr>
              <w:t>Light</w:t>
            </w:r>
            <w:r>
              <w:rPr>
                <w:rFonts w:ascii="Calibri" w:hAnsi="Calibri"/>
                <w:bCs/>
              </w:rPr>
              <w:t xml:space="preserve"> a</w:t>
            </w:r>
            <w:r w:rsidRPr="00973FF4">
              <w:rPr>
                <w:rFonts w:ascii="Calibri" w:hAnsi="Calibri"/>
                <w:bCs/>
              </w:rPr>
              <w:t>ffecting eye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3FF4">
              <w:rPr>
                <w:rFonts w:ascii="Calibri" w:eastAsia="Times New Roman" w:hAnsi="Calibri" w:cs="Times New Roman"/>
              </w:rPr>
              <w:t>Interlocks</w:t>
            </w:r>
            <w:r>
              <w:rPr>
                <w:rFonts w:ascii="Calibri" w:eastAsia="Times New Roman" w:hAnsi="Calibri" w:cs="Times New Roman"/>
              </w:rPr>
              <w:t xml:space="preserve"> are overridden so the system is no longer Class one. With the stage in place it is impossible to get your eye in the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path of laser beam. The beam is also very divergent after the focal point, See attached table for safe nominal optical hazard Distances for the different Excitation wavelengths. </w:t>
            </w:r>
          </w:p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During setup up, the Lasers must not be turned on until the stage is in place. </w:t>
            </w:r>
            <w:r w:rsidR="00102D05">
              <w:rPr>
                <w:rFonts w:ascii="Calibri" w:eastAsia="Times New Roman" w:hAnsi="Calibri" w:cs="Times New Roman"/>
              </w:rPr>
              <w:t xml:space="preserve">Once the laser is turned on. </w:t>
            </w:r>
            <w:r>
              <w:rPr>
                <w:rFonts w:ascii="Calibri" w:eastAsia="Times New Roman" w:hAnsi="Calibri" w:cs="Times New Roman"/>
              </w:rPr>
              <w:t xml:space="preserve">All reflective surfaces should be removed from the enclosure and appropriate eye protection should be worn. </w:t>
            </w:r>
          </w:p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After the probe is in place laser must be kept below 1mW using the built in ND filters.</w:t>
            </w:r>
          </w:p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During normal operation a fabric cover will be placed over the enclosure to block all light from escaping.</w:t>
            </w:r>
          </w:p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Laser warning lights should be illuminated to alert other lab users and the experiment should not be left unattended with the laser in operation. 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(Major, Possible)</w:t>
            </w:r>
          </w:p>
          <w:p w:rsidR="000E6B25" w:rsidRPr="001A2CC3" w:rsidRDefault="000E6B25" w:rsidP="000E6B2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</w:rPr>
            </w:pPr>
            <w:r w:rsidRPr="00D057D2">
              <w:rPr>
                <w:rFonts w:ascii="Calibri" w:eastAsia="Times New Roman" w:hAnsi="Calibri" w:cs="Times New Roman"/>
                <w:color w:val="BF8F00" w:themeColor="accent4" w:themeShade="BF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29/11/2017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Pr="006F523D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057D2">
              <w:rPr>
                <w:rFonts w:ascii="Calibri" w:eastAsia="Times New Roman" w:hAnsi="Calibri" w:cs="Times New Roman"/>
                <w:color w:val="BF8F00" w:themeColor="accent4" w:themeShade="BF"/>
              </w:rPr>
              <w:t>Moderate</w:t>
            </w:r>
          </w:p>
        </w:tc>
      </w:tr>
      <w:tr w:rsidR="000E6B2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0E6B25" w:rsidRPr="006F523D" w:rsidRDefault="000E6B25" w:rsidP="000E6B2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>Explosion/implosion of cryostat/vacuum system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Cuts from shards of glass/metal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Use of vacuum systems prohibited unless user is trained in the safe operation of the vacuum pumps. Safety valves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are to be used and checked regularly.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(Major, Unlikely)</w:t>
            </w:r>
          </w:p>
          <w:p w:rsidR="000E6B25" w:rsidRPr="001A2CC3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0A8D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0E6B25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04/01/18</w:t>
            </w:r>
          </w:p>
          <w:p w:rsidR="000E6B25" w:rsidRPr="001A2CC3" w:rsidRDefault="000E6B25" w:rsidP="000E6B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0E6B25" w:rsidRPr="006F523D" w:rsidRDefault="000E6B25" w:rsidP="000E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102D0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102D05" w:rsidRDefault="00102D05" w:rsidP="00102D0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 xml:space="preserve">High temperature surfaces 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Burns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The stage must not be operated at high temperature without tis lid in place. The outer case of the stage is water cooled to limit the temperature.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02D05" w:rsidRDefault="00102D05" w:rsidP="0010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:rsidR="00102D05" w:rsidRPr="001A2CC3" w:rsidRDefault="00102D05" w:rsidP="0010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0A8D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Pr="001A2CC3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04/01/18</w:t>
            </w:r>
          </w:p>
          <w:p w:rsidR="00102D05" w:rsidRPr="001A2CC3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02D05" w:rsidRPr="006F523D" w:rsidRDefault="00102D05" w:rsidP="0010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102D05" w:rsidRPr="006F523D" w:rsidTr="000E6B25">
        <w:trPr>
          <w:trHeight w:val="1020"/>
        </w:trPr>
        <w:tc>
          <w:tcPr>
            <w:tcW w:w="3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102D05" w:rsidRPr="006F523D" w:rsidRDefault="00102D05" w:rsidP="00102D0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Water leak</w:t>
            </w:r>
          </w:p>
        </w:tc>
        <w:tc>
          <w:tcPr>
            <w:tcW w:w="15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Pr="006F523D" w:rsidRDefault="00102D05" w:rsidP="00102D0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Cs/>
              </w:rPr>
              <w:t>Electric shock and or  burns and slips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Water cooling pipes/fitting should be inspected for leaks. </w:t>
            </w:r>
          </w:p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02D05" w:rsidRPr="001A2CC3" w:rsidRDefault="00102D05" w:rsidP="00102D0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</w:rPr>
              <w:t xml:space="preserve">Lab flooding procedure (c.f. general risk assessment) should be followed.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02D05" w:rsidRDefault="00102D05" w:rsidP="0010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:rsidR="00102D05" w:rsidRDefault="00102D05" w:rsidP="00102D05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Pr="001A2CC3" w:rsidRDefault="00102D05" w:rsidP="00102D0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02D05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102D05" w:rsidRPr="001A2CC3" w:rsidRDefault="00102D05" w:rsidP="00102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02D05" w:rsidRPr="006F523D" w:rsidRDefault="00102D05" w:rsidP="0010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</w:tbl>
    <w:p w:rsidR="00C04697" w:rsidRDefault="00C04697" w:rsidP="00C04697">
      <w:pPr>
        <w:rPr>
          <w:b/>
          <w:color w:val="000099"/>
        </w:rPr>
      </w:pPr>
    </w:p>
    <w:p w:rsidR="00C04697" w:rsidRPr="006F523D" w:rsidRDefault="00C04697" w:rsidP="00C04697">
      <w:pPr>
        <w:rPr>
          <w:b/>
          <w:color w:val="000099"/>
        </w:rPr>
      </w:pPr>
      <w:r w:rsidRPr="006F523D">
        <w:rPr>
          <w:b/>
          <w:color w:val="000099"/>
        </w:rPr>
        <w:t>Work should not be carried out until the assessment is completed to a suitable &amp; sufficient level and all required control measures are in place.</w:t>
      </w:r>
    </w:p>
    <w:p w:rsidR="00C04697" w:rsidRDefault="00C04697" w:rsidP="00C04697"/>
    <w:p w:rsidR="00C04697" w:rsidRDefault="00C04697" w:rsidP="00C04697">
      <w:r>
        <w:t>Is assessment suitable and sufficient      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4458"/>
        <w:gridCol w:w="974"/>
        <w:gridCol w:w="1129"/>
        <w:gridCol w:w="5732"/>
      </w:tblGrid>
      <w:tr w:rsidR="00C04697" w:rsidTr="003C4632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C04697" w:rsidRDefault="00C04697" w:rsidP="003C4632">
            <w:r>
              <w:t>Any further actions required to allow work to commence</w:t>
            </w:r>
          </w:p>
          <w:p w:rsidR="00C04697" w:rsidRDefault="00C04697" w:rsidP="003C4632"/>
          <w:p w:rsidR="00C04697" w:rsidRDefault="00C04697" w:rsidP="003C4632"/>
        </w:tc>
        <w:tc>
          <w:tcPr>
            <w:tcW w:w="7970" w:type="dxa"/>
            <w:gridSpan w:val="3"/>
            <w:tcBorders>
              <w:bottom w:val="single" w:sz="4" w:space="0" w:color="auto"/>
            </w:tcBorders>
          </w:tcPr>
          <w:p w:rsidR="00C04697" w:rsidRDefault="00C04697" w:rsidP="003C4632"/>
          <w:p w:rsidR="00C04697" w:rsidRDefault="00C04697" w:rsidP="003C4632"/>
          <w:p w:rsidR="00C04697" w:rsidRDefault="00C04697" w:rsidP="003C4632"/>
          <w:p w:rsidR="00C04697" w:rsidRDefault="00C04697" w:rsidP="003C4632"/>
        </w:tc>
      </w:tr>
      <w:tr w:rsidR="00C04697" w:rsidTr="003C4632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:rsidR="00C04697" w:rsidRDefault="00C04697" w:rsidP="003C463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3C4632"/>
        </w:tc>
        <w:tc>
          <w:tcPr>
            <w:tcW w:w="1134" w:type="dxa"/>
            <w:tcBorders>
              <w:left w:val="nil"/>
              <w:right w:val="nil"/>
            </w:tcBorders>
          </w:tcPr>
          <w:p w:rsidR="00C04697" w:rsidRDefault="00C04697" w:rsidP="003C4632"/>
        </w:tc>
        <w:tc>
          <w:tcPr>
            <w:tcW w:w="5844" w:type="dxa"/>
            <w:tcBorders>
              <w:left w:val="nil"/>
              <w:right w:val="nil"/>
            </w:tcBorders>
          </w:tcPr>
          <w:p w:rsidR="00C04697" w:rsidRDefault="00C04697" w:rsidP="003C4632"/>
        </w:tc>
      </w:tr>
      <w:tr w:rsidR="00C04697" w:rsidTr="003C4632">
        <w:tc>
          <w:tcPr>
            <w:tcW w:w="1668" w:type="dxa"/>
            <w:vAlign w:val="center"/>
          </w:tcPr>
          <w:p w:rsidR="00C04697" w:rsidRDefault="00C04697" w:rsidP="003C4632">
            <w:pPr>
              <w:jc w:val="right"/>
            </w:pPr>
            <w:r>
              <w:t>Approved By</w:t>
            </w:r>
          </w:p>
        </w:tc>
        <w:tc>
          <w:tcPr>
            <w:tcW w:w="4536" w:type="dxa"/>
          </w:tcPr>
          <w:p w:rsidR="00C04697" w:rsidRDefault="000F4058" w:rsidP="003C4632">
            <w:r>
              <w:t>Ben Breeze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04697" w:rsidRDefault="00C04697" w:rsidP="003C4632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4697" w:rsidRDefault="00C04697" w:rsidP="003C4632">
            <w:pPr>
              <w:jc w:val="right"/>
            </w:pPr>
            <w:r>
              <w:t>Position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C04697" w:rsidRDefault="000F4058" w:rsidP="003C4632">
            <w:r>
              <w:t>RTP - Manager</w:t>
            </w:r>
          </w:p>
        </w:tc>
      </w:tr>
      <w:tr w:rsidR="00C04697" w:rsidTr="003C4632">
        <w:tc>
          <w:tcPr>
            <w:tcW w:w="1668" w:type="dxa"/>
            <w:vAlign w:val="center"/>
          </w:tcPr>
          <w:p w:rsidR="00C04697" w:rsidRDefault="00C04697" w:rsidP="003C4632">
            <w:pPr>
              <w:jc w:val="right"/>
            </w:pPr>
            <w:r>
              <w:t>Date</w:t>
            </w:r>
          </w:p>
        </w:tc>
        <w:tc>
          <w:tcPr>
            <w:tcW w:w="4536" w:type="dxa"/>
          </w:tcPr>
          <w:p w:rsidR="00C04697" w:rsidRDefault="000F4058" w:rsidP="003C4632">
            <w:r>
              <w:t>05/01/018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C04697" w:rsidRDefault="00C04697" w:rsidP="003C4632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04697" w:rsidRDefault="00C04697" w:rsidP="003C4632"/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:rsidR="00C04697" w:rsidRDefault="00C04697" w:rsidP="003C4632"/>
        </w:tc>
      </w:tr>
    </w:tbl>
    <w:p w:rsidR="00C04697" w:rsidRDefault="00C04697" w:rsidP="00C04697"/>
    <w:p w:rsidR="00C04697" w:rsidRDefault="00C04697" w:rsidP="00C04697">
      <w:r w:rsidRPr="00A92CC6">
        <w:lastRenderedPageBreak/>
        <w:t>Please print a copy, sign it and keep for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06"/>
        <w:gridCol w:w="1106"/>
        <w:gridCol w:w="1106"/>
        <w:gridCol w:w="1106"/>
        <w:gridCol w:w="2212"/>
        <w:gridCol w:w="1481"/>
        <w:gridCol w:w="1134"/>
      </w:tblGrid>
      <w:tr w:rsidR="00C04697" w:rsidRPr="002A1B7D" w:rsidTr="003C4632"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3" w:type="dxa"/>
            <w:gridSpan w:val="5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1B7D">
              <w:rPr>
                <w:rFonts w:ascii="Arial" w:eastAsia="Times New Roman" w:hAnsi="Arial" w:cs="Arial"/>
                <w:b/>
                <w:bCs/>
              </w:rPr>
              <w:t>Severity of injury</w:t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4697" w:rsidRPr="002A1B7D" w:rsidTr="003C4632"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2A1B7D">
              <w:rPr>
                <w:rFonts w:ascii="Arial" w:eastAsia="Times New Roman" w:hAnsi="Arial" w:cs="Arial"/>
                <w:b/>
                <w:bCs/>
              </w:rPr>
              <w:t>Likelihood</w:t>
            </w:r>
          </w:p>
        </w:tc>
        <w:tc>
          <w:tcPr>
            <w:tcW w:w="123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Superficial 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Serious 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Extreme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04697" w:rsidRPr="002A1B7D" w:rsidTr="003C4632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Unlikely</w:t>
            </w:r>
          </w:p>
        </w:tc>
        <w:tc>
          <w:tcPr>
            <w:tcW w:w="1239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C04697" w:rsidRPr="00EE0AB1" w:rsidTr="003C4632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Possible </w:t>
            </w:r>
          </w:p>
        </w:tc>
        <w:tc>
          <w:tcPr>
            <w:tcW w:w="1239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  <w:tr w:rsidR="00C04697" w:rsidRPr="002A1B7D" w:rsidTr="003C4632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Likely</w:t>
            </w:r>
          </w:p>
        </w:tc>
        <w:tc>
          <w:tcPr>
            <w:tcW w:w="1239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  <w:tr w:rsidR="00C04697" w:rsidRPr="002A1B7D" w:rsidTr="003C4632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Very likely</w:t>
            </w:r>
          </w:p>
        </w:tc>
        <w:tc>
          <w:tcPr>
            <w:tcW w:w="1239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C04697" w:rsidRPr="007D42B6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4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Risk Rating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(highest level found)</w:t>
            </w:r>
          </w:p>
        </w:tc>
        <w:tc>
          <w:tcPr>
            <w:tcW w:w="1134" w:type="dxa"/>
            <w:vMerge w:val="restart"/>
          </w:tcPr>
          <w:p w:rsidR="00C04697" w:rsidRPr="00EE0AB1" w:rsidRDefault="000F4058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D057D2">
              <w:rPr>
                <w:rFonts w:ascii="Calibri" w:eastAsia="Times New Roman" w:hAnsi="Calibri" w:cs="Times New Roman"/>
                <w:color w:val="BF8F00" w:themeColor="accent4" w:themeShade="BF"/>
              </w:rPr>
              <w:t>Moderate</w:t>
            </w:r>
          </w:p>
        </w:tc>
      </w:tr>
      <w:tr w:rsidR="00C04697" w:rsidRPr="002A1B7D" w:rsidTr="003C4632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3C4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Extremely likely</w:t>
            </w:r>
          </w:p>
        </w:tc>
        <w:tc>
          <w:tcPr>
            <w:tcW w:w="1239" w:type="dxa"/>
          </w:tcPr>
          <w:p w:rsidR="00C04697" w:rsidRPr="002A1B7D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697" w:rsidRPr="00EE0AB1" w:rsidRDefault="00C04697" w:rsidP="003C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:rsidR="00C04697" w:rsidRPr="009818F3" w:rsidRDefault="00C04697" w:rsidP="00C04697">
      <w:pPr>
        <w:rPr>
          <w:i/>
        </w:rPr>
      </w:pPr>
      <w:r w:rsidRPr="009818F3">
        <w:rPr>
          <w:i/>
        </w:rPr>
        <w:t>See ‘Matrix for risk evaluation’ for further guidance.</w:t>
      </w:r>
    </w:p>
    <w:p w:rsidR="00DF6251" w:rsidRDefault="00DF6251" w:rsidP="00DF6251">
      <w:pPr>
        <w:pStyle w:val="ListParagraph"/>
        <w:ind w:left="792"/>
        <w:rPr>
          <w:rFonts w:ascii="Arial" w:hAnsi="Arial" w:cs="Arial"/>
        </w:rPr>
      </w:pPr>
    </w:p>
    <w:p w:rsidR="005E78C0" w:rsidRDefault="005E78C0" w:rsidP="00DF6251">
      <w:pPr>
        <w:pStyle w:val="ListParagraph"/>
        <w:ind w:left="792"/>
        <w:rPr>
          <w:rFonts w:ascii="Arial" w:hAnsi="Arial" w:cs="Arial"/>
        </w:rPr>
      </w:pPr>
    </w:p>
    <w:p w:rsidR="005E78C0" w:rsidRDefault="005E78C0" w:rsidP="00DF6251">
      <w:pPr>
        <w:pStyle w:val="ListParagraph"/>
        <w:ind w:left="792"/>
        <w:rPr>
          <w:rFonts w:ascii="Arial" w:hAnsi="Arial" w:cs="Arial"/>
        </w:rPr>
      </w:pPr>
    </w:p>
    <w:p w:rsidR="005E78C0" w:rsidRDefault="005E78C0" w:rsidP="00DF6251">
      <w:pPr>
        <w:pStyle w:val="ListParagraph"/>
        <w:ind w:left="792"/>
        <w:rPr>
          <w:rFonts w:ascii="Arial" w:hAnsi="Arial" w:cs="Arial"/>
        </w:rPr>
      </w:pPr>
      <w:r>
        <w:rPr>
          <w:rFonts w:ascii="Arial" w:hAnsi="Arial" w:cs="Arial"/>
        </w:rPr>
        <w:t>Safe working distance for common experimental setup:</w:t>
      </w:r>
    </w:p>
    <w:p w:rsidR="005E78C0" w:rsidRDefault="005E78C0" w:rsidP="00DF6251">
      <w:pPr>
        <w:pStyle w:val="ListParagraph"/>
        <w:ind w:left="792"/>
        <w:rPr>
          <w:rFonts w:ascii="Arial" w:hAnsi="Arial" w:cs="Arial"/>
        </w:rPr>
      </w:pPr>
    </w:p>
    <w:p w:rsidR="005E78C0" w:rsidRDefault="005E78C0" w:rsidP="00DF6251">
      <w:pPr>
        <w:pStyle w:val="ListParagraph"/>
        <w:ind w:left="792"/>
        <w:rPr>
          <w:rFonts w:ascii="Arial" w:hAnsi="Arial" w:cs="Arial"/>
        </w:rPr>
      </w:pPr>
    </w:p>
    <w:p w:rsidR="005E78C0" w:rsidRPr="00DF6251" w:rsidRDefault="006757C1" w:rsidP="00DF6251">
      <w:pPr>
        <w:pStyle w:val="ListParagraph"/>
        <w:ind w:left="792"/>
        <w:rPr>
          <w:rFonts w:ascii="Arial" w:hAnsi="Arial" w:cs="Arial"/>
        </w:rPr>
      </w:pPr>
      <w:r w:rsidRPr="006757C1">
        <w:rPr>
          <w:noProof/>
          <w:lang w:eastAsia="en-GB"/>
        </w:rPr>
        <w:lastRenderedPageBreak/>
        <w:drawing>
          <wp:inline distT="0" distB="0" distL="0" distR="0">
            <wp:extent cx="847725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C0" w:rsidRPr="00DF6251" w:rsidSect="00661C7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32" w:rsidRDefault="003C4632" w:rsidP="00B25957">
      <w:pPr>
        <w:spacing w:after="0" w:line="240" w:lineRule="auto"/>
      </w:pPr>
      <w:r>
        <w:separator/>
      </w:r>
    </w:p>
  </w:endnote>
  <w:endnote w:type="continuationSeparator" w:id="0">
    <w:p w:rsidR="003C4632" w:rsidRDefault="003C4632" w:rsidP="00B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58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632" w:rsidRDefault="003C4632">
        <w:pPr>
          <w:pStyle w:val="Footer"/>
          <w:jc w:val="right"/>
        </w:pPr>
        <w:r>
          <w:fldChar w:fldCharType="begin"/>
        </w:r>
        <w:r w:rsidRPr="00661C76">
          <w:instrText xml:space="preserve"> PAGE   \* MERGEFORMAT </w:instrText>
        </w:r>
        <w:r>
          <w:fldChar w:fldCharType="separate"/>
        </w:r>
        <w:r w:rsidR="002F56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4632" w:rsidRPr="003710BE" w:rsidRDefault="003710BE" w:rsidP="003710BE">
    <w:pPr>
      <w:pStyle w:val="Footer"/>
      <w:rPr>
        <w:b/>
      </w:rPr>
    </w:pPr>
    <w:r w:rsidRPr="003710BE">
      <w:rPr>
        <w:b/>
      </w:rPr>
      <w:t xml:space="preserve">RA- </w:t>
    </w:r>
    <w:proofErr w:type="spellStart"/>
    <w:r w:rsidR="000E6B25" w:rsidRPr="000E6B25">
      <w:rPr>
        <w:b/>
      </w:rPr>
      <w:t>VairableTemperatureRaman</w:t>
    </w:r>
    <w:proofErr w:type="spellEnd"/>
    <w:r w:rsidR="000E6B25" w:rsidRPr="000E6B25">
      <w:rPr>
        <w:b/>
      </w:rPr>
      <w:t xml:space="preserve"> </w:t>
    </w:r>
    <w:r w:rsidRPr="003710BE">
      <w:rPr>
        <w:b/>
      </w:rPr>
      <w:t>_V1.1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32" w:rsidRDefault="003C4632">
    <w:pPr>
      <w:pStyle w:val="Footer"/>
    </w:pPr>
    <w:r>
      <w:t>RA-Lambda1050_V1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32" w:rsidRDefault="003C4632" w:rsidP="00B25957">
      <w:pPr>
        <w:spacing w:after="0" w:line="240" w:lineRule="auto"/>
      </w:pPr>
      <w:r>
        <w:separator/>
      </w:r>
    </w:p>
  </w:footnote>
  <w:footnote w:type="continuationSeparator" w:id="0">
    <w:p w:rsidR="003C4632" w:rsidRDefault="003C4632" w:rsidP="00B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32" w:rsidRDefault="003C4632" w:rsidP="00B25957">
    <w:pPr>
      <w:pStyle w:val="Header"/>
      <w:ind w:left="-1418"/>
    </w:pPr>
    <w:r>
      <w:rPr>
        <w:noProof/>
        <w:lang w:eastAsia="en-GB"/>
      </w:rPr>
      <w:drawing>
        <wp:inline distT="0" distB="0" distL="0" distR="0">
          <wp:extent cx="10668000" cy="1350645"/>
          <wp:effectExtent l="0" t="0" r="0" b="190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32" w:rsidRDefault="003C4632" w:rsidP="005C092B">
    <w:pPr>
      <w:pStyle w:val="Header"/>
      <w:ind w:left="-1418"/>
    </w:pPr>
    <w:r>
      <w:rPr>
        <w:noProof/>
        <w:lang w:eastAsia="en-GB"/>
      </w:rPr>
      <w:drawing>
        <wp:inline distT="0" distB="0" distL="0" distR="0">
          <wp:extent cx="10690860" cy="1352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636" cy="136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73"/>
    <w:multiLevelType w:val="hybridMultilevel"/>
    <w:tmpl w:val="3AF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2A1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36E4"/>
    <w:multiLevelType w:val="hybridMultilevel"/>
    <w:tmpl w:val="241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E14"/>
    <w:multiLevelType w:val="hybridMultilevel"/>
    <w:tmpl w:val="ECD0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BF0"/>
    <w:multiLevelType w:val="hybridMultilevel"/>
    <w:tmpl w:val="30F6D8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3840EA"/>
    <w:multiLevelType w:val="hybridMultilevel"/>
    <w:tmpl w:val="2952AE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F0E"/>
    <w:multiLevelType w:val="hybridMultilevel"/>
    <w:tmpl w:val="149E35AA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EC134F4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E42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17E"/>
    <w:multiLevelType w:val="hybridMultilevel"/>
    <w:tmpl w:val="ED76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2575D"/>
    <w:multiLevelType w:val="hybridMultilevel"/>
    <w:tmpl w:val="C7AA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711"/>
    <w:multiLevelType w:val="multilevel"/>
    <w:tmpl w:val="3FDAED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14555"/>
    <w:multiLevelType w:val="hybridMultilevel"/>
    <w:tmpl w:val="17B83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9F8"/>
    <w:multiLevelType w:val="multilevel"/>
    <w:tmpl w:val="EB164E6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446C90"/>
    <w:multiLevelType w:val="hybridMultilevel"/>
    <w:tmpl w:val="47CE351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60594"/>
    <w:multiLevelType w:val="hybridMultilevel"/>
    <w:tmpl w:val="6B4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42AD"/>
    <w:multiLevelType w:val="hybridMultilevel"/>
    <w:tmpl w:val="501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793F"/>
    <w:multiLevelType w:val="hybridMultilevel"/>
    <w:tmpl w:val="4AFAB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C1954"/>
    <w:multiLevelType w:val="hybridMultilevel"/>
    <w:tmpl w:val="6F94FB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7B4E51"/>
    <w:multiLevelType w:val="hybridMultilevel"/>
    <w:tmpl w:val="095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063B"/>
    <w:multiLevelType w:val="hybridMultilevel"/>
    <w:tmpl w:val="130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4AAE"/>
    <w:multiLevelType w:val="hybridMultilevel"/>
    <w:tmpl w:val="071E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7"/>
    <w:rsid w:val="000205B1"/>
    <w:rsid w:val="000400E8"/>
    <w:rsid w:val="00046832"/>
    <w:rsid w:val="00085FEB"/>
    <w:rsid w:val="000B471B"/>
    <w:rsid w:val="000C58E2"/>
    <w:rsid w:val="000E0EC6"/>
    <w:rsid w:val="000E6B25"/>
    <w:rsid w:val="000F4058"/>
    <w:rsid w:val="00102D05"/>
    <w:rsid w:val="00105AE2"/>
    <w:rsid w:val="001373EF"/>
    <w:rsid w:val="00143DEE"/>
    <w:rsid w:val="001454A9"/>
    <w:rsid w:val="00154A28"/>
    <w:rsid w:val="001558AD"/>
    <w:rsid w:val="00173345"/>
    <w:rsid w:val="00175E67"/>
    <w:rsid w:val="00176244"/>
    <w:rsid w:val="001D092C"/>
    <w:rsid w:val="001F6716"/>
    <w:rsid w:val="002011BC"/>
    <w:rsid w:val="00237300"/>
    <w:rsid w:val="00241747"/>
    <w:rsid w:val="0026296D"/>
    <w:rsid w:val="00284BBD"/>
    <w:rsid w:val="00285279"/>
    <w:rsid w:val="00286CB2"/>
    <w:rsid w:val="002A3A73"/>
    <w:rsid w:val="002A563F"/>
    <w:rsid w:val="002C08B5"/>
    <w:rsid w:val="002D1272"/>
    <w:rsid w:val="002E1398"/>
    <w:rsid w:val="002F3CA4"/>
    <w:rsid w:val="002F4C4C"/>
    <w:rsid w:val="002F567E"/>
    <w:rsid w:val="00301B8B"/>
    <w:rsid w:val="003045CA"/>
    <w:rsid w:val="00363A4C"/>
    <w:rsid w:val="003710BE"/>
    <w:rsid w:val="00376251"/>
    <w:rsid w:val="00381F82"/>
    <w:rsid w:val="00384BE9"/>
    <w:rsid w:val="00397D4C"/>
    <w:rsid w:val="003A21D8"/>
    <w:rsid w:val="003A5861"/>
    <w:rsid w:val="003C0389"/>
    <w:rsid w:val="003C1993"/>
    <w:rsid w:val="003C4632"/>
    <w:rsid w:val="003D2BC6"/>
    <w:rsid w:val="003E0F56"/>
    <w:rsid w:val="00400BFC"/>
    <w:rsid w:val="004413F4"/>
    <w:rsid w:val="00482907"/>
    <w:rsid w:val="004D1316"/>
    <w:rsid w:val="004E3B9A"/>
    <w:rsid w:val="004E5238"/>
    <w:rsid w:val="00505409"/>
    <w:rsid w:val="00512ECC"/>
    <w:rsid w:val="00520766"/>
    <w:rsid w:val="00532C19"/>
    <w:rsid w:val="00534574"/>
    <w:rsid w:val="005969F2"/>
    <w:rsid w:val="005A7FD0"/>
    <w:rsid w:val="005B0775"/>
    <w:rsid w:val="005C092B"/>
    <w:rsid w:val="005E40E4"/>
    <w:rsid w:val="005E78C0"/>
    <w:rsid w:val="006118FC"/>
    <w:rsid w:val="00661C76"/>
    <w:rsid w:val="006757C1"/>
    <w:rsid w:val="006902E1"/>
    <w:rsid w:val="006907B3"/>
    <w:rsid w:val="006958B5"/>
    <w:rsid w:val="006B197A"/>
    <w:rsid w:val="00707167"/>
    <w:rsid w:val="00707ACD"/>
    <w:rsid w:val="00716829"/>
    <w:rsid w:val="0073521E"/>
    <w:rsid w:val="0075211E"/>
    <w:rsid w:val="00764DD0"/>
    <w:rsid w:val="00774DF4"/>
    <w:rsid w:val="00777818"/>
    <w:rsid w:val="00796676"/>
    <w:rsid w:val="007F24AD"/>
    <w:rsid w:val="007F3729"/>
    <w:rsid w:val="007F61E9"/>
    <w:rsid w:val="007F75D8"/>
    <w:rsid w:val="00815905"/>
    <w:rsid w:val="008215B8"/>
    <w:rsid w:val="008431E8"/>
    <w:rsid w:val="00861C82"/>
    <w:rsid w:val="008632E4"/>
    <w:rsid w:val="008730DA"/>
    <w:rsid w:val="008737AB"/>
    <w:rsid w:val="00874129"/>
    <w:rsid w:val="008828B4"/>
    <w:rsid w:val="008D2348"/>
    <w:rsid w:val="008F3ADC"/>
    <w:rsid w:val="00910541"/>
    <w:rsid w:val="00915EE3"/>
    <w:rsid w:val="00984F4F"/>
    <w:rsid w:val="009878E3"/>
    <w:rsid w:val="009903B5"/>
    <w:rsid w:val="009930C5"/>
    <w:rsid w:val="009A1130"/>
    <w:rsid w:val="009B6021"/>
    <w:rsid w:val="009E2528"/>
    <w:rsid w:val="009E2773"/>
    <w:rsid w:val="009F4543"/>
    <w:rsid w:val="00A0497C"/>
    <w:rsid w:val="00A1023F"/>
    <w:rsid w:val="00A1496F"/>
    <w:rsid w:val="00A16B0D"/>
    <w:rsid w:val="00A31F03"/>
    <w:rsid w:val="00A60835"/>
    <w:rsid w:val="00A812F4"/>
    <w:rsid w:val="00A863EA"/>
    <w:rsid w:val="00A952A1"/>
    <w:rsid w:val="00AB68AA"/>
    <w:rsid w:val="00B256B8"/>
    <w:rsid w:val="00B25957"/>
    <w:rsid w:val="00B44238"/>
    <w:rsid w:val="00B560A4"/>
    <w:rsid w:val="00B567D6"/>
    <w:rsid w:val="00B636BB"/>
    <w:rsid w:val="00B76E5B"/>
    <w:rsid w:val="00B907F3"/>
    <w:rsid w:val="00B96851"/>
    <w:rsid w:val="00C04697"/>
    <w:rsid w:val="00C112D0"/>
    <w:rsid w:val="00C151CD"/>
    <w:rsid w:val="00C26A86"/>
    <w:rsid w:val="00C334DD"/>
    <w:rsid w:val="00C36526"/>
    <w:rsid w:val="00C457DE"/>
    <w:rsid w:val="00C946E3"/>
    <w:rsid w:val="00CA3E4B"/>
    <w:rsid w:val="00CA4D14"/>
    <w:rsid w:val="00CB7786"/>
    <w:rsid w:val="00CC13BC"/>
    <w:rsid w:val="00CD7184"/>
    <w:rsid w:val="00CF0F9F"/>
    <w:rsid w:val="00CF35DD"/>
    <w:rsid w:val="00CF63C5"/>
    <w:rsid w:val="00D00FE0"/>
    <w:rsid w:val="00D02E67"/>
    <w:rsid w:val="00D057D2"/>
    <w:rsid w:val="00D17726"/>
    <w:rsid w:val="00D17962"/>
    <w:rsid w:val="00D3529D"/>
    <w:rsid w:val="00D7277D"/>
    <w:rsid w:val="00D921FE"/>
    <w:rsid w:val="00DA1BF7"/>
    <w:rsid w:val="00DB431F"/>
    <w:rsid w:val="00DB70BB"/>
    <w:rsid w:val="00DD0263"/>
    <w:rsid w:val="00DE185A"/>
    <w:rsid w:val="00DE5EB4"/>
    <w:rsid w:val="00DF6251"/>
    <w:rsid w:val="00DF7243"/>
    <w:rsid w:val="00E1459A"/>
    <w:rsid w:val="00ED34F3"/>
    <w:rsid w:val="00F03F41"/>
    <w:rsid w:val="00F3485E"/>
    <w:rsid w:val="00F4360F"/>
    <w:rsid w:val="00F5727B"/>
    <w:rsid w:val="00F60856"/>
    <w:rsid w:val="00F74966"/>
    <w:rsid w:val="00FA2797"/>
    <w:rsid w:val="00FB3F6A"/>
    <w:rsid w:val="00FC395E"/>
    <w:rsid w:val="00FC654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1DDA51C-8261-4B31-BA82-27702302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30"/>
  </w:style>
  <w:style w:type="paragraph" w:styleId="Heading1">
    <w:name w:val="heading 1"/>
    <w:basedOn w:val="Normal"/>
    <w:next w:val="Normal"/>
    <w:link w:val="Heading1Char"/>
    <w:uiPriority w:val="9"/>
    <w:qFormat/>
    <w:rsid w:val="009A1130"/>
    <w:pPr>
      <w:keepNext/>
      <w:keepLines/>
      <w:numPr>
        <w:numId w:val="21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04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1F"/>
    <w:pPr>
      <w:ind w:left="720"/>
      <w:contextualSpacing/>
    </w:pPr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7"/>
  </w:style>
  <w:style w:type="paragraph" w:styleId="Footer">
    <w:name w:val="footer"/>
    <w:basedOn w:val="Normal"/>
    <w:link w:val="Foot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863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2E4"/>
    <w:rPr>
      <w:vertAlign w:val="superscript"/>
    </w:rPr>
  </w:style>
  <w:style w:type="paragraph" w:styleId="NoSpacing">
    <w:name w:val="No Spacing"/>
    <w:link w:val="NoSpacingChar"/>
    <w:uiPriority w:val="1"/>
    <w:qFormat/>
    <w:rsid w:val="005C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130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11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1E8C"/>
    <w:pPr>
      <w:tabs>
        <w:tab w:val="left" w:pos="1134"/>
        <w:tab w:val="right" w:leader="dot" w:pos="9016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04697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F\OCH%202006\Safety%20&amp;%20OH%20Misc\Admin\Warwick%20Brand%20New%20Documants\Blank%20Document%20Header%20Auberg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Fire safety Adviser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5FDA7-385A-4841-B28E-FD96688A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Header Aubergine.dotx</Template>
  <TotalTime>0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Fire Safety withConcerto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Fire Safety withConcerto</dc:title>
  <dc:subject>Guidance on the fire safety sections of concerto</dc:subject>
  <dc:creator>Lakin, Jo</dc:creator>
  <cp:keywords/>
  <dc:description/>
  <cp:lastModifiedBy>Breeze, Ben</cp:lastModifiedBy>
  <cp:revision>3</cp:revision>
  <cp:lastPrinted>2019-04-08T14:01:00Z</cp:lastPrinted>
  <dcterms:created xsi:type="dcterms:W3CDTF">2019-02-11T10:28:00Z</dcterms:created>
  <dcterms:modified xsi:type="dcterms:W3CDTF">2019-04-08T14:01:00Z</dcterms:modified>
</cp:coreProperties>
</file>