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80D06D" w14:textId="77777777" w:rsidR="00614BF7" w:rsidRPr="00441776" w:rsidRDefault="00614BF7" w:rsidP="00614BF7">
      <w:pPr>
        <w:jc w:val="center"/>
        <w:rPr>
          <w:rFonts w:ascii="Arial" w:hAnsi="Arial" w:cs="Arial"/>
          <w:b/>
          <w:u w:val="single"/>
        </w:rPr>
      </w:pPr>
      <w:r w:rsidRPr="00441776">
        <w:rPr>
          <w:rFonts w:ascii="Arial" w:hAnsi="Arial" w:cs="Arial"/>
          <w:b/>
          <w:u w:val="single"/>
        </w:rPr>
        <w:t>Guidance for Academic Departments Governing the Use of Discretion by Boards of Examiners Considering the Performance of Undergraduate Students in the light of Industrial Action, Summer 2018</w:t>
      </w:r>
    </w:p>
    <w:p w14:paraId="3FC8C98D" w14:textId="77777777" w:rsidR="00614BF7" w:rsidRPr="00441776" w:rsidRDefault="00614BF7">
      <w:pPr>
        <w:rPr>
          <w:rFonts w:ascii="Arial" w:hAnsi="Arial" w:cs="Arial"/>
        </w:rPr>
      </w:pPr>
    </w:p>
    <w:p w14:paraId="14E90BE7" w14:textId="77777777" w:rsidR="00723152" w:rsidRPr="00441776" w:rsidRDefault="00614BF7" w:rsidP="00614BF7">
      <w:pPr>
        <w:ind w:left="720" w:hanging="720"/>
        <w:rPr>
          <w:rFonts w:ascii="Arial" w:hAnsi="Arial" w:cs="Arial"/>
          <w:b/>
          <w:u w:val="single"/>
        </w:rPr>
      </w:pPr>
      <w:r w:rsidRPr="00441776">
        <w:rPr>
          <w:rFonts w:ascii="Arial" w:hAnsi="Arial" w:cs="Arial"/>
        </w:rPr>
        <w:t>1.</w:t>
      </w:r>
      <w:r w:rsidRPr="00441776">
        <w:rPr>
          <w:rFonts w:ascii="Arial" w:hAnsi="Arial" w:cs="Arial"/>
        </w:rPr>
        <w:tab/>
      </w:r>
      <w:r w:rsidR="00723152" w:rsidRPr="00441776">
        <w:rPr>
          <w:rFonts w:ascii="Arial" w:hAnsi="Arial" w:cs="Arial"/>
          <w:b/>
          <w:u w:val="single"/>
        </w:rPr>
        <w:t>Reference Points for Boards of Examiners</w:t>
      </w:r>
    </w:p>
    <w:p w14:paraId="4B7A630D" w14:textId="77777777" w:rsidR="00614BF7" w:rsidRPr="00441776" w:rsidRDefault="00614BF7" w:rsidP="00723152">
      <w:pPr>
        <w:ind w:left="720"/>
        <w:rPr>
          <w:rFonts w:ascii="Arial" w:hAnsi="Arial" w:cs="Arial"/>
        </w:rPr>
      </w:pPr>
      <w:r w:rsidRPr="00441776">
        <w:rPr>
          <w:rFonts w:ascii="Arial" w:hAnsi="Arial" w:cs="Arial"/>
        </w:rPr>
        <w:t>This guidance is intended to be read and implemented alongside existing University regulations and policies, amongst which Boards of Examiners should be familiar with:</w:t>
      </w:r>
    </w:p>
    <w:p w14:paraId="3136C42A" w14:textId="77777777" w:rsidR="00AA50CB" w:rsidRPr="00441776" w:rsidRDefault="00614BF7" w:rsidP="00614BF7">
      <w:pPr>
        <w:pStyle w:val="ListParagraph"/>
        <w:rPr>
          <w:rFonts w:ascii="Arial" w:hAnsi="Arial" w:cs="Arial"/>
          <w:u w:val="single"/>
        </w:rPr>
      </w:pPr>
      <w:r w:rsidRPr="00441776">
        <w:rPr>
          <w:rFonts w:ascii="Arial" w:hAnsi="Arial" w:cs="Arial"/>
          <w:u w:val="single"/>
        </w:rPr>
        <w:t>Regulations</w:t>
      </w:r>
    </w:p>
    <w:p w14:paraId="1D103BF4" w14:textId="77777777" w:rsidR="00614BF7" w:rsidRPr="00441776" w:rsidRDefault="00253334" w:rsidP="00614BF7">
      <w:pPr>
        <w:pStyle w:val="ListParagraph"/>
        <w:rPr>
          <w:rFonts w:ascii="Arial" w:hAnsi="Arial" w:cs="Arial"/>
        </w:rPr>
      </w:pPr>
      <w:hyperlink r:id="rId7" w:history="1">
        <w:r w:rsidR="00614BF7" w:rsidRPr="00441776">
          <w:rPr>
            <w:rStyle w:val="Hyperlink"/>
            <w:rFonts w:ascii="Arial" w:hAnsi="Arial" w:cs="Arial"/>
          </w:rPr>
          <w:t>https://warwick.ac.uk/services/gov/calendar/section2/regulations</w:t>
        </w:r>
      </w:hyperlink>
      <w:r w:rsidR="00614BF7" w:rsidRPr="00441776">
        <w:rPr>
          <w:rFonts w:ascii="Arial" w:hAnsi="Arial" w:cs="Arial"/>
        </w:rPr>
        <w:t xml:space="preserve"> </w:t>
      </w:r>
    </w:p>
    <w:p w14:paraId="12D8B811" w14:textId="77777777" w:rsidR="00614BF7" w:rsidRPr="00441776" w:rsidRDefault="00614BF7" w:rsidP="00614BF7">
      <w:pPr>
        <w:pStyle w:val="ListParagraph"/>
        <w:rPr>
          <w:rFonts w:ascii="Arial" w:hAnsi="Arial" w:cs="Arial"/>
        </w:rPr>
      </w:pPr>
    </w:p>
    <w:p w14:paraId="1F1A0F09" w14:textId="77777777" w:rsidR="00614BF7" w:rsidRPr="00441776" w:rsidRDefault="00614BF7" w:rsidP="00614BF7">
      <w:pPr>
        <w:pStyle w:val="ListParagraph"/>
        <w:rPr>
          <w:rFonts w:ascii="Arial" w:hAnsi="Arial" w:cs="Arial"/>
        </w:rPr>
      </w:pPr>
      <w:r w:rsidRPr="00441776">
        <w:rPr>
          <w:rFonts w:ascii="Arial" w:hAnsi="Arial" w:cs="Arial"/>
        </w:rPr>
        <w:t>Regulation 8, Regulations for First Degrees</w:t>
      </w:r>
    </w:p>
    <w:p w14:paraId="45BFA236" w14:textId="77777777" w:rsidR="00614BF7" w:rsidRPr="00441776" w:rsidRDefault="00614BF7" w:rsidP="00614BF7">
      <w:pPr>
        <w:pStyle w:val="ListParagraph"/>
        <w:rPr>
          <w:rFonts w:ascii="Arial" w:hAnsi="Arial" w:cs="Arial"/>
        </w:rPr>
      </w:pPr>
      <w:r w:rsidRPr="00441776">
        <w:rPr>
          <w:rFonts w:ascii="Arial" w:hAnsi="Arial" w:cs="Arial"/>
        </w:rPr>
        <w:t>Regulation 9, Constitution of Boards of Examiners</w:t>
      </w:r>
    </w:p>
    <w:p w14:paraId="63BED891" w14:textId="77777777" w:rsidR="00614BF7" w:rsidRPr="00441776" w:rsidRDefault="00614BF7" w:rsidP="00614BF7">
      <w:pPr>
        <w:pStyle w:val="ListParagraph"/>
        <w:rPr>
          <w:rFonts w:ascii="Arial" w:hAnsi="Arial" w:cs="Arial"/>
        </w:rPr>
      </w:pPr>
      <w:r w:rsidRPr="00441776">
        <w:rPr>
          <w:rFonts w:ascii="Arial" w:hAnsi="Arial" w:cs="Arial"/>
        </w:rPr>
        <w:t xml:space="preserve">Regulation 10, Examination Regulations </w:t>
      </w:r>
    </w:p>
    <w:p w14:paraId="2B87228C" w14:textId="77777777" w:rsidR="00614BF7" w:rsidRPr="00441776" w:rsidRDefault="00614BF7" w:rsidP="00614BF7">
      <w:pPr>
        <w:pStyle w:val="ListParagraph"/>
        <w:rPr>
          <w:rFonts w:ascii="Arial" w:hAnsi="Arial" w:cs="Arial"/>
        </w:rPr>
      </w:pPr>
      <w:r w:rsidRPr="00441776">
        <w:rPr>
          <w:rFonts w:ascii="Arial" w:hAnsi="Arial" w:cs="Arial"/>
        </w:rPr>
        <w:t xml:space="preserve">Regulation 12, Procedure to be adopted in the Event of Absence for Medical Reasons from a University Examination for First Degrees </w:t>
      </w:r>
    </w:p>
    <w:p w14:paraId="7A450F9A" w14:textId="77777777" w:rsidR="00614BF7" w:rsidRPr="00441776" w:rsidRDefault="00614BF7" w:rsidP="00614BF7">
      <w:pPr>
        <w:pStyle w:val="ListParagraph"/>
        <w:rPr>
          <w:rFonts w:ascii="Arial" w:hAnsi="Arial" w:cs="Arial"/>
        </w:rPr>
      </w:pPr>
      <w:r w:rsidRPr="00441776">
        <w:rPr>
          <w:rFonts w:ascii="Arial" w:hAnsi="Arial" w:cs="Arial"/>
        </w:rPr>
        <w:t>Regulation 41, Regulation Relating to the Absence of Examination Marks as a Consequence of Significant Disruption</w:t>
      </w:r>
    </w:p>
    <w:p w14:paraId="4674705F" w14:textId="77777777" w:rsidR="00614BF7" w:rsidRPr="00441776" w:rsidRDefault="00614BF7" w:rsidP="00614BF7">
      <w:pPr>
        <w:pStyle w:val="ListParagraph"/>
        <w:rPr>
          <w:rFonts w:ascii="Arial" w:hAnsi="Arial" w:cs="Arial"/>
        </w:rPr>
      </w:pPr>
      <w:r w:rsidRPr="00441776">
        <w:rPr>
          <w:rFonts w:ascii="Arial" w:hAnsi="Arial" w:cs="Arial"/>
        </w:rPr>
        <w:t>Regulation 42, Regulation Governing Academic Appeals</w:t>
      </w:r>
    </w:p>
    <w:p w14:paraId="7C07B5DD" w14:textId="77777777" w:rsidR="00614BF7" w:rsidRPr="00441776" w:rsidRDefault="00614BF7" w:rsidP="00614BF7">
      <w:pPr>
        <w:pStyle w:val="ListParagraph"/>
        <w:rPr>
          <w:rFonts w:ascii="Arial" w:hAnsi="Arial" w:cs="Arial"/>
        </w:rPr>
      </w:pPr>
      <w:r w:rsidRPr="00441776">
        <w:rPr>
          <w:rFonts w:ascii="Arial" w:hAnsi="Arial" w:cs="Arial"/>
        </w:rPr>
        <w:t xml:space="preserve"> </w:t>
      </w:r>
    </w:p>
    <w:p w14:paraId="4ED8D8D1" w14:textId="77777777" w:rsidR="00614BF7" w:rsidRPr="00441776" w:rsidRDefault="00614BF7" w:rsidP="00614BF7">
      <w:pPr>
        <w:pStyle w:val="ListParagraph"/>
        <w:rPr>
          <w:rFonts w:ascii="Arial" w:hAnsi="Arial" w:cs="Arial"/>
          <w:u w:val="single"/>
        </w:rPr>
      </w:pPr>
      <w:r w:rsidRPr="00441776">
        <w:rPr>
          <w:rFonts w:ascii="Arial" w:hAnsi="Arial" w:cs="Arial"/>
          <w:u w:val="single"/>
        </w:rPr>
        <w:t>Policies</w:t>
      </w:r>
    </w:p>
    <w:p w14:paraId="7002BBBD" w14:textId="77777777" w:rsidR="00614BF7" w:rsidRPr="00441776" w:rsidRDefault="00614BF7" w:rsidP="00614BF7">
      <w:pPr>
        <w:pStyle w:val="ListParagraph"/>
        <w:rPr>
          <w:rFonts w:ascii="Arial" w:hAnsi="Arial" w:cs="Arial"/>
        </w:rPr>
      </w:pPr>
    </w:p>
    <w:p w14:paraId="33E93E7E" w14:textId="59992933" w:rsidR="00614BF7" w:rsidRPr="00441776" w:rsidRDefault="00614BF7" w:rsidP="00614BF7">
      <w:pPr>
        <w:pStyle w:val="ListParagraph"/>
        <w:rPr>
          <w:rFonts w:ascii="Arial" w:hAnsi="Arial" w:cs="Arial"/>
        </w:rPr>
      </w:pPr>
      <w:r w:rsidRPr="00441776">
        <w:rPr>
          <w:rFonts w:ascii="Arial" w:hAnsi="Arial" w:cs="Arial"/>
        </w:rPr>
        <w:t xml:space="preserve">University Assessment Conventions, </w:t>
      </w:r>
    </w:p>
    <w:p w14:paraId="6033D976" w14:textId="03B322F1" w:rsidR="00A309D1" w:rsidRPr="00441776" w:rsidRDefault="00253334" w:rsidP="00614BF7">
      <w:pPr>
        <w:pStyle w:val="ListParagraph"/>
        <w:rPr>
          <w:rFonts w:ascii="Arial" w:hAnsi="Arial" w:cs="Arial"/>
        </w:rPr>
      </w:pPr>
      <w:hyperlink r:id="rId8" w:history="1">
        <w:r w:rsidR="00A309D1" w:rsidRPr="00441776">
          <w:rPr>
            <w:rStyle w:val="Hyperlink"/>
            <w:rFonts w:ascii="Arial" w:hAnsi="Arial" w:cs="Arial"/>
          </w:rPr>
          <w:t>https://warwick.ac.uk/services/aro/dar/quality/categories/examinations/conventions/ug13</w:t>
        </w:r>
      </w:hyperlink>
    </w:p>
    <w:p w14:paraId="160F32EE" w14:textId="3AAED526" w:rsidR="00AA50CB" w:rsidRPr="00441776" w:rsidRDefault="00AA50CB" w:rsidP="00614BF7">
      <w:pPr>
        <w:pStyle w:val="ListParagraph"/>
        <w:rPr>
          <w:rFonts w:ascii="Arial" w:hAnsi="Arial" w:cs="Arial"/>
        </w:rPr>
      </w:pPr>
      <w:r w:rsidRPr="00441776">
        <w:rPr>
          <w:rFonts w:ascii="Arial" w:hAnsi="Arial" w:cs="Arial"/>
        </w:rPr>
        <w:t>Notably section</w:t>
      </w:r>
      <w:r w:rsidR="00A309D1" w:rsidRPr="00441776">
        <w:rPr>
          <w:rFonts w:ascii="Arial" w:hAnsi="Arial" w:cs="Arial"/>
        </w:rPr>
        <w:t xml:space="preserve"> III</w:t>
      </w:r>
      <w:r w:rsidRPr="00441776">
        <w:rPr>
          <w:rFonts w:ascii="Arial" w:hAnsi="Arial" w:cs="Arial"/>
        </w:rPr>
        <w:t xml:space="preserve"> 3 relating to consideration of borderline cases</w:t>
      </w:r>
    </w:p>
    <w:p w14:paraId="60218F0E" w14:textId="77777777" w:rsidR="00614BF7" w:rsidRPr="00441776" w:rsidRDefault="00614BF7" w:rsidP="00614BF7">
      <w:pPr>
        <w:pStyle w:val="ListParagraph"/>
        <w:rPr>
          <w:rFonts w:ascii="Arial" w:hAnsi="Arial" w:cs="Arial"/>
        </w:rPr>
      </w:pPr>
    </w:p>
    <w:p w14:paraId="0279E794" w14:textId="77777777" w:rsidR="00614BF7" w:rsidRPr="00441776" w:rsidRDefault="00614BF7" w:rsidP="00614BF7">
      <w:pPr>
        <w:pStyle w:val="ListParagraph"/>
        <w:rPr>
          <w:rFonts w:ascii="Arial" w:hAnsi="Arial" w:cs="Arial"/>
        </w:rPr>
      </w:pPr>
      <w:r w:rsidRPr="00441776">
        <w:rPr>
          <w:rFonts w:ascii="Arial" w:hAnsi="Arial" w:cs="Arial"/>
        </w:rPr>
        <w:t xml:space="preserve">Senate Examination and Assessment Policies, </w:t>
      </w:r>
      <w:hyperlink r:id="rId9" w:history="1">
        <w:r w:rsidRPr="00441776">
          <w:rPr>
            <w:rStyle w:val="Hyperlink"/>
            <w:rFonts w:ascii="Arial" w:hAnsi="Arial" w:cs="Arial"/>
          </w:rPr>
          <w:t>https://warwick.ac.uk/services/aro/dar/quality/categories/examinations/policies/</w:t>
        </w:r>
      </w:hyperlink>
    </w:p>
    <w:p w14:paraId="19B5C3ED" w14:textId="77777777" w:rsidR="00933833" w:rsidRPr="00441776" w:rsidRDefault="00614BF7" w:rsidP="00614BF7">
      <w:pPr>
        <w:pStyle w:val="ListParagraph"/>
        <w:rPr>
          <w:rFonts w:ascii="Arial" w:hAnsi="Arial" w:cs="Arial"/>
        </w:rPr>
      </w:pPr>
      <w:proofErr w:type="gramStart"/>
      <w:r w:rsidRPr="00441776">
        <w:rPr>
          <w:rFonts w:ascii="Arial" w:hAnsi="Arial" w:cs="Arial"/>
        </w:rPr>
        <w:t>notably</w:t>
      </w:r>
      <w:proofErr w:type="gramEnd"/>
      <w:r w:rsidRPr="00441776">
        <w:rPr>
          <w:rFonts w:ascii="Arial" w:hAnsi="Arial" w:cs="Arial"/>
        </w:rPr>
        <w:t xml:space="preserve"> section </w:t>
      </w:r>
      <w:r w:rsidR="00AA50CB" w:rsidRPr="00441776">
        <w:rPr>
          <w:rFonts w:ascii="Arial" w:hAnsi="Arial" w:cs="Arial"/>
        </w:rPr>
        <w:t>L</w:t>
      </w:r>
      <w:r w:rsidRPr="00441776">
        <w:rPr>
          <w:rFonts w:ascii="Arial" w:hAnsi="Arial" w:cs="Arial"/>
        </w:rPr>
        <w:t>: Absence from a University Examination and Uncompleted Assessed Work</w:t>
      </w:r>
    </w:p>
    <w:p w14:paraId="6D2A268D" w14:textId="77777777" w:rsidR="00614BF7" w:rsidRPr="00441776" w:rsidRDefault="00614BF7" w:rsidP="00614BF7">
      <w:pPr>
        <w:pStyle w:val="ListParagraph"/>
        <w:rPr>
          <w:rFonts w:ascii="Arial" w:hAnsi="Arial" w:cs="Arial"/>
        </w:rPr>
      </w:pPr>
    </w:p>
    <w:p w14:paraId="0515DCB2" w14:textId="77777777" w:rsidR="00614BF7" w:rsidRPr="00441776" w:rsidRDefault="00614BF7" w:rsidP="00614BF7">
      <w:pPr>
        <w:pStyle w:val="ListParagraph"/>
        <w:rPr>
          <w:rFonts w:ascii="Arial" w:hAnsi="Arial" w:cs="Arial"/>
        </w:rPr>
      </w:pPr>
      <w:r w:rsidRPr="00441776">
        <w:rPr>
          <w:rFonts w:ascii="Arial" w:hAnsi="Arial" w:cs="Arial"/>
        </w:rPr>
        <w:t xml:space="preserve">University Moderation Guidance, </w:t>
      </w:r>
      <w:hyperlink r:id="rId10" w:history="1">
        <w:r w:rsidRPr="00441776">
          <w:rPr>
            <w:rStyle w:val="Hyperlink"/>
            <w:rFonts w:ascii="Arial" w:hAnsi="Arial" w:cs="Arial"/>
          </w:rPr>
          <w:t>https://warwick.ac.uk/services/aro/dar/quality/categories/examinations/moderation</w:t>
        </w:r>
      </w:hyperlink>
    </w:p>
    <w:p w14:paraId="32C05AAD" w14:textId="77777777" w:rsidR="00614BF7" w:rsidRPr="00441776" w:rsidRDefault="00614BF7" w:rsidP="00614BF7">
      <w:pPr>
        <w:pStyle w:val="ListParagraph"/>
        <w:rPr>
          <w:rFonts w:ascii="Arial" w:hAnsi="Arial" w:cs="Arial"/>
        </w:rPr>
      </w:pPr>
    </w:p>
    <w:p w14:paraId="186379AA" w14:textId="77777777" w:rsidR="00614BF7" w:rsidRPr="00441776" w:rsidRDefault="00614BF7" w:rsidP="00614BF7">
      <w:pPr>
        <w:pStyle w:val="ListParagraph"/>
        <w:rPr>
          <w:rFonts w:ascii="Arial" w:hAnsi="Arial" w:cs="Arial"/>
        </w:rPr>
      </w:pPr>
      <w:r w:rsidRPr="00441776">
        <w:rPr>
          <w:rFonts w:ascii="Arial" w:hAnsi="Arial" w:cs="Arial"/>
        </w:rPr>
        <w:t xml:space="preserve">University Mitigating Circumstances Process and Procedures, </w:t>
      </w:r>
    </w:p>
    <w:p w14:paraId="3B3F27EE" w14:textId="77777777" w:rsidR="00AA50CB" w:rsidRPr="00441776" w:rsidRDefault="00253334" w:rsidP="00614BF7">
      <w:pPr>
        <w:pStyle w:val="ListParagraph"/>
        <w:rPr>
          <w:rFonts w:ascii="Arial" w:hAnsi="Arial" w:cs="Arial"/>
        </w:rPr>
      </w:pPr>
      <w:hyperlink r:id="rId11" w:history="1">
        <w:r w:rsidR="00AA50CB" w:rsidRPr="00441776">
          <w:rPr>
            <w:rStyle w:val="Hyperlink"/>
            <w:rFonts w:ascii="Arial" w:hAnsi="Arial" w:cs="Arial"/>
          </w:rPr>
          <w:t>https://warwick.ac.uk/services/academicoffice/examinations/students/mitigatingcircumstances/</w:t>
        </w:r>
      </w:hyperlink>
    </w:p>
    <w:p w14:paraId="00EB9FA5" w14:textId="77777777" w:rsidR="00AA50CB" w:rsidRPr="00441776" w:rsidRDefault="00AA50CB" w:rsidP="00614BF7">
      <w:pPr>
        <w:pStyle w:val="ListParagraph"/>
        <w:rPr>
          <w:rFonts w:ascii="Arial" w:hAnsi="Arial" w:cs="Arial"/>
        </w:rPr>
      </w:pPr>
    </w:p>
    <w:p w14:paraId="6A5829AC" w14:textId="77777777" w:rsidR="00AA50CB" w:rsidRPr="00441776" w:rsidRDefault="00AA50CB" w:rsidP="00614BF7">
      <w:pPr>
        <w:pStyle w:val="ListParagraph"/>
        <w:rPr>
          <w:rFonts w:ascii="Arial" w:hAnsi="Arial" w:cs="Arial"/>
        </w:rPr>
      </w:pPr>
      <w:r w:rsidRPr="00441776">
        <w:rPr>
          <w:rFonts w:ascii="Arial" w:hAnsi="Arial" w:cs="Arial"/>
        </w:rPr>
        <w:t xml:space="preserve">University Guidance on Scaling, </w:t>
      </w:r>
      <w:hyperlink r:id="rId12" w:history="1">
        <w:r w:rsidRPr="00441776">
          <w:rPr>
            <w:rStyle w:val="Hyperlink"/>
            <w:rFonts w:ascii="Arial" w:hAnsi="Arial" w:cs="Arial"/>
          </w:rPr>
          <w:t>https://warwick.ac.uk/services/aro/dar/quality/categories/examinations/scaling</w:t>
        </w:r>
      </w:hyperlink>
    </w:p>
    <w:p w14:paraId="5343962F" w14:textId="77777777" w:rsidR="00AA50CB" w:rsidRPr="00441776" w:rsidRDefault="00AA50CB" w:rsidP="00614BF7">
      <w:pPr>
        <w:pStyle w:val="ListParagraph"/>
        <w:rPr>
          <w:rFonts w:ascii="Arial" w:hAnsi="Arial" w:cs="Arial"/>
        </w:rPr>
      </w:pPr>
    </w:p>
    <w:p w14:paraId="62E56130" w14:textId="3E80D230" w:rsidR="00AA50CB" w:rsidRDefault="00AA50CB" w:rsidP="00614BF7">
      <w:pPr>
        <w:pStyle w:val="ListParagraph"/>
        <w:rPr>
          <w:rFonts w:ascii="Arial" w:hAnsi="Arial" w:cs="Arial"/>
        </w:rPr>
      </w:pPr>
      <w:r w:rsidRPr="00441776">
        <w:rPr>
          <w:rFonts w:ascii="Arial" w:hAnsi="Arial" w:cs="Arial"/>
        </w:rPr>
        <w:t>Guidance to Heads of Academic Departments on assessment and examination arrangements for undergraduate and postgraduate taught students consequent upon strike action</w:t>
      </w:r>
      <w:r w:rsidR="00143206">
        <w:rPr>
          <w:rFonts w:ascii="Arial" w:hAnsi="Arial" w:cs="Arial"/>
        </w:rPr>
        <w:t>,</w:t>
      </w:r>
      <w:r w:rsidR="00723152" w:rsidRPr="00441776">
        <w:rPr>
          <w:rFonts w:ascii="Arial" w:hAnsi="Arial" w:cs="Arial"/>
        </w:rPr>
        <w:t xml:space="preserve"> </w:t>
      </w:r>
      <w:hyperlink r:id="rId13" w:history="1">
        <w:r w:rsidR="00143206" w:rsidRPr="000B3468">
          <w:rPr>
            <w:rStyle w:val="Hyperlink"/>
            <w:rFonts w:ascii="Arial" w:hAnsi="Arial" w:cs="Arial"/>
          </w:rPr>
          <w:t>https://warwick.ac.uk/services/academicoffice/examinations</w:t>
        </w:r>
      </w:hyperlink>
    </w:p>
    <w:p w14:paraId="3798CB8A" w14:textId="77777777" w:rsidR="00143206" w:rsidRPr="00441776" w:rsidRDefault="00143206" w:rsidP="00614BF7">
      <w:pPr>
        <w:pStyle w:val="ListParagraph"/>
        <w:rPr>
          <w:rFonts w:ascii="Arial" w:hAnsi="Arial" w:cs="Arial"/>
        </w:rPr>
      </w:pPr>
    </w:p>
    <w:p w14:paraId="14CE5FA8" w14:textId="77777777" w:rsidR="00AA50CB" w:rsidRDefault="00AA50CB" w:rsidP="00614BF7">
      <w:pPr>
        <w:pStyle w:val="ListParagraph"/>
        <w:rPr>
          <w:rFonts w:ascii="Arial" w:hAnsi="Arial" w:cs="Arial"/>
        </w:rPr>
      </w:pPr>
      <w:r w:rsidRPr="00441776">
        <w:rPr>
          <w:rFonts w:ascii="Arial" w:hAnsi="Arial" w:cs="Arial"/>
        </w:rPr>
        <w:t xml:space="preserve">  </w:t>
      </w:r>
    </w:p>
    <w:p w14:paraId="73A0877A" w14:textId="77777777" w:rsidR="000F4428" w:rsidRDefault="000F4428" w:rsidP="00614BF7">
      <w:pPr>
        <w:pStyle w:val="ListParagraph"/>
        <w:rPr>
          <w:rFonts w:ascii="Arial" w:hAnsi="Arial" w:cs="Arial"/>
        </w:rPr>
      </w:pPr>
    </w:p>
    <w:p w14:paraId="707A43EF" w14:textId="77777777" w:rsidR="000F4428" w:rsidRPr="00441776" w:rsidRDefault="000F4428" w:rsidP="00614BF7">
      <w:pPr>
        <w:pStyle w:val="ListParagraph"/>
        <w:rPr>
          <w:rFonts w:ascii="Arial" w:hAnsi="Arial" w:cs="Arial"/>
        </w:rPr>
      </w:pPr>
    </w:p>
    <w:p w14:paraId="4C38751D" w14:textId="77777777" w:rsidR="00AA50CB" w:rsidRPr="00441776" w:rsidRDefault="00AA50CB" w:rsidP="00441776">
      <w:pPr>
        <w:ind w:left="720" w:hanging="720"/>
        <w:rPr>
          <w:rFonts w:ascii="Arial" w:hAnsi="Arial" w:cs="Arial"/>
        </w:rPr>
      </w:pPr>
      <w:r w:rsidRPr="00441776">
        <w:rPr>
          <w:rFonts w:ascii="Arial" w:hAnsi="Arial" w:cs="Arial"/>
        </w:rPr>
        <w:lastRenderedPageBreak/>
        <w:t>2.</w:t>
      </w:r>
      <w:r w:rsidRPr="00441776">
        <w:rPr>
          <w:rFonts w:ascii="Arial" w:hAnsi="Arial" w:cs="Arial"/>
        </w:rPr>
        <w:tab/>
      </w:r>
      <w:r w:rsidR="00723152" w:rsidRPr="00441776">
        <w:rPr>
          <w:rFonts w:ascii="Arial" w:hAnsi="Arial" w:cs="Arial"/>
          <w:b/>
          <w:u w:val="single"/>
        </w:rPr>
        <w:t>Key Principles to be adopted by Mitigating Circumstances Panels and Boards of Examiners</w:t>
      </w:r>
      <w:r w:rsidR="00723152" w:rsidRPr="00441776">
        <w:rPr>
          <w:rFonts w:ascii="Arial" w:hAnsi="Arial" w:cs="Arial"/>
        </w:rPr>
        <w:t xml:space="preserve"> </w:t>
      </w:r>
    </w:p>
    <w:p w14:paraId="2CF1C582" w14:textId="3C2E8AA2" w:rsidR="00723152" w:rsidRPr="00441776" w:rsidRDefault="00723152" w:rsidP="00441776">
      <w:pPr>
        <w:ind w:left="1440" w:hanging="720"/>
        <w:rPr>
          <w:rFonts w:ascii="Arial" w:hAnsi="Arial" w:cs="Arial"/>
        </w:rPr>
      </w:pPr>
      <w:r w:rsidRPr="00441776">
        <w:rPr>
          <w:rFonts w:ascii="Arial" w:hAnsi="Arial" w:cs="Arial"/>
        </w:rPr>
        <w:t>(a)</w:t>
      </w:r>
      <w:r w:rsidRPr="00441776">
        <w:rPr>
          <w:rFonts w:ascii="Arial" w:hAnsi="Arial" w:cs="Arial"/>
        </w:rPr>
        <w:tab/>
      </w:r>
      <w:r w:rsidR="000F4428">
        <w:rPr>
          <w:rFonts w:ascii="Arial" w:hAnsi="Arial" w:cs="Arial"/>
        </w:rPr>
        <w:t>All s</w:t>
      </w:r>
      <w:r w:rsidRPr="00441776">
        <w:rPr>
          <w:rFonts w:ascii="Arial" w:hAnsi="Arial" w:cs="Arial"/>
        </w:rPr>
        <w:t xml:space="preserve">tudents </w:t>
      </w:r>
      <w:r w:rsidR="00451EE4" w:rsidRPr="00441776">
        <w:rPr>
          <w:rFonts w:ascii="Arial" w:hAnsi="Arial" w:cs="Arial"/>
        </w:rPr>
        <w:t xml:space="preserve">whose performance in assessment tasks has been affected by strike action </w:t>
      </w:r>
      <w:r w:rsidRPr="00441776">
        <w:rPr>
          <w:rFonts w:ascii="Arial" w:hAnsi="Arial" w:cs="Arial"/>
        </w:rPr>
        <w:t xml:space="preserve">should </w:t>
      </w:r>
      <w:r w:rsidR="00451EE4" w:rsidRPr="00441776">
        <w:rPr>
          <w:rFonts w:ascii="Arial" w:hAnsi="Arial" w:cs="Arial"/>
        </w:rPr>
        <w:t xml:space="preserve">have their cases considered by Mitigating Circumstances Panels; </w:t>
      </w:r>
    </w:p>
    <w:p w14:paraId="5232DC40" w14:textId="77777777" w:rsidR="00723152" w:rsidRPr="00441776" w:rsidRDefault="00723152" w:rsidP="00723152">
      <w:pPr>
        <w:ind w:left="1440" w:hanging="720"/>
        <w:rPr>
          <w:rFonts w:ascii="Arial" w:hAnsi="Arial" w:cs="Arial"/>
        </w:rPr>
      </w:pPr>
      <w:r w:rsidRPr="00441776">
        <w:rPr>
          <w:rFonts w:ascii="Arial" w:hAnsi="Arial" w:cs="Arial"/>
        </w:rPr>
        <w:t>(b)</w:t>
      </w:r>
      <w:r w:rsidRPr="00441776">
        <w:rPr>
          <w:rFonts w:ascii="Arial" w:hAnsi="Arial" w:cs="Arial"/>
        </w:rPr>
        <w:tab/>
        <w:t>Equivalent academic rigour should be brought to bear by Boards of Examiners considering award and progression decisions in summer 2018 as would usually be applied;</w:t>
      </w:r>
    </w:p>
    <w:p w14:paraId="04385CCB" w14:textId="58B33EEF" w:rsidR="00DE4F83" w:rsidRPr="00441776" w:rsidRDefault="00723152" w:rsidP="00DE4F83">
      <w:pPr>
        <w:ind w:left="1440" w:hanging="720"/>
        <w:rPr>
          <w:rFonts w:ascii="Arial" w:hAnsi="Arial" w:cs="Arial"/>
        </w:rPr>
      </w:pPr>
      <w:r w:rsidRPr="00BB54E1">
        <w:rPr>
          <w:rFonts w:ascii="Arial" w:hAnsi="Arial" w:cs="Arial"/>
        </w:rPr>
        <w:t>(c)</w:t>
      </w:r>
      <w:r w:rsidRPr="00BB54E1">
        <w:rPr>
          <w:rFonts w:ascii="Arial" w:hAnsi="Arial" w:cs="Arial"/>
        </w:rPr>
        <w:tab/>
      </w:r>
      <w:r w:rsidR="00DE4F83" w:rsidRPr="00BB54E1">
        <w:rPr>
          <w:rFonts w:ascii="Arial" w:hAnsi="Arial" w:cs="Arial"/>
        </w:rPr>
        <w:t xml:space="preserve">Clear and detailed records of all discussions held regarding individual students must be drafted </w:t>
      </w:r>
      <w:r w:rsidR="00DB72EB" w:rsidRPr="00BB54E1">
        <w:rPr>
          <w:rFonts w:ascii="Arial" w:hAnsi="Arial" w:cs="Arial"/>
        </w:rPr>
        <w:t xml:space="preserve">by the Secretary to the Mitigating Circumstances Panel or Board of Examiners </w:t>
      </w:r>
      <w:r w:rsidR="00DE4F83" w:rsidRPr="00BB54E1">
        <w:rPr>
          <w:rFonts w:ascii="Arial" w:hAnsi="Arial" w:cs="Arial"/>
        </w:rPr>
        <w:t xml:space="preserve">and approved by the Chair of the relevant </w:t>
      </w:r>
      <w:r w:rsidR="00DB72EB" w:rsidRPr="00BB54E1">
        <w:rPr>
          <w:rFonts w:ascii="Arial" w:hAnsi="Arial" w:cs="Arial"/>
        </w:rPr>
        <w:t>body.</w:t>
      </w:r>
      <w:r w:rsidR="00DB72EB">
        <w:rPr>
          <w:rFonts w:ascii="Arial" w:hAnsi="Arial" w:cs="Arial"/>
        </w:rPr>
        <w:t xml:space="preserve"> </w:t>
      </w:r>
      <w:r w:rsidR="00DE4F83" w:rsidRPr="00441776">
        <w:rPr>
          <w:rFonts w:ascii="Arial" w:hAnsi="Arial" w:cs="Arial"/>
        </w:rPr>
        <w:t xml:space="preserve">A transparent recommendation with rationale detailing each individual piece of evidence submitted and considered should be produced for each student. Boards of Examiners should expect to need to release this recommendation and rationale to the student to demonstrate the approach taken to consideration of their case and in order to demonstrate the equity and consistency of approach adopted </w:t>
      </w:r>
      <w:r w:rsidR="008F120D" w:rsidRPr="00441776">
        <w:rPr>
          <w:rFonts w:ascii="Arial" w:hAnsi="Arial" w:cs="Arial"/>
        </w:rPr>
        <w:t>across all student groups.</w:t>
      </w:r>
    </w:p>
    <w:p w14:paraId="34C4C43E" w14:textId="77777777" w:rsidR="006233A2" w:rsidRPr="00441776" w:rsidRDefault="00723152" w:rsidP="00AA50CB">
      <w:pPr>
        <w:rPr>
          <w:rFonts w:ascii="Arial" w:hAnsi="Arial" w:cs="Arial"/>
          <w:b/>
          <w:u w:val="single"/>
        </w:rPr>
      </w:pPr>
      <w:r w:rsidRPr="00441776">
        <w:rPr>
          <w:rFonts w:ascii="Arial" w:hAnsi="Arial" w:cs="Arial"/>
        </w:rPr>
        <w:t>3.</w:t>
      </w:r>
      <w:r w:rsidRPr="00441776">
        <w:rPr>
          <w:rFonts w:ascii="Arial" w:hAnsi="Arial" w:cs="Arial"/>
        </w:rPr>
        <w:tab/>
      </w:r>
      <w:r w:rsidR="006233A2" w:rsidRPr="00441776">
        <w:rPr>
          <w:rFonts w:ascii="Arial" w:hAnsi="Arial" w:cs="Arial"/>
          <w:b/>
          <w:u w:val="single"/>
        </w:rPr>
        <w:t>Modus Operandi for Mitigating Circumstances Panels</w:t>
      </w:r>
    </w:p>
    <w:p w14:paraId="7BA93D89" w14:textId="77777777" w:rsidR="006233A2" w:rsidRPr="00441776" w:rsidRDefault="006233A2" w:rsidP="006233A2">
      <w:pPr>
        <w:ind w:left="720"/>
        <w:rPr>
          <w:rFonts w:ascii="Arial" w:hAnsi="Arial" w:cs="Arial"/>
        </w:rPr>
      </w:pPr>
      <w:r w:rsidRPr="00441776">
        <w:rPr>
          <w:rFonts w:ascii="Arial" w:hAnsi="Arial" w:cs="Arial"/>
        </w:rPr>
        <w:t>In addition to the consideration of typical mitigating circumstances cases, Panels may consider cases related to industrial action. A formal case needs to have been made on the standard form by (a) the individual student or (b) the relevant academic department where a submission is made on behalf of a module cohort or tutor group.</w:t>
      </w:r>
    </w:p>
    <w:p w14:paraId="26AAA7C2" w14:textId="77777777" w:rsidR="006233A2" w:rsidRPr="00441776" w:rsidRDefault="006233A2" w:rsidP="00952E6E">
      <w:pPr>
        <w:ind w:left="720"/>
        <w:rPr>
          <w:rFonts w:ascii="Arial" w:hAnsi="Arial" w:cs="Arial"/>
        </w:rPr>
      </w:pPr>
      <w:r w:rsidRPr="00441776">
        <w:rPr>
          <w:rFonts w:ascii="Arial" w:hAnsi="Arial" w:cs="Arial"/>
        </w:rPr>
        <w:t xml:space="preserve">Mitigating Circumstances Panels should assess each </w:t>
      </w:r>
      <w:r w:rsidR="00DE4F83" w:rsidRPr="00441776">
        <w:rPr>
          <w:rFonts w:ascii="Arial" w:hAnsi="Arial" w:cs="Arial"/>
        </w:rPr>
        <w:t xml:space="preserve">case </w:t>
      </w:r>
      <w:r w:rsidRPr="00441776">
        <w:rPr>
          <w:rFonts w:ascii="Arial" w:hAnsi="Arial" w:cs="Arial"/>
        </w:rPr>
        <w:t xml:space="preserve">as ‘weak’, ‘moderate’ or ‘severe’ in line with existing guidance. </w:t>
      </w:r>
    </w:p>
    <w:p w14:paraId="7BF28208" w14:textId="77777777" w:rsidR="00723152" w:rsidRPr="00441776" w:rsidRDefault="006233A2" w:rsidP="00AA50CB">
      <w:pPr>
        <w:rPr>
          <w:rFonts w:ascii="Arial" w:hAnsi="Arial" w:cs="Arial"/>
        </w:rPr>
      </w:pPr>
      <w:r w:rsidRPr="00441776">
        <w:rPr>
          <w:rFonts w:ascii="Arial" w:hAnsi="Arial" w:cs="Arial"/>
        </w:rPr>
        <w:t>4.</w:t>
      </w:r>
      <w:r w:rsidRPr="00441776">
        <w:rPr>
          <w:rFonts w:ascii="Arial" w:hAnsi="Arial" w:cs="Arial"/>
        </w:rPr>
        <w:tab/>
      </w:r>
      <w:r w:rsidRPr="00441776">
        <w:rPr>
          <w:rFonts w:ascii="Arial" w:hAnsi="Arial" w:cs="Arial"/>
          <w:b/>
          <w:u w:val="single"/>
        </w:rPr>
        <w:t>Modus Operandi for Boards of Examiners</w:t>
      </w:r>
      <w:r w:rsidRPr="00441776">
        <w:rPr>
          <w:rFonts w:ascii="Arial" w:hAnsi="Arial" w:cs="Arial"/>
        </w:rPr>
        <w:t xml:space="preserve"> </w:t>
      </w:r>
    </w:p>
    <w:p w14:paraId="217374D4" w14:textId="13AE1508" w:rsidR="00952E6E" w:rsidRPr="00441776" w:rsidRDefault="00952E6E" w:rsidP="00952E6E">
      <w:pPr>
        <w:ind w:left="1440" w:hanging="720"/>
        <w:rPr>
          <w:rFonts w:ascii="Arial" w:hAnsi="Arial" w:cs="Arial"/>
        </w:rPr>
      </w:pPr>
      <w:r w:rsidRPr="00BB54E1">
        <w:rPr>
          <w:rFonts w:ascii="Arial" w:hAnsi="Arial" w:cs="Arial"/>
        </w:rPr>
        <w:t>(a)</w:t>
      </w:r>
      <w:r w:rsidRPr="00BB54E1">
        <w:rPr>
          <w:rFonts w:ascii="Arial" w:hAnsi="Arial" w:cs="Arial"/>
        </w:rPr>
        <w:tab/>
      </w:r>
      <w:r w:rsidR="006233A2" w:rsidRPr="00BB54E1">
        <w:rPr>
          <w:rFonts w:ascii="Arial" w:hAnsi="Arial" w:cs="Arial"/>
        </w:rPr>
        <w:t xml:space="preserve">Boards of Examiners </w:t>
      </w:r>
      <w:r w:rsidRPr="00BB54E1">
        <w:rPr>
          <w:rFonts w:ascii="Arial" w:hAnsi="Arial" w:cs="Arial"/>
        </w:rPr>
        <w:t xml:space="preserve">will consider the impact of industrial action upon each student presented to it. </w:t>
      </w:r>
      <w:r w:rsidR="000F4428" w:rsidRPr="00BB54E1">
        <w:rPr>
          <w:rFonts w:ascii="Arial" w:hAnsi="Arial" w:cs="Arial"/>
        </w:rPr>
        <w:t>Boards</w:t>
      </w:r>
      <w:r w:rsidRPr="00BB54E1">
        <w:rPr>
          <w:rFonts w:ascii="Arial" w:hAnsi="Arial" w:cs="Arial"/>
        </w:rPr>
        <w:t xml:space="preserve"> will receive a recommendation, where appropriate, from the Mitigating Circumstances Panel categorising the impact as ‘weak’, ‘moderate’ or ‘severe’. </w:t>
      </w:r>
      <w:r w:rsidR="00DB72EB" w:rsidRPr="00BB54E1">
        <w:rPr>
          <w:rFonts w:ascii="Arial" w:hAnsi="Arial" w:cs="Arial"/>
        </w:rPr>
        <w:t xml:space="preserve">No further information on mitigating circumstances will be discussed by Boards of Examiners. </w:t>
      </w:r>
      <w:r w:rsidRPr="00BB54E1">
        <w:rPr>
          <w:rFonts w:ascii="Arial" w:hAnsi="Arial" w:cs="Arial"/>
        </w:rPr>
        <w:t xml:space="preserve">Boards of Examiners are permitted to set aside marks identified as impacted to at least a ‘moderate’ extent up to a maximum of 30% of the total credit </w:t>
      </w:r>
      <w:r w:rsidR="000F4428" w:rsidRPr="00BB54E1">
        <w:rPr>
          <w:rFonts w:ascii="Arial" w:hAnsi="Arial" w:cs="Arial"/>
        </w:rPr>
        <w:t>for the year of study impacted, whether fi</w:t>
      </w:r>
      <w:r w:rsidR="00DB72EB" w:rsidRPr="00BB54E1">
        <w:rPr>
          <w:rFonts w:ascii="Arial" w:hAnsi="Arial" w:cs="Arial"/>
        </w:rPr>
        <w:t xml:space="preserve">rst, intermediate or final year, noting that a maximum of 30% may be set aside, including in cases where students have experienced multiple mitigating circumstances. Boards will need to consider particularly carefully the cases of students whose personal circumstances mean that a considerable proportion of their work would have been affected prior to consideration of the impact of strike action. In these instances, Boards of Examiners may wish to consider the provisions relating to the award of an </w:t>
      </w:r>
      <w:proofErr w:type="spellStart"/>
      <w:r w:rsidR="00DB72EB" w:rsidRPr="00BB54E1">
        <w:rPr>
          <w:rFonts w:ascii="Arial" w:hAnsi="Arial" w:cs="Arial"/>
        </w:rPr>
        <w:t>Aegrotat</w:t>
      </w:r>
      <w:proofErr w:type="spellEnd"/>
      <w:r w:rsidR="00DB72EB" w:rsidRPr="00BB54E1">
        <w:rPr>
          <w:rFonts w:ascii="Arial" w:hAnsi="Arial" w:cs="Arial"/>
        </w:rPr>
        <w:t xml:space="preserve"> Degree;</w:t>
      </w:r>
    </w:p>
    <w:p w14:paraId="6555AFAC" w14:textId="386FF0CD" w:rsidR="00DE4F83" w:rsidRPr="00441776" w:rsidRDefault="00952E6E" w:rsidP="007532A9">
      <w:pPr>
        <w:ind w:left="1440" w:hanging="720"/>
        <w:rPr>
          <w:rFonts w:ascii="Arial" w:hAnsi="Arial" w:cs="Arial"/>
        </w:rPr>
      </w:pPr>
      <w:r w:rsidRPr="00441776">
        <w:rPr>
          <w:rFonts w:ascii="Arial" w:hAnsi="Arial" w:cs="Arial"/>
        </w:rPr>
        <w:t>(b)</w:t>
      </w:r>
      <w:r w:rsidRPr="00441776">
        <w:rPr>
          <w:rFonts w:ascii="Arial" w:hAnsi="Arial" w:cs="Arial"/>
        </w:rPr>
        <w:tab/>
        <w:t xml:space="preserve">Where </w:t>
      </w:r>
      <w:r w:rsidR="00DE4F83" w:rsidRPr="00441776">
        <w:rPr>
          <w:rFonts w:ascii="Arial" w:hAnsi="Arial" w:cs="Arial"/>
        </w:rPr>
        <w:t xml:space="preserve">the marks of a specific group or cohort are lower than time series data </w:t>
      </w:r>
      <w:r w:rsidR="00CF2655" w:rsidRPr="00441776">
        <w:rPr>
          <w:rFonts w:ascii="Arial" w:hAnsi="Arial" w:cs="Arial"/>
        </w:rPr>
        <w:t>indicate cohorts</w:t>
      </w:r>
      <w:r w:rsidR="00DE4F83" w:rsidRPr="00441776">
        <w:rPr>
          <w:rFonts w:ascii="Arial" w:hAnsi="Arial" w:cs="Arial"/>
        </w:rPr>
        <w:t xml:space="preserve"> typically achieve, and the Board has evidence to believe this is a direct consequence of strike action (for example, because students did not have</w:t>
      </w:r>
      <w:r w:rsidR="00CF2655" w:rsidRPr="00441776">
        <w:rPr>
          <w:rFonts w:ascii="Arial" w:hAnsi="Arial" w:cs="Arial"/>
        </w:rPr>
        <w:t xml:space="preserve"> available to them</w:t>
      </w:r>
      <w:r w:rsidR="00DE4F83" w:rsidRPr="00441776">
        <w:rPr>
          <w:rFonts w:ascii="Arial" w:hAnsi="Arial" w:cs="Arial"/>
        </w:rPr>
        <w:t xml:space="preserve"> the usual revision period) Universi</w:t>
      </w:r>
      <w:r w:rsidR="00CF2655" w:rsidRPr="00441776">
        <w:rPr>
          <w:rFonts w:ascii="Arial" w:hAnsi="Arial" w:cs="Arial"/>
        </w:rPr>
        <w:t>ty guidance on s</w:t>
      </w:r>
      <w:r w:rsidR="00DE4F83" w:rsidRPr="00441776">
        <w:rPr>
          <w:rFonts w:ascii="Arial" w:hAnsi="Arial" w:cs="Arial"/>
        </w:rPr>
        <w:t xml:space="preserve">caling may be </w:t>
      </w:r>
      <w:r w:rsidR="000F4428" w:rsidRPr="00441776">
        <w:rPr>
          <w:rFonts w:ascii="Arial" w:hAnsi="Arial" w:cs="Arial"/>
        </w:rPr>
        <w:t>considered and applied</w:t>
      </w:r>
      <w:r w:rsidR="00DE4F83" w:rsidRPr="00441776">
        <w:rPr>
          <w:rFonts w:ascii="Arial" w:hAnsi="Arial" w:cs="Arial"/>
        </w:rPr>
        <w:t xml:space="preserve">. </w:t>
      </w:r>
      <w:r w:rsidR="00D35BB9" w:rsidRPr="00441776">
        <w:rPr>
          <w:rFonts w:ascii="Arial" w:hAnsi="Arial" w:cs="Arial"/>
        </w:rPr>
        <w:t>W</w:t>
      </w:r>
      <w:r w:rsidR="00DE4F83" w:rsidRPr="00441776">
        <w:rPr>
          <w:rFonts w:ascii="Arial" w:hAnsi="Arial" w:cs="Arial"/>
        </w:rPr>
        <w:t>hilst</w:t>
      </w:r>
      <w:r w:rsidR="00D35BB9" w:rsidRPr="00441776">
        <w:rPr>
          <w:rFonts w:ascii="Arial" w:hAnsi="Arial" w:cs="Arial"/>
        </w:rPr>
        <w:t xml:space="preserve"> the guidance states;</w:t>
      </w:r>
      <w:r w:rsidR="00DE4F83" w:rsidRPr="00441776">
        <w:rPr>
          <w:rFonts w:ascii="Arial" w:hAnsi="Arial" w:cs="Arial"/>
        </w:rPr>
        <w:t xml:space="preserve"> “</w:t>
      </w:r>
      <w:r w:rsidR="00DE4F83" w:rsidRPr="00441776">
        <w:rPr>
          <w:rFonts w:ascii="Arial" w:hAnsi="Arial" w:cs="Arial"/>
          <w:i/>
        </w:rPr>
        <w:t xml:space="preserve">Scaling </w:t>
      </w:r>
      <w:r w:rsidR="00DE4F83" w:rsidRPr="00441776">
        <w:rPr>
          <w:rFonts w:ascii="Arial" w:hAnsi="Arial" w:cs="Arial"/>
          <w:i/>
        </w:rPr>
        <w:lastRenderedPageBreak/>
        <w:t>should not generally be used where students taking a particular module or assessment have been prejudiced by a problem over which they had no control, such as the illness of a key teacher</w:t>
      </w:r>
      <w:r w:rsidR="00DE4F83" w:rsidRPr="00441776">
        <w:rPr>
          <w:rFonts w:ascii="Arial" w:hAnsi="Arial" w:cs="Arial"/>
        </w:rPr>
        <w:t xml:space="preserve">”, </w:t>
      </w:r>
      <w:r w:rsidR="00D35BB9" w:rsidRPr="00441776">
        <w:rPr>
          <w:rFonts w:ascii="Arial" w:hAnsi="Arial" w:cs="Arial"/>
        </w:rPr>
        <w:t>the attention of Boards of Examiners is drawn to the provision that</w:t>
      </w:r>
      <w:r w:rsidR="007532A9" w:rsidRPr="00441776">
        <w:rPr>
          <w:rFonts w:ascii="Arial" w:hAnsi="Arial" w:cs="Arial"/>
        </w:rPr>
        <w:t>; “</w:t>
      </w:r>
      <w:r w:rsidR="007532A9" w:rsidRPr="00441776">
        <w:rPr>
          <w:rFonts w:ascii="Arial" w:hAnsi="Arial" w:cs="Arial"/>
          <w:i/>
        </w:rPr>
        <w:t>problems such as this should be remedied by other means, such as exceptional resits, or by exam boards discounting the compromised assessment when calculating final grades. If it is proposed to use scaling as a remedy in such circumstances, this must be authorised by the examination board, after consideration of a fully reasoned academic rationale.</w:t>
      </w:r>
      <w:r w:rsidR="007532A9" w:rsidRPr="00441776">
        <w:rPr>
          <w:rFonts w:ascii="Arial" w:hAnsi="Arial" w:cs="Arial"/>
        </w:rPr>
        <w:t>”</w:t>
      </w:r>
      <w:r w:rsidR="00CF2655" w:rsidRPr="00441776">
        <w:rPr>
          <w:rFonts w:ascii="Arial" w:hAnsi="Arial" w:cs="Arial"/>
        </w:rPr>
        <w:t xml:space="preserve"> Departments should note that authority for scaling should be given in advance of the </w:t>
      </w:r>
      <w:r w:rsidR="00800C1B">
        <w:rPr>
          <w:rFonts w:ascii="Arial" w:hAnsi="Arial" w:cs="Arial"/>
        </w:rPr>
        <w:t>Boards of E</w:t>
      </w:r>
      <w:r w:rsidR="00CF2655" w:rsidRPr="00441776">
        <w:rPr>
          <w:rFonts w:ascii="Arial" w:hAnsi="Arial" w:cs="Arial"/>
        </w:rPr>
        <w:t>xam</w:t>
      </w:r>
      <w:r w:rsidR="00800C1B">
        <w:rPr>
          <w:rFonts w:ascii="Arial" w:hAnsi="Arial" w:cs="Arial"/>
        </w:rPr>
        <w:t>iners</w:t>
      </w:r>
      <w:r w:rsidR="00CF2655" w:rsidRPr="00441776">
        <w:rPr>
          <w:rFonts w:ascii="Arial" w:hAnsi="Arial" w:cs="Arial"/>
        </w:rPr>
        <w:t xml:space="preserve"> board by its </w:t>
      </w:r>
      <w:r w:rsidR="000F4428" w:rsidRPr="00441776">
        <w:rPr>
          <w:rFonts w:ascii="Arial" w:hAnsi="Arial" w:cs="Arial"/>
        </w:rPr>
        <w:t>C</w:t>
      </w:r>
      <w:r w:rsidR="00CF2655" w:rsidRPr="00441776">
        <w:rPr>
          <w:rFonts w:ascii="Arial" w:hAnsi="Arial" w:cs="Arial"/>
        </w:rPr>
        <w:t xml:space="preserve">hair </w:t>
      </w:r>
      <w:r w:rsidR="009F5FDF" w:rsidRPr="00441776">
        <w:rPr>
          <w:rFonts w:ascii="Arial" w:hAnsi="Arial" w:cs="Arial"/>
        </w:rPr>
        <w:t xml:space="preserve">and procedures required to attend scaling should be observed, including publication to students of information </w:t>
      </w:r>
      <w:r w:rsidR="000F4428" w:rsidRPr="00441776">
        <w:rPr>
          <w:rFonts w:ascii="Arial" w:hAnsi="Arial" w:cs="Arial"/>
        </w:rPr>
        <w:t>regarding</w:t>
      </w:r>
      <w:r w:rsidR="009F5FDF" w:rsidRPr="00441776">
        <w:rPr>
          <w:rFonts w:ascii="Arial" w:hAnsi="Arial" w:cs="Arial"/>
        </w:rPr>
        <w:t xml:space="preserve"> the method used. </w:t>
      </w:r>
      <w:r w:rsidR="00CF2655" w:rsidRPr="00441776">
        <w:rPr>
          <w:rFonts w:ascii="Arial" w:hAnsi="Arial" w:cs="Arial"/>
        </w:rPr>
        <w:t xml:space="preserve"> </w:t>
      </w:r>
      <w:r w:rsidR="007532A9" w:rsidRPr="00441776">
        <w:rPr>
          <w:rFonts w:ascii="Arial" w:hAnsi="Arial" w:cs="Arial"/>
        </w:rPr>
        <w:t xml:space="preserve"> </w:t>
      </w:r>
      <w:r w:rsidR="00DE4F83" w:rsidRPr="00441776">
        <w:rPr>
          <w:rFonts w:ascii="Arial" w:hAnsi="Arial" w:cs="Arial"/>
        </w:rPr>
        <w:t xml:space="preserve"> </w:t>
      </w:r>
    </w:p>
    <w:p w14:paraId="23413E57" w14:textId="3D4E4F28" w:rsidR="00952E6E" w:rsidRPr="00441776" w:rsidRDefault="00CF2655" w:rsidP="009F5FDF">
      <w:pPr>
        <w:ind w:left="1440" w:hanging="720"/>
        <w:rPr>
          <w:rFonts w:ascii="Arial" w:hAnsi="Arial" w:cs="Arial"/>
        </w:rPr>
      </w:pPr>
      <w:r w:rsidRPr="00BB54E1">
        <w:rPr>
          <w:rFonts w:ascii="Arial" w:hAnsi="Arial" w:cs="Arial"/>
        </w:rPr>
        <w:t>(c)</w:t>
      </w:r>
      <w:r w:rsidRPr="00BB54E1">
        <w:rPr>
          <w:rFonts w:ascii="Arial" w:hAnsi="Arial" w:cs="Arial"/>
        </w:rPr>
        <w:tab/>
      </w:r>
      <w:r w:rsidR="009F5FDF" w:rsidRPr="00BB54E1">
        <w:rPr>
          <w:rFonts w:ascii="Arial" w:hAnsi="Arial" w:cs="Arial"/>
        </w:rPr>
        <w:t xml:space="preserve">Where </w:t>
      </w:r>
      <w:r w:rsidR="00D35BB9" w:rsidRPr="00BB54E1">
        <w:rPr>
          <w:rFonts w:ascii="Arial" w:hAnsi="Arial" w:cs="Arial"/>
        </w:rPr>
        <w:t>(</w:t>
      </w:r>
      <w:r w:rsidR="009F5FDF" w:rsidRPr="00BB54E1">
        <w:rPr>
          <w:rFonts w:ascii="Arial" w:hAnsi="Arial" w:cs="Arial"/>
        </w:rPr>
        <w:t>a</w:t>
      </w:r>
      <w:r w:rsidR="00D35BB9" w:rsidRPr="00BB54E1">
        <w:rPr>
          <w:rFonts w:ascii="Arial" w:hAnsi="Arial" w:cs="Arial"/>
        </w:rPr>
        <w:t>)</w:t>
      </w:r>
      <w:r w:rsidR="009F5FDF" w:rsidRPr="00BB54E1">
        <w:rPr>
          <w:rFonts w:ascii="Arial" w:hAnsi="Arial" w:cs="Arial"/>
        </w:rPr>
        <w:t xml:space="preserve"> specific mark</w:t>
      </w:r>
      <w:r w:rsidR="00D35BB9" w:rsidRPr="00BB54E1">
        <w:rPr>
          <w:rFonts w:ascii="Arial" w:hAnsi="Arial" w:cs="Arial"/>
        </w:rPr>
        <w:t>(</w:t>
      </w:r>
      <w:r w:rsidR="009F5FDF" w:rsidRPr="00BB54E1">
        <w:rPr>
          <w:rFonts w:ascii="Arial" w:hAnsi="Arial" w:cs="Arial"/>
        </w:rPr>
        <w:t>s</w:t>
      </w:r>
      <w:r w:rsidR="00D35BB9" w:rsidRPr="00BB54E1">
        <w:rPr>
          <w:rFonts w:ascii="Arial" w:hAnsi="Arial" w:cs="Arial"/>
        </w:rPr>
        <w:t>)</w:t>
      </w:r>
      <w:r w:rsidR="009F5FDF" w:rsidRPr="00BB54E1">
        <w:rPr>
          <w:rFonts w:ascii="Arial" w:hAnsi="Arial" w:cs="Arial"/>
        </w:rPr>
        <w:t xml:space="preserve"> for a specific individual is significantly lower than the remainder of the student’s mark profile, </w:t>
      </w:r>
      <w:r w:rsidR="00DB72EB" w:rsidRPr="00BB54E1">
        <w:rPr>
          <w:rFonts w:ascii="Arial" w:hAnsi="Arial" w:cs="Arial"/>
        </w:rPr>
        <w:t xml:space="preserve">consideration should be given to the nature of the subject or specific paper in which the </w:t>
      </w:r>
      <w:r w:rsidR="00800C1B" w:rsidRPr="00BB54E1">
        <w:rPr>
          <w:rFonts w:ascii="Arial" w:hAnsi="Arial" w:cs="Arial"/>
        </w:rPr>
        <w:t xml:space="preserve">low </w:t>
      </w:r>
      <w:r w:rsidR="00DB72EB" w:rsidRPr="00BB54E1">
        <w:rPr>
          <w:rFonts w:ascii="Arial" w:hAnsi="Arial" w:cs="Arial"/>
        </w:rPr>
        <w:t>mark was recorded, for example whe</w:t>
      </w:r>
      <w:r w:rsidR="00800C1B" w:rsidRPr="00BB54E1">
        <w:rPr>
          <w:rFonts w:ascii="Arial" w:hAnsi="Arial" w:cs="Arial"/>
        </w:rPr>
        <w:t xml:space="preserve">ther </w:t>
      </w:r>
      <w:r w:rsidR="00DB72EB" w:rsidRPr="00BB54E1">
        <w:rPr>
          <w:rFonts w:ascii="Arial" w:hAnsi="Arial" w:cs="Arial"/>
        </w:rPr>
        <w:t xml:space="preserve">in an area in which the student </w:t>
      </w:r>
      <w:r w:rsidR="00800C1B" w:rsidRPr="00BB54E1">
        <w:rPr>
          <w:rFonts w:ascii="Arial" w:hAnsi="Arial" w:cs="Arial"/>
        </w:rPr>
        <w:t xml:space="preserve">reached </w:t>
      </w:r>
      <w:r w:rsidR="00DB72EB" w:rsidRPr="00BB54E1">
        <w:rPr>
          <w:rFonts w:ascii="Arial" w:hAnsi="Arial" w:cs="Arial"/>
        </w:rPr>
        <w:t>a lower level of attainment earlier in their course, or where the student was assessed in an area distinct from other papers, for example a</w:t>
      </w:r>
      <w:r w:rsidR="00800C1B" w:rsidRPr="00BB54E1">
        <w:rPr>
          <w:rFonts w:ascii="Arial" w:hAnsi="Arial" w:cs="Arial"/>
        </w:rPr>
        <w:t xml:space="preserve"> qualitative area amongst other predominantly</w:t>
      </w:r>
      <w:r w:rsidR="00DB72EB" w:rsidRPr="00BB54E1">
        <w:rPr>
          <w:rFonts w:ascii="Arial" w:hAnsi="Arial" w:cs="Arial"/>
        </w:rPr>
        <w:t xml:space="preserve"> quantitative papers</w:t>
      </w:r>
      <w:r w:rsidR="00800C1B" w:rsidRPr="00BB54E1">
        <w:rPr>
          <w:rFonts w:ascii="Arial" w:hAnsi="Arial" w:cs="Arial"/>
        </w:rPr>
        <w:t xml:space="preserve"> or vice versa</w:t>
      </w:r>
      <w:r w:rsidR="00DB72EB" w:rsidRPr="00BB54E1">
        <w:rPr>
          <w:rFonts w:ascii="Arial" w:hAnsi="Arial" w:cs="Arial"/>
        </w:rPr>
        <w:t xml:space="preserve">. Once clarity has been achieved by the Board as to any other potential rationale for noticeably lower achievement, consideration should be given to the potential appropriateness of </w:t>
      </w:r>
      <w:r w:rsidR="00874679" w:rsidRPr="00BB54E1">
        <w:rPr>
          <w:rFonts w:ascii="Arial" w:hAnsi="Arial" w:cs="Arial"/>
        </w:rPr>
        <w:t xml:space="preserve">this mark </w:t>
      </w:r>
      <w:r w:rsidR="00DB72EB" w:rsidRPr="00BB54E1">
        <w:rPr>
          <w:rFonts w:ascii="Arial" w:hAnsi="Arial" w:cs="Arial"/>
        </w:rPr>
        <w:t xml:space="preserve">being </w:t>
      </w:r>
      <w:r w:rsidR="00874679" w:rsidRPr="00BB54E1">
        <w:rPr>
          <w:rFonts w:ascii="Arial" w:hAnsi="Arial" w:cs="Arial"/>
        </w:rPr>
        <w:t xml:space="preserve">set aside, in accordance with the provisions of </w:t>
      </w:r>
      <w:r w:rsidR="000F4428" w:rsidRPr="00BB54E1">
        <w:rPr>
          <w:rFonts w:ascii="Arial" w:hAnsi="Arial" w:cs="Arial"/>
        </w:rPr>
        <w:t>4</w:t>
      </w:r>
      <w:r w:rsidR="00874679" w:rsidRPr="00BB54E1">
        <w:rPr>
          <w:rFonts w:ascii="Arial" w:hAnsi="Arial" w:cs="Arial"/>
        </w:rPr>
        <w:t xml:space="preserve">. (a) </w:t>
      </w:r>
      <w:proofErr w:type="gramStart"/>
      <w:r w:rsidR="00874679" w:rsidRPr="00BB54E1">
        <w:rPr>
          <w:rFonts w:ascii="Arial" w:hAnsi="Arial" w:cs="Arial"/>
        </w:rPr>
        <w:t>above</w:t>
      </w:r>
      <w:proofErr w:type="gramEnd"/>
      <w:r w:rsidR="00874679" w:rsidRPr="00BB54E1">
        <w:rPr>
          <w:rFonts w:ascii="Arial" w:hAnsi="Arial" w:cs="Arial"/>
        </w:rPr>
        <w:t>.</w:t>
      </w:r>
      <w:r w:rsidR="00874679" w:rsidRPr="00441776">
        <w:rPr>
          <w:rFonts w:ascii="Arial" w:hAnsi="Arial" w:cs="Arial"/>
        </w:rPr>
        <w:t xml:space="preserve"> </w:t>
      </w:r>
    </w:p>
    <w:p w14:paraId="190155D1" w14:textId="43E6C00D" w:rsidR="00952E6E" w:rsidRPr="00441776" w:rsidRDefault="00874679" w:rsidP="00441776">
      <w:pPr>
        <w:ind w:left="1440" w:hanging="720"/>
        <w:rPr>
          <w:rFonts w:ascii="Arial" w:hAnsi="Arial" w:cs="Arial"/>
        </w:rPr>
      </w:pPr>
      <w:r w:rsidRPr="00441776">
        <w:rPr>
          <w:rFonts w:ascii="Arial" w:hAnsi="Arial" w:cs="Arial"/>
        </w:rPr>
        <w:t>(d)</w:t>
      </w:r>
      <w:r w:rsidRPr="00441776">
        <w:rPr>
          <w:rFonts w:ascii="Arial" w:hAnsi="Arial" w:cs="Arial"/>
        </w:rPr>
        <w:tab/>
        <w:t>Board</w:t>
      </w:r>
      <w:r w:rsidR="00D35BB9" w:rsidRPr="00441776">
        <w:rPr>
          <w:rFonts w:ascii="Arial" w:hAnsi="Arial" w:cs="Arial"/>
        </w:rPr>
        <w:t>s</w:t>
      </w:r>
      <w:r w:rsidRPr="00441776">
        <w:rPr>
          <w:rFonts w:ascii="Arial" w:hAnsi="Arial" w:cs="Arial"/>
        </w:rPr>
        <w:t xml:space="preserve"> of Examiners should consider borderline cases in line with existing guidance.</w:t>
      </w:r>
    </w:p>
    <w:p w14:paraId="624C70A3" w14:textId="50D80F2F" w:rsidR="00874679" w:rsidRPr="00441776" w:rsidRDefault="00874679" w:rsidP="00F53F16">
      <w:pPr>
        <w:ind w:left="1440" w:hanging="720"/>
        <w:rPr>
          <w:rFonts w:ascii="Arial" w:hAnsi="Arial" w:cs="Arial"/>
        </w:rPr>
      </w:pPr>
      <w:r w:rsidRPr="00441776">
        <w:rPr>
          <w:rFonts w:ascii="Arial" w:hAnsi="Arial" w:cs="Arial"/>
        </w:rPr>
        <w:t>(e)</w:t>
      </w:r>
      <w:r w:rsidRPr="00441776">
        <w:rPr>
          <w:rFonts w:ascii="Arial" w:hAnsi="Arial" w:cs="Arial"/>
        </w:rPr>
        <w:tab/>
      </w:r>
      <w:r w:rsidR="00F53F16" w:rsidRPr="00441776">
        <w:rPr>
          <w:rFonts w:ascii="Arial" w:hAnsi="Arial" w:cs="Arial"/>
        </w:rPr>
        <w:t>In line with existing guidance on uncompleted assessed work, where a student does not complete a component of assessed work worth less than 2 credits which contributes to the final mark for a module and where there are acceptable mitigating circumstances for non-completion, departments may waive that component and calculate the student’s overall mark on the basis of marks achieved in cognate components of assessment in the same module. No more than 2 credits on individual pieces of work may be waived subject to a maximum of 4 credits per module, or 20% of the total credit available for the module, whichever is the lesser and subject to an overall limit of 6 credits in total per student, per year of study. Wh</w:t>
      </w:r>
      <w:r w:rsidR="00022AA4" w:rsidRPr="00441776">
        <w:rPr>
          <w:rFonts w:ascii="Arial" w:hAnsi="Arial" w:cs="Arial"/>
        </w:rPr>
        <w:t>e</w:t>
      </w:r>
      <w:r w:rsidR="00F53F16" w:rsidRPr="00441776">
        <w:rPr>
          <w:rFonts w:ascii="Arial" w:hAnsi="Arial" w:cs="Arial"/>
        </w:rPr>
        <w:t xml:space="preserve">re students have not completed more </w:t>
      </w:r>
      <w:r w:rsidR="00022AA4" w:rsidRPr="00441776">
        <w:rPr>
          <w:rFonts w:ascii="Arial" w:hAnsi="Arial" w:cs="Arial"/>
        </w:rPr>
        <w:t xml:space="preserve">than the maximum credit weight of assessment specified in (d) above, and where there are acceptable mitigating circumstances their case should be considered under mitigating circumstances procedures. </w:t>
      </w:r>
    </w:p>
    <w:p w14:paraId="0C30177A" w14:textId="77777777" w:rsidR="00D35BB9" w:rsidRDefault="00D35BB9" w:rsidP="00AA50CB"/>
    <w:p w14:paraId="2C0152D4" w14:textId="4211E6FD" w:rsidR="00D35BB9" w:rsidRPr="00D35BB9" w:rsidRDefault="00253334" w:rsidP="00D35BB9">
      <w:pPr>
        <w:pStyle w:val="NoSpacing"/>
        <w:rPr>
          <w:sz w:val="18"/>
          <w:szCs w:val="18"/>
        </w:rPr>
      </w:pPr>
      <w:r>
        <w:rPr>
          <w:sz w:val="18"/>
          <w:szCs w:val="18"/>
        </w:rPr>
        <w:t>HRWS 16</w:t>
      </w:r>
      <w:r w:rsidR="00D35BB9" w:rsidRPr="00D35BB9">
        <w:rPr>
          <w:sz w:val="18"/>
          <w:szCs w:val="18"/>
        </w:rPr>
        <w:t>.05.1</w:t>
      </w:r>
      <w:r w:rsidR="00247E7D">
        <w:rPr>
          <w:sz w:val="18"/>
          <w:szCs w:val="18"/>
        </w:rPr>
        <w:t>8</w:t>
      </w:r>
    </w:p>
    <w:p w14:paraId="0C87A30A" w14:textId="3390C524" w:rsidR="00874679" w:rsidRPr="00D35BB9" w:rsidRDefault="00D35BB9" w:rsidP="00D35BB9">
      <w:pPr>
        <w:pStyle w:val="NoSpacing"/>
        <w:rPr>
          <w:sz w:val="18"/>
          <w:szCs w:val="18"/>
        </w:rPr>
      </w:pPr>
      <w:r w:rsidRPr="00D35BB9">
        <w:rPr>
          <w:sz w:val="18"/>
          <w:szCs w:val="18"/>
        </w:rPr>
        <w:t>Guidance for Academic Departments Governing the Use of Discretion by Boards of Examiners Considering the Performance of Undergraduate Students in the light of Industrial Action</w:t>
      </w:r>
      <w:r w:rsidR="00874679" w:rsidRPr="00D35BB9">
        <w:rPr>
          <w:sz w:val="18"/>
          <w:szCs w:val="18"/>
        </w:rPr>
        <w:tab/>
      </w:r>
      <w:r w:rsidR="00253334">
        <w:rPr>
          <w:sz w:val="18"/>
          <w:szCs w:val="18"/>
        </w:rPr>
        <w:t>FINAL</w:t>
      </w:r>
      <w:bookmarkStart w:id="0" w:name="_GoBack"/>
      <w:bookmarkEnd w:id="0"/>
    </w:p>
    <w:sectPr w:rsidR="00874679" w:rsidRPr="00D35BB9">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6C1FA5" w14:textId="77777777" w:rsidR="009F5FDF" w:rsidRDefault="009F5FDF" w:rsidP="009F5FDF">
      <w:pPr>
        <w:spacing w:after="0" w:line="240" w:lineRule="auto"/>
      </w:pPr>
      <w:r>
        <w:separator/>
      </w:r>
    </w:p>
  </w:endnote>
  <w:endnote w:type="continuationSeparator" w:id="0">
    <w:p w14:paraId="6CE8F771" w14:textId="77777777" w:rsidR="009F5FDF" w:rsidRDefault="009F5FDF" w:rsidP="009F5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842465"/>
      <w:docPartObj>
        <w:docPartGallery w:val="Page Numbers (Bottom of Page)"/>
        <w:docPartUnique/>
      </w:docPartObj>
    </w:sdtPr>
    <w:sdtEndPr>
      <w:rPr>
        <w:noProof/>
      </w:rPr>
    </w:sdtEndPr>
    <w:sdtContent>
      <w:p w14:paraId="68597B3C" w14:textId="7498BB2B" w:rsidR="009F5FDF" w:rsidRDefault="009F5FDF">
        <w:pPr>
          <w:pStyle w:val="Footer"/>
          <w:jc w:val="center"/>
        </w:pPr>
        <w:r>
          <w:fldChar w:fldCharType="begin"/>
        </w:r>
        <w:r>
          <w:instrText xml:space="preserve"> PAGE   \* MERGEFORMAT </w:instrText>
        </w:r>
        <w:r>
          <w:fldChar w:fldCharType="separate"/>
        </w:r>
        <w:r w:rsidR="00253334">
          <w:rPr>
            <w:noProof/>
          </w:rPr>
          <w:t>2</w:t>
        </w:r>
        <w:r>
          <w:rPr>
            <w:noProof/>
          </w:rPr>
          <w:fldChar w:fldCharType="end"/>
        </w:r>
      </w:p>
    </w:sdtContent>
  </w:sdt>
  <w:p w14:paraId="2195365B" w14:textId="77777777" w:rsidR="009F5FDF" w:rsidRDefault="009F5F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3988EE" w14:textId="77777777" w:rsidR="009F5FDF" w:rsidRDefault="009F5FDF" w:rsidP="009F5FDF">
      <w:pPr>
        <w:spacing w:after="0" w:line="240" w:lineRule="auto"/>
      </w:pPr>
      <w:r>
        <w:separator/>
      </w:r>
    </w:p>
  </w:footnote>
  <w:footnote w:type="continuationSeparator" w:id="0">
    <w:p w14:paraId="076F9BDB" w14:textId="77777777" w:rsidR="009F5FDF" w:rsidRDefault="009F5FDF" w:rsidP="009F5FD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71D70"/>
    <w:multiLevelType w:val="hybridMultilevel"/>
    <w:tmpl w:val="6B90F7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BF7"/>
    <w:rsid w:val="00022AA4"/>
    <w:rsid w:val="00052A41"/>
    <w:rsid w:val="000F4428"/>
    <w:rsid w:val="00143206"/>
    <w:rsid w:val="00247E7D"/>
    <w:rsid w:val="00253334"/>
    <w:rsid w:val="00441776"/>
    <w:rsid w:val="00451EE4"/>
    <w:rsid w:val="00614BF7"/>
    <w:rsid w:val="006233A2"/>
    <w:rsid w:val="00723152"/>
    <w:rsid w:val="007532A9"/>
    <w:rsid w:val="00800C1B"/>
    <w:rsid w:val="00874679"/>
    <w:rsid w:val="008F120D"/>
    <w:rsid w:val="00933833"/>
    <w:rsid w:val="00952E6E"/>
    <w:rsid w:val="009F5FDF"/>
    <w:rsid w:val="00A309D1"/>
    <w:rsid w:val="00AA50CB"/>
    <w:rsid w:val="00BB54E1"/>
    <w:rsid w:val="00CF2655"/>
    <w:rsid w:val="00D06544"/>
    <w:rsid w:val="00D35BB9"/>
    <w:rsid w:val="00D53F92"/>
    <w:rsid w:val="00DB72EB"/>
    <w:rsid w:val="00DE4F83"/>
    <w:rsid w:val="00E737C4"/>
    <w:rsid w:val="00F53F16"/>
    <w:rsid w:val="00F661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0EC5A6"/>
  <w15:chartTrackingRefBased/>
  <w15:docId w15:val="{34B598E4-7C6E-437C-BD16-54B475E509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4BF7"/>
    <w:pPr>
      <w:ind w:left="720"/>
      <w:contextualSpacing/>
    </w:pPr>
  </w:style>
  <w:style w:type="character" w:styleId="Hyperlink">
    <w:name w:val="Hyperlink"/>
    <w:basedOn w:val="DefaultParagraphFont"/>
    <w:uiPriority w:val="99"/>
    <w:unhideWhenUsed/>
    <w:rsid w:val="00614BF7"/>
    <w:rPr>
      <w:color w:val="0563C1" w:themeColor="hyperlink"/>
      <w:u w:val="single"/>
    </w:rPr>
  </w:style>
  <w:style w:type="character" w:styleId="CommentReference">
    <w:name w:val="annotation reference"/>
    <w:basedOn w:val="DefaultParagraphFont"/>
    <w:uiPriority w:val="99"/>
    <w:semiHidden/>
    <w:unhideWhenUsed/>
    <w:rsid w:val="00DE4F83"/>
    <w:rPr>
      <w:sz w:val="16"/>
      <w:szCs w:val="16"/>
    </w:rPr>
  </w:style>
  <w:style w:type="paragraph" w:styleId="CommentText">
    <w:name w:val="annotation text"/>
    <w:basedOn w:val="Normal"/>
    <w:link w:val="CommentTextChar"/>
    <w:uiPriority w:val="99"/>
    <w:semiHidden/>
    <w:unhideWhenUsed/>
    <w:rsid w:val="00DE4F83"/>
    <w:pPr>
      <w:spacing w:line="240" w:lineRule="auto"/>
    </w:pPr>
    <w:rPr>
      <w:sz w:val="20"/>
      <w:szCs w:val="20"/>
    </w:rPr>
  </w:style>
  <w:style w:type="character" w:customStyle="1" w:styleId="CommentTextChar">
    <w:name w:val="Comment Text Char"/>
    <w:basedOn w:val="DefaultParagraphFont"/>
    <w:link w:val="CommentText"/>
    <w:uiPriority w:val="99"/>
    <w:semiHidden/>
    <w:rsid w:val="00DE4F83"/>
    <w:rPr>
      <w:sz w:val="20"/>
      <w:szCs w:val="20"/>
    </w:rPr>
  </w:style>
  <w:style w:type="paragraph" w:styleId="CommentSubject">
    <w:name w:val="annotation subject"/>
    <w:basedOn w:val="CommentText"/>
    <w:next w:val="CommentText"/>
    <w:link w:val="CommentSubjectChar"/>
    <w:uiPriority w:val="99"/>
    <w:semiHidden/>
    <w:unhideWhenUsed/>
    <w:rsid w:val="00DE4F83"/>
    <w:rPr>
      <w:b/>
      <w:bCs/>
    </w:rPr>
  </w:style>
  <w:style w:type="character" w:customStyle="1" w:styleId="CommentSubjectChar">
    <w:name w:val="Comment Subject Char"/>
    <w:basedOn w:val="CommentTextChar"/>
    <w:link w:val="CommentSubject"/>
    <w:uiPriority w:val="99"/>
    <w:semiHidden/>
    <w:rsid w:val="00DE4F83"/>
    <w:rPr>
      <w:b/>
      <w:bCs/>
      <w:sz w:val="20"/>
      <w:szCs w:val="20"/>
    </w:rPr>
  </w:style>
  <w:style w:type="paragraph" w:styleId="BalloonText">
    <w:name w:val="Balloon Text"/>
    <w:basedOn w:val="Normal"/>
    <w:link w:val="BalloonTextChar"/>
    <w:uiPriority w:val="99"/>
    <w:semiHidden/>
    <w:unhideWhenUsed/>
    <w:rsid w:val="00DE4F8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4F83"/>
    <w:rPr>
      <w:rFonts w:ascii="Segoe UI" w:hAnsi="Segoe UI" w:cs="Segoe UI"/>
      <w:sz w:val="18"/>
      <w:szCs w:val="18"/>
    </w:rPr>
  </w:style>
  <w:style w:type="paragraph" w:styleId="Header">
    <w:name w:val="header"/>
    <w:basedOn w:val="Normal"/>
    <w:link w:val="HeaderChar"/>
    <w:uiPriority w:val="99"/>
    <w:unhideWhenUsed/>
    <w:rsid w:val="009F5F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5FDF"/>
  </w:style>
  <w:style w:type="paragraph" w:styleId="Footer">
    <w:name w:val="footer"/>
    <w:basedOn w:val="Normal"/>
    <w:link w:val="FooterChar"/>
    <w:uiPriority w:val="99"/>
    <w:unhideWhenUsed/>
    <w:rsid w:val="009F5F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5FDF"/>
  </w:style>
  <w:style w:type="paragraph" w:styleId="NoSpacing">
    <w:name w:val="No Spacing"/>
    <w:uiPriority w:val="1"/>
    <w:qFormat/>
    <w:rsid w:val="00D35BB9"/>
    <w:pPr>
      <w:spacing w:after="0" w:line="240" w:lineRule="auto"/>
    </w:pPr>
  </w:style>
  <w:style w:type="character" w:styleId="FollowedHyperlink">
    <w:name w:val="FollowedHyperlink"/>
    <w:basedOn w:val="DefaultParagraphFont"/>
    <w:uiPriority w:val="99"/>
    <w:semiHidden/>
    <w:unhideWhenUsed/>
    <w:rsid w:val="00052A4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aro/dar/quality/categories/examinations/conventions/ug13" TargetMode="External"/><Relationship Id="rId13" Type="http://schemas.openxmlformats.org/officeDocument/2006/relationships/hyperlink" Target="https://warwick.ac.uk/services/academicoffice/examinations" TargetMode="External"/><Relationship Id="rId3" Type="http://schemas.openxmlformats.org/officeDocument/2006/relationships/settings" Target="settings.xml"/><Relationship Id="rId7" Type="http://schemas.openxmlformats.org/officeDocument/2006/relationships/hyperlink" Target="https://warwick.ac.uk/services/gov/calendar/section2/regulations" TargetMode="External"/><Relationship Id="rId12" Type="http://schemas.openxmlformats.org/officeDocument/2006/relationships/hyperlink" Target="https://warwick.ac.uk/services/aro/dar/quality/categories/examinations/scalin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arwick.ac.uk/services/academicoffice/examinations/students/mitigatingcircumstance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s://warwick.ac.uk/services/aro/dar/quality/categories/examinations/moderation" TargetMode="External"/><Relationship Id="rId4" Type="http://schemas.openxmlformats.org/officeDocument/2006/relationships/webSettings" Target="webSettings.xml"/><Relationship Id="rId9" Type="http://schemas.openxmlformats.org/officeDocument/2006/relationships/hyperlink" Target="https://warwick.ac.uk/services/aro/dar/quality/categories/examinations/policie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7915092E</Template>
  <TotalTime>0</TotalTime>
  <Pages>3</Pages>
  <Words>1281</Words>
  <Characters>7308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Wooldridge Smith, Roberta</dc:creator>
  <cp:keywords/>
  <dc:description/>
  <cp:lastModifiedBy>Wooldridge Smith, Roberta</cp:lastModifiedBy>
  <cp:revision>3</cp:revision>
  <cp:lastPrinted>2018-05-08T06:17:00Z</cp:lastPrinted>
  <dcterms:created xsi:type="dcterms:W3CDTF">2018-05-14T12:30:00Z</dcterms:created>
  <dcterms:modified xsi:type="dcterms:W3CDTF">2018-05-16T11:34:00Z</dcterms:modified>
</cp:coreProperties>
</file>