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E14D9" w14:textId="77777777" w:rsidR="00A64ADA" w:rsidRPr="008F1B0F" w:rsidRDefault="00A64ADA" w:rsidP="00A64ADA">
      <w:pPr>
        <w:spacing w:before="100" w:beforeAutospacing="1" w:after="100" w:afterAutospacing="1"/>
        <w:jc w:val="both"/>
        <w:outlineLvl w:val="1"/>
        <w:rPr>
          <w:b/>
          <w:bCs/>
          <w:szCs w:val="22"/>
        </w:rPr>
      </w:pPr>
      <w:r w:rsidRPr="008F1B0F">
        <w:rPr>
          <w:b/>
          <w:bCs/>
          <w:szCs w:val="22"/>
        </w:rPr>
        <w:t>Criminal Justice Centre</w:t>
      </w:r>
    </w:p>
    <w:p w14:paraId="3D42A1B3" w14:textId="77777777" w:rsidR="00A64ADA" w:rsidRPr="000C429A" w:rsidRDefault="00A64ADA" w:rsidP="00A64ADA">
      <w:pPr>
        <w:spacing w:before="100" w:beforeAutospacing="1" w:after="100" w:afterAutospacing="1"/>
        <w:ind w:left="567" w:hanging="567"/>
        <w:jc w:val="both"/>
        <w:outlineLvl w:val="2"/>
        <w:rPr>
          <w:b/>
          <w:bCs/>
          <w:szCs w:val="22"/>
        </w:rPr>
      </w:pPr>
      <w:r>
        <w:rPr>
          <w:b/>
          <w:bCs/>
          <w:szCs w:val="22"/>
        </w:rPr>
        <w:t>1</w:t>
      </w:r>
      <w:r>
        <w:rPr>
          <w:b/>
          <w:bCs/>
          <w:szCs w:val="22"/>
        </w:rPr>
        <w:tab/>
      </w:r>
      <w:r w:rsidRPr="000C429A">
        <w:rPr>
          <w:b/>
          <w:bCs/>
          <w:szCs w:val="22"/>
        </w:rPr>
        <w:t>About</w:t>
      </w:r>
    </w:p>
    <w:p w14:paraId="404213D6" w14:textId="77777777" w:rsidR="00A64ADA" w:rsidRPr="000C429A" w:rsidRDefault="00A64ADA" w:rsidP="00A64ADA">
      <w:pPr>
        <w:spacing w:before="100" w:beforeAutospacing="1" w:after="100" w:afterAutospacing="1"/>
        <w:ind w:left="567"/>
        <w:jc w:val="both"/>
        <w:rPr>
          <w:szCs w:val="22"/>
        </w:rPr>
      </w:pPr>
      <w:r w:rsidRPr="000C429A">
        <w:rPr>
          <w:szCs w:val="22"/>
        </w:rPr>
        <w:t>The Centre for Criminal Justice is established under the aegis of the Legal Research Institute (LRI), an established University Research Centre within the School of Law, and for the purposes of reporting to the University (under Strategic Departmental Review and otherwise) will be treated as a sub-unit of the LRI. It will also report periodically (at least every two years) to the LRI Management Committee and, through it, to the School of Law.</w:t>
      </w:r>
    </w:p>
    <w:p w14:paraId="41FFE158" w14:textId="77777777" w:rsidR="00A64ADA" w:rsidRPr="000C429A" w:rsidRDefault="00A64ADA" w:rsidP="00A64ADA">
      <w:pPr>
        <w:spacing w:before="100" w:beforeAutospacing="1" w:after="100" w:afterAutospacing="1"/>
        <w:ind w:left="567" w:hanging="567"/>
        <w:jc w:val="both"/>
        <w:outlineLvl w:val="2"/>
        <w:rPr>
          <w:b/>
          <w:bCs/>
          <w:szCs w:val="22"/>
        </w:rPr>
      </w:pPr>
      <w:r w:rsidRPr="000C429A">
        <w:rPr>
          <w:b/>
          <w:bCs/>
          <w:szCs w:val="22"/>
        </w:rPr>
        <w:t>2</w:t>
      </w:r>
      <w:r w:rsidRPr="000C429A">
        <w:rPr>
          <w:b/>
          <w:bCs/>
          <w:szCs w:val="22"/>
        </w:rPr>
        <w:tab/>
        <w:t>Membership</w:t>
      </w:r>
    </w:p>
    <w:p w14:paraId="1074B654" w14:textId="77777777" w:rsidR="00A64ADA" w:rsidRPr="000C429A" w:rsidRDefault="00A64ADA" w:rsidP="00A64ADA">
      <w:pPr>
        <w:spacing w:before="100" w:beforeAutospacing="1" w:after="100" w:afterAutospacing="1"/>
        <w:ind w:left="1134" w:hanging="567"/>
        <w:jc w:val="both"/>
        <w:rPr>
          <w:szCs w:val="22"/>
        </w:rPr>
      </w:pPr>
      <w:r w:rsidRPr="000C429A">
        <w:rPr>
          <w:szCs w:val="22"/>
        </w:rPr>
        <w:t>(a)</w:t>
      </w:r>
      <w:r w:rsidRPr="000C429A">
        <w:rPr>
          <w:szCs w:val="22"/>
        </w:rPr>
        <w:tab/>
        <w:t xml:space="preserve">Members of academic staff (including research staff) within the School of Law </w:t>
      </w:r>
      <w:r w:rsidR="00105281" w:rsidRPr="000C429A">
        <w:rPr>
          <w:szCs w:val="22"/>
        </w:rPr>
        <w:t xml:space="preserve">and other departments within the University </w:t>
      </w:r>
      <w:r w:rsidRPr="000C429A">
        <w:rPr>
          <w:szCs w:val="22"/>
        </w:rPr>
        <w:t>who are, from time to time, engaged in teaching and/or research on criminal law and criminal justice and related subjects;</w:t>
      </w:r>
    </w:p>
    <w:p w14:paraId="68836152" w14:textId="77777777" w:rsidR="00A64ADA" w:rsidRPr="000C429A" w:rsidRDefault="00A64ADA" w:rsidP="00A64ADA">
      <w:pPr>
        <w:spacing w:before="100" w:beforeAutospacing="1" w:after="100" w:afterAutospacing="1"/>
        <w:ind w:left="1134" w:hanging="567"/>
        <w:jc w:val="both"/>
        <w:rPr>
          <w:szCs w:val="22"/>
        </w:rPr>
      </w:pPr>
      <w:r w:rsidRPr="000C429A">
        <w:rPr>
          <w:szCs w:val="22"/>
        </w:rPr>
        <w:t>(b)</w:t>
      </w:r>
      <w:r w:rsidRPr="000C429A">
        <w:rPr>
          <w:szCs w:val="22"/>
        </w:rPr>
        <w:tab/>
        <w:t xml:space="preserve">Postgraduate research students registered in the School of Law </w:t>
      </w:r>
      <w:r w:rsidR="004A2C0B" w:rsidRPr="000C429A">
        <w:rPr>
          <w:szCs w:val="22"/>
        </w:rPr>
        <w:t xml:space="preserve">and other departments within the University </w:t>
      </w:r>
      <w:r w:rsidRPr="000C429A">
        <w:rPr>
          <w:szCs w:val="22"/>
        </w:rPr>
        <w:t>who are undertaking research within the fields of criminal law and criminal justice;</w:t>
      </w:r>
    </w:p>
    <w:p w14:paraId="13397875" w14:textId="77777777" w:rsidR="00A64ADA" w:rsidRPr="000C429A" w:rsidRDefault="00A64ADA" w:rsidP="00A64ADA">
      <w:pPr>
        <w:spacing w:before="100" w:beforeAutospacing="1" w:after="100" w:afterAutospacing="1"/>
        <w:ind w:left="1134" w:hanging="567"/>
        <w:jc w:val="both"/>
        <w:rPr>
          <w:szCs w:val="22"/>
        </w:rPr>
      </w:pPr>
      <w:r w:rsidRPr="000C429A">
        <w:rPr>
          <w:szCs w:val="22"/>
        </w:rPr>
        <w:t>(c)</w:t>
      </w:r>
      <w:r w:rsidRPr="000C429A">
        <w:rPr>
          <w:szCs w:val="22"/>
        </w:rPr>
        <w:tab/>
        <w:t>Postgraduate students registered on the LLM in International and Comparative Criminal Justice;</w:t>
      </w:r>
    </w:p>
    <w:p w14:paraId="1ECEE909" w14:textId="77777777" w:rsidR="00A64ADA" w:rsidRPr="000C429A" w:rsidRDefault="00A64ADA" w:rsidP="00A64ADA">
      <w:pPr>
        <w:spacing w:before="100" w:beforeAutospacing="1" w:after="100" w:afterAutospacing="1"/>
        <w:ind w:left="1134" w:hanging="567"/>
        <w:jc w:val="both"/>
        <w:rPr>
          <w:szCs w:val="22"/>
        </w:rPr>
      </w:pPr>
      <w:r w:rsidRPr="000C429A">
        <w:rPr>
          <w:szCs w:val="22"/>
        </w:rPr>
        <w:t>(d)</w:t>
      </w:r>
      <w:r w:rsidRPr="000C429A">
        <w:rPr>
          <w:szCs w:val="22"/>
        </w:rPr>
        <w:tab/>
        <w:t>Students registered on LLB degree programmes who are undertaking advance study, through individual research projects, on aspects of criminal law and criminal justice.</w:t>
      </w:r>
    </w:p>
    <w:p w14:paraId="02CED185" w14:textId="77777777" w:rsidR="00A64ADA" w:rsidRPr="000C429A" w:rsidRDefault="00A64ADA" w:rsidP="00A64ADA">
      <w:pPr>
        <w:spacing w:before="100" w:beforeAutospacing="1" w:after="100" w:afterAutospacing="1"/>
        <w:ind w:left="567" w:hanging="567"/>
        <w:jc w:val="both"/>
        <w:outlineLvl w:val="2"/>
        <w:rPr>
          <w:b/>
          <w:bCs/>
          <w:szCs w:val="22"/>
        </w:rPr>
      </w:pPr>
      <w:r w:rsidRPr="000C429A">
        <w:rPr>
          <w:b/>
          <w:bCs/>
          <w:szCs w:val="22"/>
        </w:rPr>
        <w:t>3</w:t>
      </w:r>
      <w:r w:rsidRPr="000C429A">
        <w:rPr>
          <w:b/>
          <w:bCs/>
          <w:szCs w:val="22"/>
        </w:rPr>
        <w:tab/>
        <w:t>Associate membership</w:t>
      </w:r>
    </w:p>
    <w:p w14:paraId="53488739" w14:textId="77777777" w:rsidR="00A64ADA" w:rsidRPr="000C429A" w:rsidRDefault="00A64ADA" w:rsidP="00A64ADA">
      <w:pPr>
        <w:spacing w:before="100" w:beforeAutospacing="1" w:after="100" w:afterAutospacing="1"/>
        <w:ind w:left="567"/>
        <w:jc w:val="both"/>
        <w:rPr>
          <w:szCs w:val="22"/>
        </w:rPr>
      </w:pPr>
      <w:r w:rsidRPr="000C429A">
        <w:rPr>
          <w:szCs w:val="22"/>
        </w:rPr>
        <w:t>Associate membership of the Centre for Criminal Justice will be accorded by the Management Group to academic staff (including research staff) elsewhere in the University of Warwick, in other institutions of higher education or independent research institutions, or legal and/or criminal justice practitioners, who become engaged in joint research projects or other activities of the Centre, for the duration of such engagements.</w:t>
      </w:r>
    </w:p>
    <w:p w14:paraId="2078807C" w14:textId="77777777" w:rsidR="00A64ADA" w:rsidRPr="000C429A" w:rsidRDefault="00A64ADA" w:rsidP="00A64ADA">
      <w:pPr>
        <w:spacing w:before="100" w:beforeAutospacing="1" w:after="100" w:afterAutospacing="1"/>
        <w:ind w:left="567" w:hanging="567"/>
        <w:jc w:val="both"/>
        <w:outlineLvl w:val="2"/>
        <w:rPr>
          <w:b/>
          <w:bCs/>
          <w:szCs w:val="22"/>
        </w:rPr>
      </w:pPr>
      <w:r w:rsidRPr="000C429A">
        <w:rPr>
          <w:b/>
          <w:bCs/>
          <w:szCs w:val="22"/>
        </w:rPr>
        <w:t>4</w:t>
      </w:r>
      <w:r w:rsidRPr="000C429A">
        <w:rPr>
          <w:b/>
          <w:bCs/>
          <w:szCs w:val="22"/>
        </w:rPr>
        <w:tab/>
        <w:t>The Director</w:t>
      </w:r>
    </w:p>
    <w:p w14:paraId="49E5D94E" w14:textId="77777777" w:rsidR="00A64ADA" w:rsidRPr="000C429A" w:rsidRDefault="00A64ADA" w:rsidP="00A64ADA">
      <w:pPr>
        <w:spacing w:before="100" w:beforeAutospacing="1" w:after="100" w:afterAutospacing="1"/>
        <w:ind w:left="567"/>
        <w:jc w:val="both"/>
        <w:rPr>
          <w:szCs w:val="22"/>
        </w:rPr>
      </w:pPr>
      <w:r w:rsidRPr="000C429A">
        <w:rPr>
          <w:szCs w:val="22"/>
        </w:rPr>
        <w:t xml:space="preserve">A Director </w:t>
      </w:r>
      <w:r w:rsidR="004A2C0B" w:rsidRPr="000C429A">
        <w:rPr>
          <w:szCs w:val="22"/>
        </w:rPr>
        <w:t xml:space="preserve">or two Co-Directors </w:t>
      </w:r>
      <w:r w:rsidRPr="000C429A">
        <w:rPr>
          <w:szCs w:val="22"/>
        </w:rPr>
        <w:t>of the Centre for Criminal Justice will be appointed, for a term not exceeding three years, by the Head of the School of Law. Normally, no one person will be eligible to serve as Director for more than two consecutive terms.</w:t>
      </w:r>
    </w:p>
    <w:p w14:paraId="11CE7163" w14:textId="77777777" w:rsidR="00A64ADA" w:rsidRPr="000C429A" w:rsidRDefault="00A64ADA" w:rsidP="00A64ADA">
      <w:pPr>
        <w:spacing w:before="100" w:beforeAutospacing="1" w:after="100" w:afterAutospacing="1"/>
        <w:ind w:left="567" w:hanging="567"/>
        <w:jc w:val="both"/>
        <w:outlineLvl w:val="2"/>
        <w:rPr>
          <w:b/>
          <w:bCs/>
          <w:szCs w:val="22"/>
        </w:rPr>
      </w:pPr>
      <w:r w:rsidRPr="000C429A">
        <w:rPr>
          <w:b/>
          <w:bCs/>
          <w:szCs w:val="22"/>
        </w:rPr>
        <w:t>5</w:t>
      </w:r>
      <w:r w:rsidRPr="000C429A">
        <w:rPr>
          <w:b/>
          <w:bCs/>
          <w:szCs w:val="22"/>
        </w:rPr>
        <w:tab/>
        <w:t>Management Group</w:t>
      </w:r>
    </w:p>
    <w:p w14:paraId="37E09398" w14:textId="77777777" w:rsidR="00A64ADA" w:rsidRPr="000C429A" w:rsidRDefault="00A64ADA" w:rsidP="00A64ADA">
      <w:pPr>
        <w:spacing w:before="100" w:beforeAutospacing="1" w:after="100" w:afterAutospacing="1"/>
        <w:ind w:left="1134" w:hanging="567"/>
        <w:jc w:val="both"/>
        <w:rPr>
          <w:szCs w:val="22"/>
        </w:rPr>
      </w:pPr>
      <w:r w:rsidRPr="000C429A">
        <w:rPr>
          <w:szCs w:val="22"/>
        </w:rPr>
        <w:t>(a)</w:t>
      </w:r>
      <w:r w:rsidRPr="000C429A">
        <w:rPr>
          <w:szCs w:val="22"/>
        </w:rPr>
        <w:tab/>
        <w:t>A Management Group will be appointed by the Head of the School of Law to oversee the work of the Centre and to approve periodic reports on its activities to the LRI and, through it, to the School of Law and the University. The Management Group will consist of:</w:t>
      </w:r>
    </w:p>
    <w:p w14:paraId="3D8B03A3" w14:textId="77777777" w:rsidR="00A64ADA" w:rsidRPr="000C429A" w:rsidRDefault="00A64ADA" w:rsidP="00A64ADA">
      <w:pPr>
        <w:spacing w:before="100" w:beforeAutospacing="1" w:after="100" w:afterAutospacing="1"/>
        <w:ind w:left="1701" w:hanging="567"/>
        <w:jc w:val="both"/>
        <w:rPr>
          <w:szCs w:val="22"/>
        </w:rPr>
      </w:pPr>
      <w:r w:rsidRPr="000C429A">
        <w:rPr>
          <w:szCs w:val="22"/>
        </w:rPr>
        <w:t>(i)</w:t>
      </w:r>
      <w:r w:rsidRPr="000C429A">
        <w:rPr>
          <w:szCs w:val="22"/>
        </w:rPr>
        <w:tab/>
        <w:t>The Head of Department of the School of Law (ex officio)</w:t>
      </w:r>
    </w:p>
    <w:p w14:paraId="191760C1" w14:textId="77777777" w:rsidR="00A64ADA" w:rsidRPr="000C429A" w:rsidRDefault="00A64ADA" w:rsidP="00A64ADA">
      <w:pPr>
        <w:spacing w:before="100" w:beforeAutospacing="1" w:after="100" w:afterAutospacing="1"/>
        <w:ind w:left="1701" w:hanging="567"/>
        <w:jc w:val="both"/>
        <w:rPr>
          <w:szCs w:val="22"/>
        </w:rPr>
      </w:pPr>
      <w:r w:rsidRPr="000C429A">
        <w:rPr>
          <w:szCs w:val="22"/>
        </w:rPr>
        <w:lastRenderedPageBreak/>
        <w:t>(ii)</w:t>
      </w:r>
      <w:r w:rsidRPr="000C429A">
        <w:rPr>
          <w:szCs w:val="22"/>
        </w:rPr>
        <w:tab/>
        <w:t>The Director of the Legal Research Institute (ex officio)</w:t>
      </w:r>
    </w:p>
    <w:p w14:paraId="30E78C1A" w14:textId="77777777" w:rsidR="00A64ADA" w:rsidRPr="000C429A" w:rsidRDefault="00A64ADA" w:rsidP="00A64ADA">
      <w:pPr>
        <w:spacing w:before="100" w:beforeAutospacing="1" w:after="100" w:afterAutospacing="1"/>
        <w:ind w:left="1701" w:hanging="567"/>
        <w:jc w:val="both"/>
        <w:rPr>
          <w:szCs w:val="22"/>
        </w:rPr>
      </w:pPr>
      <w:r w:rsidRPr="000C429A">
        <w:rPr>
          <w:szCs w:val="22"/>
        </w:rPr>
        <w:t>(iii)</w:t>
      </w:r>
      <w:r w:rsidRPr="000C429A">
        <w:rPr>
          <w:szCs w:val="22"/>
        </w:rPr>
        <w:tab/>
        <w:t>The Director</w:t>
      </w:r>
      <w:r w:rsidR="0024730D" w:rsidRPr="000C429A">
        <w:rPr>
          <w:szCs w:val="22"/>
        </w:rPr>
        <w:t xml:space="preserve"> or Co-Directors</w:t>
      </w:r>
      <w:r w:rsidRPr="000C429A">
        <w:rPr>
          <w:szCs w:val="22"/>
        </w:rPr>
        <w:t xml:space="preserve"> of the Centre</w:t>
      </w:r>
    </w:p>
    <w:p w14:paraId="3DF69FEE" w14:textId="77777777" w:rsidR="00A64ADA" w:rsidRPr="000C429A" w:rsidRDefault="00A64ADA" w:rsidP="00A64ADA">
      <w:pPr>
        <w:spacing w:before="100" w:beforeAutospacing="1" w:after="100" w:afterAutospacing="1"/>
        <w:ind w:left="1701" w:hanging="567"/>
        <w:jc w:val="both"/>
        <w:rPr>
          <w:szCs w:val="22"/>
        </w:rPr>
      </w:pPr>
      <w:r w:rsidRPr="000C429A">
        <w:rPr>
          <w:szCs w:val="22"/>
        </w:rPr>
        <w:t>(iv)</w:t>
      </w:r>
      <w:r w:rsidRPr="000C429A">
        <w:rPr>
          <w:szCs w:val="22"/>
        </w:rPr>
        <w:tab/>
        <w:t>Four representative of the academic staff who are members of the Centre</w:t>
      </w:r>
    </w:p>
    <w:p w14:paraId="3962492D" w14:textId="77777777" w:rsidR="00A64ADA" w:rsidRPr="000C429A" w:rsidRDefault="00A64ADA" w:rsidP="00A64ADA">
      <w:pPr>
        <w:spacing w:before="100" w:beforeAutospacing="1" w:after="100" w:afterAutospacing="1"/>
        <w:ind w:left="1701" w:hanging="567"/>
        <w:jc w:val="both"/>
        <w:rPr>
          <w:szCs w:val="22"/>
        </w:rPr>
      </w:pPr>
      <w:r w:rsidRPr="000C429A">
        <w:rPr>
          <w:szCs w:val="22"/>
        </w:rPr>
        <w:t>(v)</w:t>
      </w:r>
      <w:r w:rsidRPr="000C429A">
        <w:rPr>
          <w:szCs w:val="22"/>
        </w:rPr>
        <w:tab/>
        <w:t>One postgraduate student member of the Centre</w:t>
      </w:r>
    </w:p>
    <w:p w14:paraId="0A9E036A" w14:textId="77777777" w:rsidR="00A64ADA" w:rsidRPr="000C429A" w:rsidRDefault="00A64ADA" w:rsidP="00A64ADA">
      <w:pPr>
        <w:spacing w:before="100" w:beforeAutospacing="1" w:after="100" w:afterAutospacing="1"/>
        <w:ind w:left="567" w:hanging="567"/>
        <w:jc w:val="both"/>
        <w:outlineLvl w:val="2"/>
        <w:rPr>
          <w:b/>
          <w:bCs/>
          <w:szCs w:val="22"/>
        </w:rPr>
      </w:pPr>
      <w:r w:rsidRPr="000C429A">
        <w:rPr>
          <w:b/>
          <w:bCs/>
          <w:szCs w:val="22"/>
        </w:rPr>
        <w:t>6</w:t>
      </w:r>
      <w:r w:rsidRPr="000C429A">
        <w:rPr>
          <w:b/>
          <w:bCs/>
          <w:szCs w:val="22"/>
        </w:rPr>
        <w:tab/>
        <w:t>Activities of the Centre</w:t>
      </w:r>
    </w:p>
    <w:p w14:paraId="6AF5B898" w14:textId="77777777" w:rsidR="00A64ADA" w:rsidRPr="000C429A" w:rsidRDefault="00A64ADA" w:rsidP="00A64ADA">
      <w:pPr>
        <w:spacing w:before="100" w:beforeAutospacing="1" w:after="100" w:afterAutospacing="1"/>
        <w:ind w:left="1134" w:hanging="567"/>
        <w:jc w:val="both"/>
        <w:rPr>
          <w:szCs w:val="22"/>
        </w:rPr>
      </w:pPr>
      <w:r w:rsidRPr="000C429A">
        <w:rPr>
          <w:szCs w:val="22"/>
        </w:rPr>
        <w:t>(a)</w:t>
      </w:r>
      <w:r w:rsidRPr="000C429A">
        <w:rPr>
          <w:szCs w:val="22"/>
        </w:rPr>
        <w:tab/>
        <w:t xml:space="preserve">The Centre for Criminal Justice will be empowered, subject to academic and/or budgetary approval of the School of Law and the University, to undertake the following activities: </w:t>
      </w:r>
    </w:p>
    <w:p w14:paraId="6FB79D2C" w14:textId="77777777" w:rsidR="00A64ADA" w:rsidRPr="000C429A" w:rsidRDefault="00A64ADA" w:rsidP="00A64ADA">
      <w:pPr>
        <w:spacing w:before="100" w:beforeAutospacing="1" w:after="100" w:afterAutospacing="1"/>
        <w:ind w:left="1701" w:hanging="567"/>
        <w:jc w:val="both"/>
        <w:rPr>
          <w:szCs w:val="22"/>
        </w:rPr>
      </w:pPr>
      <w:r w:rsidRPr="000C429A">
        <w:rPr>
          <w:szCs w:val="22"/>
        </w:rPr>
        <w:t>(i)</w:t>
      </w:r>
      <w:r w:rsidRPr="000C429A">
        <w:rPr>
          <w:szCs w:val="22"/>
        </w:rPr>
        <w:tab/>
        <w:t>the organisation and conduct of meetings, workshops, seminars and conferences within the fields of criminal law and criminal justice;</w:t>
      </w:r>
    </w:p>
    <w:p w14:paraId="721587DC" w14:textId="77777777" w:rsidR="00A64ADA" w:rsidRPr="000C429A" w:rsidRDefault="00A64ADA" w:rsidP="00A64ADA">
      <w:pPr>
        <w:spacing w:before="100" w:beforeAutospacing="1" w:after="100" w:afterAutospacing="1"/>
        <w:ind w:left="1701" w:hanging="567"/>
        <w:jc w:val="both"/>
        <w:rPr>
          <w:szCs w:val="22"/>
        </w:rPr>
      </w:pPr>
      <w:r w:rsidRPr="000C429A">
        <w:rPr>
          <w:szCs w:val="22"/>
        </w:rPr>
        <w:t>(ii)</w:t>
      </w:r>
      <w:r w:rsidRPr="000C429A">
        <w:rPr>
          <w:szCs w:val="22"/>
        </w:rPr>
        <w:tab/>
        <w:t>providing advice and assistance on publications, including undertaking various forms of publishing in its own right or in association with other publishers, within the fields of criminal law and criminal justice;</w:t>
      </w:r>
    </w:p>
    <w:p w14:paraId="3F09EBE6" w14:textId="77777777" w:rsidR="00A64ADA" w:rsidRPr="000C429A" w:rsidRDefault="00A64ADA" w:rsidP="00A64ADA">
      <w:pPr>
        <w:spacing w:before="100" w:beforeAutospacing="1" w:after="100" w:afterAutospacing="1"/>
        <w:ind w:left="1701" w:hanging="567"/>
        <w:jc w:val="both"/>
        <w:rPr>
          <w:szCs w:val="22"/>
        </w:rPr>
      </w:pPr>
      <w:r w:rsidRPr="000C429A">
        <w:rPr>
          <w:szCs w:val="22"/>
        </w:rPr>
        <w:t>(iii)</w:t>
      </w:r>
      <w:r w:rsidRPr="000C429A">
        <w:rPr>
          <w:szCs w:val="22"/>
        </w:rPr>
        <w:tab/>
        <w:t>providing advice and assistance on, and the organisation and conduct of, teaching and professional development in the fields of criminal law and criminal justice;</w:t>
      </w:r>
    </w:p>
    <w:p w14:paraId="7AAB9C76" w14:textId="77777777" w:rsidR="00A64ADA" w:rsidRPr="000C429A" w:rsidRDefault="00A64ADA" w:rsidP="00A64ADA">
      <w:pPr>
        <w:spacing w:before="100" w:beforeAutospacing="1" w:after="100" w:afterAutospacing="1"/>
        <w:ind w:left="1701" w:hanging="567"/>
        <w:jc w:val="both"/>
        <w:rPr>
          <w:szCs w:val="22"/>
        </w:rPr>
      </w:pPr>
      <w:r w:rsidRPr="000C429A">
        <w:rPr>
          <w:szCs w:val="22"/>
        </w:rPr>
        <w:t>(iv)</w:t>
      </w:r>
      <w:r w:rsidRPr="000C429A">
        <w:rPr>
          <w:szCs w:val="22"/>
        </w:rPr>
        <w:tab/>
        <w:t>providing advice and assistance on, and the organisation and conduct of, research on criminal law and criminal justice;</w:t>
      </w:r>
    </w:p>
    <w:p w14:paraId="249E46C4" w14:textId="77777777" w:rsidR="00A64ADA" w:rsidRPr="000C429A" w:rsidRDefault="00A64ADA" w:rsidP="00A64ADA">
      <w:pPr>
        <w:spacing w:before="100" w:beforeAutospacing="1" w:after="100" w:afterAutospacing="1"/>
        <w:ind w:left="1701" w:hanging="567"/>
        <w:jc w:val="both"/>
        <w:rPr>
          <w:szCs w:val="22"/>
        </w:rPr>
      </w:pPr>
      <w:r w:rsidRPr="000C429A">
        <w:rPr>
          <w:szCs w:val="22"/>
        </w:rPr>
        <w:t>(v)</w:t>
      </w:r>
      <w:r w:rsidRPr="000C429A">
        <w:rPr>
          <w:szCs w:val="22"/>
        </w:rPr>
        <w:tab/>
        <w:t>providing advice and assistance on seeking funding to support any of the above activities, including where appropriate the drafting of and associating the Centre with such funding applications;</w:t>
      </w:r>
    </w:p>
    <w:p w14:paraId="670D9642" w14:textId="77777777" w:rsidR="00A64ADA" w:rsidRPr="000C429A" w:rsidRDefault="00A64ADA" w:rsidP="00A64ADA">
      <w:pPr>
        <w:spacing w:before="100" w:beforeAutospacing="1" w:after="100" w:afterAutospacing="1"/>
        <w:ind w:left="1701" w:hanging="567"/>
        <w:jc w:val="both"/>
        <w:rPr>
          <w:szCs w:val="22"/>
        </w:rPr>
      </w:pPr>
      <w:r w:rsidRPr="000C429A">
        <w:rPr>
          <w:szCs w:val="22"/>
        </w:rPr>
        <w:t>(vi)</w:t>
      </w:r>
      <w:r w:rsidRPr="000C429A">
        <w:rPr>
          <w:szCs w:val="22"/>
        </w:rPr>
        <w:tab/>
        <w:t>any other activities of an academic nature which may be agreed by the School of Law and the University;</w:t>
      </w:r>
    </w:p>
    <w:p w14:paraId="0F4A3FA4" w14:textId="77777777" w:rsidR="00A64ADA" w:rsidRPr="000C429A" w:rsidRDefault="00A64ADA" w:rsidP="00A64ADA">
      <w:pPr>
        <w:spacing w:before="100" w:beforeAutospacing="1" w:after="100" w:afterAutospacing="1"/>
        <w:ind w:left="1701" w:hanging="567"/>
        <w:jc w:val="both"/>
        <w:rPr>
          <w:szCs w:val="22"/>
        </w:rPr>
      </w:pPr>
      <w:r w:rsidRPr="000C429A">
        <w:rPr>
          <w:szCs w:val="22"/>
        </w:rPr>
        <w:t>(vii)</w:t>
      </w:r>
      <w:r w:rsidRPr="000C429A">
        <w:rPr>
          <w:szCs w:val="22"/>
        </w:rPr>
        <w:tab/>
        <w:t>supervision of internal budgets and allocation of any funds devolved by the School, other parts of the University or other sources for the furtherance of its activities.</w:t>
      </w:r>
    </w:p>
    <w:p w14:paraId="2E782C01" w14:textId="77777777" w:rsidR="00A64ADA" w:rsidRPr="000C429A" w:rsidRDefault="00A64ADA" w:rsidP="00A64ADA">
      <w:pPr>
        <w:jc w:val="both"/>
        <w:rPr>
          <w:szCs w:val="22"/>
        </w:rPr>
      </w:pPr>
    </w:p>
    <w:p w14:paraId="533CE965" w14:textId="77777777" w:rsidR="0036360A" w:rsidRPr="000C429A" w:rsidRDefault="0036360A">
      <w:bookmarkStart w:id="0" w:name="_GoBack"/>
      <w:bookmarkEnd w:id="0"/>
    </w:p>
    <w:sectPr w:rsidR="0036360A" w:rsidRPr="000C42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DA"/>
    <w:rsid w:val="000C429A"/>
    <w:rsid w:val="00105281"/>
    <w:rsid w:val="0024730D"/>
    <w:rsid w:val="0036360A"/>
    <w:rsid w:val="004A2C0B"/>
    <w:rsid w:val="00A6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3DA5"/>
  <w15:chartTrackingRefBased/>
  <w15:docId w15:val="{5B5992F5-84DD-4386-AD65-A555F017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ADA"/>
    <w:pPr>
      <w:spacing w:after="0" w:line="240" w:lineRule="auto"/>
    </w:pPr>
    <w:rPr>
      <w:rFonts w:ascii="Arial" w:eastAsia="Times New Roman" w:hAnsi="Arial" w:cs="Arial"/>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Susan</dc:creator>
  <cp:keywords/>
  <dc:description/>
  <cp:lastModifiedBy>Harris, Carole</cp:lastModifiedBy>
  <cp:revision>4</cp:revision>
  <dcterms:created xsi:type="dcterms:W3CDTF">2021-01-12T10:07:00Z</dcterms:created>
  <dcterms:modified xsi:type="dcterms:W3CDTF">2021-02-26T14:14:00Z</dcterms:modified>
</cp:coreProperties>
</file>