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0E9842" w14:textId="33DB23A5" w:rsidR="00D7563D" w:rsidRPr="00941FB0" w:rsidRDefault="00941FB0" w:rsidP="00941FB0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941FB0">
        <w:rPr>
          <w:rFonts w:ascii="Arial" w:hAnsi="Arial" w:cs="Arial"/>
          <w:b/>
          <w:bCs/>
          <w:sz w:val="22"/>
          <w:szCs w:val="22"/>
        </w:rPr>
        <w:t>Constitution</w:t>
      </w:r>
    </w:p>
    <w:p w14:paraId="2FE3B916" w14:textId="77777777" w:rsidR="00941FB0" w:rsidRPr="00941FB0" w:rsidRDefault="00941FB0" w:rsidP="00941FB0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14:paraId="13710B81" w14:textId="5FC675F8" w:rsidR="00941FB0" w:rsidRPr="00941FB0" w:rsidRDefault="00941FB0" w:rsidP="00941FB0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941FB0">
        <w:rPr>
          <w:rFonts w:ascii="Arial" w:hAnsi="Arial" w:cs="Arial"/>
          <w:b/>
          <w:bCs/>
          <w:sz w:val="22"/>
          <w:szCs w:val="22"/>
        </w:rPr>
        <w:t>Centre for Constitutions in Context</w:t>
      </w:r>
    </w:p>
    <w:p w14:paraId="6EA3EC98" w14:textId="77777777" w:rsidR="00941FB0" w:rsidRDefault="00941FB0">
      <w:pPr>
        <w:rPr>
          <w:rFonts w:ascii="Arial" w:hAnsi="Arial" w:cs="Arial"/>
          <w:sz w:val="22"/>
          <w:szCs w:val="22"/>
        </w:rPr>
      </w:pPr>
    </w:p>
    <w:p w14:paraId="39E50E0A" w14:textId="544F3E1F" w:rsidR="00941FB0" w:rsidRPr="00381E50" w:rsidRDefault="00941FB0" w:rsidP="00941FB0">
      <w:pPr>
        <w:pStyle w:val="ListParagraph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</w:rPr>
      </w:pPr>
      <w:r w:rsidRPr="00381E50">
        <w:rPr>
          <w:rFonts w:ascii="Arial" w:hAnsi="Arial" w:cs="Arial"/>
          <w:b/>
          <w:bCs/>
          <w:sz w:val="22"/>
          <w:szCs w:val="22"/>
        </w:rPr>
        <w:t>Aims of the Centre</w:t>
      </w:r>
    </w:p>
    <w:p w14:paraId="35CA9FF2" w14:textId="77777777" w:rsidR="00941FB0" w:rsidRDefault="00941FB0" w:rsidP="00941FB0">
      <w:pPr>
        <w:rPr>
          <w:rFonts w:ascii="Arial" w:hAnsi="Arial" w:cs="Arial"/>
          <w:sz w:val="22"/>
          <w:szCs w:val="22"/>
        </w:rPr>
      </w:pPr>
    </w:p>
    <w:p w14:paraId="1CF84751" w14:textId="73C4B361" w:rsidR="00941FB0" w:rsidRDefault="00941FB0" w:rsidP="00941FB0">
      <w:pPr>
        <w:pStyle w:val="ListParagraph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To formally recognise and build on Warwick Law School’s research </w:t>
      </w:r>
      <w:r w:rsidR="00381E50">
        <w:rPr>
          <w:rFonts w:ascii="Arial" w:hAnsi="Arial" w:cs="Arial"/>
          <w:sz w:val="22"/>
          <w:szCs w:val="22"/>
        </w:rPr>
        <w:t xml:space="preserve">strengths </w:t>
      </w:r>
      <w:r>
        <w:rPr>
          <w:rFonts w:ascii="Arial" w:hAnsi="Arial" w:cs="Arial"/>
          <w:sz w:val="22"/>
          <w:szCs w:val="22"/>
        </w:rPr>
        <w:t>in, and contributions to, the study of world constitutions in context;</w:t>
      </w:r>
    </w:p>
    <w:p w14:paraId="359D33F1" w14:textId="77777777" w:rsidR="00941FB0" w:rsidRPr="00941FB0" w:rsidRDefault="00941FB0" w:rsidP="00941FB0">
      <w:pPr>
        <w:rPr>
          <w:rFonts w:ascii="Arial" w:hAnsi="Arial" w:cs="Arial"/>
          <w:sz w:val="22"/>
          <w:szCs w:val="22"/>
        </w:rPr>
      </w:pPr>
    </w:p>
    <w:p w14:paraId="3993F11C" w14:textId="21334189" w:rsidR="00941FB0" w:rsidRDefault="00941FB0" w:rsidP="00941FB0">
      <w:pPr>
        <w:pStyle w:val="ListParagraph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To foster a community of researchers and practitioners – both within and outside Warwick – who are interested in contextual understandings of constitutions and constitutional law, exploring them in their geographical, historical, political, social, and cultural contexts;</w:t>
      </w:r>
    </w:p>
    <w:p w14:paraId="40EDAA62" w14:textId="77777777" w:rsidR="00941FB0" w:rsidRPr="00941FB0" w:rsidRDefault="00941FB0" w:rsidP="00941FB0">
      <w:pPr>
        <w:pStyle w:val="ListParagraph"/>
        <w:rPr>
          <w:rFonts w:ascii="Arial" w:hAnsi="Arial" w:cs="Arial"/>
          <w:sz w:val="22"/>
          <w:szCs w:val="22"/>
        </w:rPr>
      </w:pPr>
    </w:p>
    <w:p w14:paraId="0284EFBC" w14:textId="1123CFEA" w:rsidR="00941FB0" w:rsidRDefault="00941FB0" w:rsidP="00941FB0">
      <w:pPr>
        <w:pStyle w:val="ListParagraph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To coordinate, facilitate</w:t>
      </w:r>
      <w:r w:rsidR="005D31C6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and publicise the research and policy-related activities of colleagues working in the areas of the </w:t>
      </w:r>
      <w:r w:rsidR="002A6A2B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entre’s activities;</w:t>
      </w:r>
    </w:p>
    <w:p w14:paraId="2AB086A6" w14:textId="77777777" w:rsidR="00941FB0" w:rsidRPr="00941FB0" w:rsidRDefault="00941FB0" w:rsidP="00941FB0">
      <w:pPr>
        <w:ind w:left="360"/>
        <w:rPr>
          <w:rFonts w:ascii="Arial" w:hAnsi="Arial" w:cs="Arial"/>
          <w:sz w:val="22"/>
          <w:szCs w:val="22"/>
        </w:rPr>
      </w:pPr>
    </w:p>
    <w:p w14:paraId="4F8133E4" w14:textId="186348A8" w:rsidR="00941FB0" w:rsidRDefault="00941FB0" w:rsidP="00941FB0">
      <w:pPr>
        <w:pStyle w:val="ListParagraph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To promote directly and indirectly the production of scholarly works on or about the Centre’s research activities;</w:t>
      </w:r>
    </w:p>
    <w:p w14:paraId="1B7F1C6A" w14:textId="77777777" w:rsidR="00941FB0" w:rsidRPr="00941FB0" w:rsidRDefault="00941FB0" w:rsidP="00941FB0">
      <w:pPr>
        <w:pStyle w:val="ListParagraph"/>
        <w:rPr>
          <w:rFonts w:ascii="Arial" w:hAnsi="Arial" w:cs="Arial"/>
          <w:sz w:val="22"/>
          <w:szCs w:val="22"/>
        </w:rPr>
      </w:pPr>
    </w:p>
    <w:p w14:paraId="459C6297" w14:textId="25EBFEC1" w:rsidR="00941FB0" w:rsidRDefault="00941FB0" w:rsidP="00941FB0">
      <w:pPr>
        <w:pStyle w:val="ListParagraph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To provide an institutional platform to organise and promote workshops, conferences, seminars, lectures</w:t>
      </w:r>
      <w:r w:rsidR="002A6A2B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and impact-related activities; host and raise funding for</w:t>
      </w:r>
      <w:r w:rsidR="00381E5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research projects </w:t>
      </w:r>
      <w:r w:rsidR="00381E50">
        <w:rPr>
          <w:rFonts w:ascii="Arial" w:hAnsi="Arial" w:cs="Arial"/>
          <w:sz w:val="22"/>
          <w:szCs w:val="22"/>
        </w:rPr>
        <w:t xml:space="preserve">and events </w:t>
      </w:r>
      <w:r>
        <w:rPr>
          <w:rFonts w:ascii="Arial" w:hAnsi="Arial" w:cs="Arial"/>
          <w:sz w:val="22"/>
          <w:szCs w:val="22"/>
        </w:rPr>
        <w:t>from internal and external funding sources</w:t>
      </w:r>
      <w:r w:rsidR="00381E50">
        <w:rPr>
          <w:rFonts w:ascii="Arial" w:hAnsi="Arial" w:cs="Arial"/>
          <w:sz w:val="22"/>
          <w:szCs w:val="22"/>
        </w:rPr>
        <w:t>; and establish and locate book series and journals;</w:t>
      </w:r>
    </w:p>
    <w:p w14:paraId="2B5814AA" w14:textId="77777777" w:rsidR="00381E50" w:rsidRPr="00381E50" w:rsidRDefault="00381E50" w:rsidP="00381E50">
      <w:pPr>
        <w:rPr>
          <w:rFonts w:ascii="Arial" w:hAnsi="Arial" w:cs="Arial"/>
          <w:sz w:val="22"/>
          <w:szCs w:val="22"/>
        </w:rPr>
      </w:pPr>
    </w:p>
    <w:p w14:paraId="08AB368A" w14:textId="2FCE99B1" w:rsidR="00381E50" w:rsidRPr="00941FB0" w:rsidRDefault="00381E50" w:rsidP="00941FB0">
      <w:pPr>
        <w:pStyle w:val="ListParagraph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To bridge the gap between the study and practice of law and the academic and practising branches of the legal profession.</w:t>
      </w:r>
    </w:p>
    <w:p w14:paraId="3477B80F" w14:textId="77777777" w:rsidR="00941FB0" w:rsidRDefault="00941FB0" w:rsidP="00941FB0">
      <w:pPr>
        <w:rPr>
          <w:rFonts w:ascii="Arial" w:hAnsi="Arial" w:cs="Arial"/>
          <w:sz w:val="22"/>
          <w:szCs w:val="22"/>
        </w:rPr>
      </w:pPr>
    </w:p>
    <w:p w14:paraId="212B31D3" w14:textId="77777777" w:rsidR="00941FB0" w:rsidRPr="00941FB0" w:rsidRDefault="00941FB0" w:rsidP="00941FB0">
      <w:pPr>
        <w:rPr>
          <w:rFonts w:ascii="Arial" w:hAnsi="Arial" w:cs="Arial"/>
          <w:sz w:val="22"/>
          <w:szCs w:val="22"/>
        </w:rPr>
      </w:pPr>
    </w:p>
    <w:p w14:paraId="0034D1BF" w14:textId="6481C9C7" w:rsidR="00941FB0" w:rsidRPr="00381E50" w:rsidRDefault="00941FB0" w:rsidP="00941FB0">
      <w:pPr>
        <w:pStyle w:val="ListParagraph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</w:rPr>
      </w:pPr>
      <w:r w:rsidRPr="00381E50">
        <w:rPr>
          <w:rFonts w:ascii="Arial" w:hAnsi="Arial" w:cs="Arial"/>
          <w:b/>
          <w:bCs/>
          <w:sz w:val="22"/>
          <w:szCs w:val="22"/>
        </w:rPr>
        <w:t>Membership</w:t>
      </w:r>
    </w:p>
    <w:p w14:paraId="79D5675D" w14:textId="77777777" w:rsidR="00941FB0" w:rsidRDefault="00941FB0" w:rsidP="00941FB0">
      <w:pPr>
        <w:rPr>
          <w:rFonts w:ascii="Arial" w:hAnsi="Arial" w:cs="Arial"/>
          <w:sz w:val="22"/>
          <w:szCs w:val="22"/>
        </w:rPr>
      </w:pPr>
    </w:p>
    <w:p w14:paraId="7AAB09C9" w14:textId="6AA8410B" w:rsidR="00941FB0" w:rsidRDefault="00941FB0" w:rsidP="00C056A8">
      <w:pPr>
        <w:pStyle w:val="ListParagraph"/>
        <w:numPr>
          <w:ilvl w:val="0"/>
          <w:numId w:val="6"/>
        </w:numPr>
        <w:rPr>
          <w:rFonts w:ascii="Arial" w:hAnsi="Arial" w:cs="Arial"/>
          <w:sz w:val="22"/>
          <w:szCs w:val="22"/>
        </w:rPr>
      </w:pPr>
      <w:r w:rsidRPr="00C056A8">
        <w:rPr>
          <w:rFonts w:ascii="Arial" w:hAnsi="Arial" w:cs="Arial"/>
          <w:sz w:val="22"/>
          <w:szCs w:val="22"/>
        </w:rPr>
        <w:t xml:space="preserve">Membership of the Centre is open to any research-active member </w:t>
      </w:r>
      <w:r w:rsidR="00381E50" w:rsidRPr="00C056A8">
        <w:rPr>
          <w:rFonts w:ascii="Arial" w:hAnsi="Arial" w:cs="Arial"/>
          <w:sz w:val="22"/>
          <w:szCs w:val="22"/>
        </w:rPr>
        <w:t>of the Law School</w:t>
      </w:r>
      <w:r w:rsidR="000538B5" w:rsidRPr="00C056A8">
        <w:rPr>
          <w:rFonts w:ascii="Arial" w:hAnsi="Arial" w:cs="Arial"/>
          <w:sz w:val="22"/>
          <w:szCs w:val="22"/>
        </w:rPr>
        <w:t>, including staff and PGR students,</w:t>
      </w:r>
      <w:r w:rsidR="00381E50" w:rsidRPr="00C056A8">
        <w:rPr>
          <w:rFonts w:ascii="Arial" w:hAnsi="Arial" w:cs="Arial"/>
          <w:sz w:val="22"/>
          <w:szCs w:val="22"/>
        </w:rPr>
        <w:t xml:space="preserve"> </w:t>
      </w:r>
      <w:r w:rsidR="000538B5" w:rsidRPr="00C056A8">
        <w:rPr>
          <w:rFonts w:ascii="Arial" w:hAnsi="Arial" w:cs="Arial"/>
          <w:sz w:val="22"/>
          <w:szCs w:val="22"/>
        </w:rPr>
        <w:t>working in the area of constitutional law in context.</w:t>
      </w:r>
    </w:p>
    <w:p w14:paraId="3037C14A" w14:textId="77777777" w:rsidR="00F74EBF" w:rsidRDefault="00F74EBF" w:rsidP="00F74EBF">
      <w:pPr>
        <w:rPr>
          <w:rFonts w:ascii="Arial" w:hAnsi="Arial" w:cs="Arial"/>
          <w:sz w:val="22"/>
          <w:szCs w:val="22"/>
        </w:rPr>
      </w:pPr>
    </w:p>
    <w:p w14:paraId="439030E7" w14:textId="77777777" w:rsidR="00262131" w:rsidRDefault="00262131" w:rsidP="00F74EBF">
      <w:pPr>
        <w:rPr>
          <w:rFonts w:ascii="Arial" w:hAnsi="Arial" w:cs="Arial"/>
          <w:sz w:val="22"/>
          <w:szCs w:val="22"/>
        </w:rPr>
      </w:pPr>
    </w:p>
    <w:p w14:paraId="470B5046" w14:textId="17AD3AC4" w:rsidR="00F74EBF" w:rsidRPr="00F74EBF" w:rsidRDefault="00F74EBF" w:rsidP="00F74EBF">
      <w:pPr>
        <w:pStyle w:val="ListParagraph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</w:rPr>
      </w:pPr>
      <w:r w:rsidRPr="00F74EBF">
        <w:rPr>
          <w:rFonts w:ascii="Arial" w:hAnsi="Arial" w:cs="Arial"/>
          <w:b/>
          <w:bCs/>
          <w:sz w:val="22"/>
          <w:szCs w:val="22"/>
        </w:rPr>
        <w:t>Affiliation</w:t>
      </w:r>
    </w:p>
    <w:p w14:paraId="220C9F10" w14:textId="77777777" w:rsidR="00500623" w:rsidRPr="00500623" w:rsidRDefault="00500623" w:rsidP="00500623">
      <w:pPr>
        <w:rPr>
          <w:rFonts w:ascii="Arial" w:hAnsi="Arial" w:cs="Arial"/>
          <w:sz w:val="22"/>
          <w:szCs w:val="22"/>
        </w:rPr>
      </w:pPr>
    </w:p>
    <w:p w14:paraId="356BFA74" w14:textId="26BFA46A" w:rsidR="00500623" w:rsidRPr="00F74EBF" w:rsidRDefault="000111C0" w:rsidP="00F74EBF">
      <w:pPr>
        <w:pStyle w:val="ListParagraph"/>
        <w:numPr>
          <w:ilvl w:val="0"/>
          <w:numId w:val="8"/>
        </w:numPr>
        <w:rPr>
          <w:rFonts w:ascii="Arial" w:hAnsi="Arial" w:cs="Arial"/>
          <w:sz w:val="22"/>
          <w:szCs w:val="22"/>
        </w:rPr>
      </w:pPr>
      <w:r w:rsidRPr="00F74EBF">
        <w:rPr>
          <w:rFonts w:ascii="Arial" w:hAnsi="Arial" w:cs="Arial"/>
          <w:sz w:val="22"/>
          <w:szCs w:val="22"/>
        </w:rPr>
        <w:t xml:space="preserve">Research-active members of staff </w:t>
      </w:r>
      <w:r w:rsidR="00657C89">
        <w:rPr>
          <w:rFonts w:ascii="Arial" w:hAnsi="Arial" w:cs="Arial"/>
          <w:sz w:val="22"/>
          <w:szCs w:val="22"/>
        </w:rPr>
        <w:t xml:space="preserve">and PGR students </w:t>
      </w:r>
      <w:r w:rsidRPr="00F74EBF">
        <w:rPr>
          <w:rFonts w:ascii="Arial" w:hAnsi="Arial" w:cs="Arial"/>
          <w:sz w:val="22"/>
          <w:szCs w:val="22"/>
        </w:rPr>
        <w:t xml:space="preserve">from elsewhere in the University of Warwick </w:t>
      </w:r>
      <w:r w:rsidR="008B64D5" w:rsidRPr="00F74EBF">
        <w:rPr>
          <w:rFonts w:ascii="Arial" w:hAnsi="Arial" w:cs="Arial"/>
          <w:sz w:val="22"/>
          <w:szCs w:val="22"/>
        </w:rPr>
        <w:t xml:space="preserve">who have an interest </w:t>
      </w:r>
      <w:r w:rsidR="00374EA9" w:rsidRPr="00F74EBF">
        <w:rPr>
          <w:rFonts w:ascii="Arial" w:hAnsi="Arial" w:cs="Arial"/>
          <w:sz w:val="22"/>
          <w:szCs w:val="22"/>
        </w:rPr>
        <w:t xml:space="preserve">in the Centre’s activities </w:t>
      </w:r>
      <w:r w:rsidRPr="00F74EBF">
        <w:rPr>
          <w:rFonts w:ascii="Arial" w:hAnsi="Arial" w:cs="Arial"/>
          <w:sz w:val="22"/>
          <w:szCs w:val="22"/>
        </w:rPr>
        <w:t xml:space="preserve">may </w:t>
      </w:r>
      <w:r w:rsidR="00B016B4" w:rsidRPr="00F74EBF">
        <w:rPr>
          <w:rFonts w:ascii="Arial" w:hAnsi="Arial" w:cs="Arial"/>
          <w:sz w:val="22"/>
          <w:szCs w:val="22"/>
        </w:rPr>
        <w:t>be</w:t>
      </w:r>
      <w:r w:rsidR="00374EA9" w:rsidRPr="00F74EBF">
        <w:rPr>
          <w:rFonts w:ascii="Arial" w:hAnsi="Arial" w:cs="Arial"/>
          <w:sz w:val="22"/>
          <w:szCs w:val="22"/>
        </w:rPr>
        <w:t xml:space="preserve"> </w:t>
      </w:r>
      <w:r w:rsidR="00B016B4" w:rsidRPr="00F74EBF">
        <w:rPr>
          <w:rFonts w:ascii="Arial" w:hAnsi="Arial" w:cs="Arial"/>
          <w:sz w:val="22"/>
          <w:szCs w:val="22"/>
        </w:rPr>
        <w:t>affiliated with the Centre.</w:t>
      </w:r>
    </w:p>
    <w:p w14:paraId="2D8DAD5A" w14:textId="77777777" w:rsidR="00941FB0" w:rsidRDefault="00941FB0" w:rsidP="00941FB0">
      <w:pPr>
        <w:rPr>
          <w:rFonts w:ascii="Arial" w:hAnsi="Arial" w:cs="Arial"/>
          <w:sz w:val="22"/>
          <w:szCs w:val="22"/>
        </w:rPr>
      </w:pPr>
    </w:p>
    <w:p w14:paraId="1C29FB1B" w14:textId="77777777" w:rsidR="000538B5" w:rsidRDefault="000538B5" w:rsidP="00941FB0">
      <w:pPr>
        <w:rPr>
          <w:rFonts w:ascii="Arial" w:hAnsi="Arial" w:cs="Arial"/>
          <w:sz w:val="22"/>
          <w:szCs w:val="22"/>
        </w:rPr>
      </w:pPr>
    </w:p>
    <w:p w14:paraId="056940F7" w14:textId="48C2A88C" w:rsidR="000538B5" w:rsidRPr="00262131" w:rsidRDefault="00E46D8F" w:rsidP="00262131">
      <w:pPr>
        <w:pStyle w:val="ListParagraph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The </w:t>
      </w:r>
      <w:r w:rsidR="000538B5" w:rsidRPr="00262131">
        <w:rPr>
          <w:rFonts w:ascii="Arial" w:hAnsi="Arial" w:cs="Arial"/>
          <w:b/>
          <w:bCs/>
          <w:sz w:val="22"/>
          <w:szCs w:val="22"/>
        </w:rPr>
        <w:t>Director of the Centre</w:t>
      </w:r>
    </w:p>
    <w:p w14:paraId="31EDFFF9" w14:textId="77777777" w:rsidR="000538B5" w:rsidRDefault="000538B5" w:rsidP="000538B5">
      <w:pPr>
        <w:rPr>
          <w:rFonts w:ascii="Arial" w:hAnsi="Arial" w:cs="Arial"/>
          <w:sz w:val="22"/>
          <w:szCs w:val="22"/>
        </w:rPr>
      </w:pPr>
    </w:p>
    <w:p w14:paraId="66659563" w14:textId="23F0D2BA" w:rsidR="00C056A8" w:rsidRDefault="000538B5" w:rsidP="000538B5">
      <w:pPr>
        <w:pStyle w:val="ListParagraph"/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 Director</w:t>
      </w:r>
      <w:r w:rsidR="00C056A8">
        <w:rPr>
          <w:rFonts w:ascii="Arial" w:hAnsi="Arial" w:cs="Arial"/>
          <w:sz w:val="22"/>
          <w:szCs w:val="22"/>
        </w:rPr>
        <w:t xml:space="preserve">(s) </w:t>
      </w:r>
      <w:r>
        <w:rPr>
          <w:rFonts w:ascii="Arial" w:hAnsi="Arial" w:cs="Arial"/>
          <w:sz w:val="22"/>
          <w:szCs w:val="22"/>
        </w:rPr>
        <w:t xml:space="preserve">of the Centre shall be appointed by the </w:t>
      </w:r>
      <w:r w:rsidR="00C056A8">
        <w:rPr>
          <w:rFonts w:ascii="Arial" w:hAnsi="Arial" w:cs="Arial"/>
          <w:sz w:val="22"/>
          <w:szCs w:val="22"/>
        </w:rPr>
        <w:t>Head of the Law School.</w:t>
      </w:r>
    </w:p>
    <w:p w14:paraId="18E72BB3" w14:textId="77777777" w:rsidR="000538B5" w:rsidRPr="00381E50" w:rsidRDefault="000538B5" w:rsidP="000538B5">
      <w:pPr>
        <w:rPr>
          <w:rFonts w:ascii="Arial" w:hAnsi="Arial" w:cs="Arial"/>
          <w:sz w:val="22"/>
          <w:szCs w:val="22"/>
        </w:rPr>
      </w:pPr>
    </w:p>
    <w:p w14:paraId="77841F5B" w14:textId="10F4CF67" w:rsidR="000538B5" w:rsidRDefault="000538B5" w:rsidP="000538B5">
      <w:pPr>
        <w:pStyle w:val="ListParagraph"/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 Director</w:t>
      </w:r>
      <w:r w:rsidR="00C056A8">
        <w:rPr>
          <w:rFonts w:ascii="Arial" w:hAnsi="Arial" w:cs="Arial"/>
          <w:sz w:val="22"/>
          <w:szCs w:val="22"/>
        </w:rPr>
        <w:t>(s)</w:t>
      </w:r>
      <w:r>
        <w:rPr>
          <w:rFonts w:ascii="Arial" w:hAnsi="Arial" w:cs="Arial"/>
          <w:sz w:val="22"/>
          <w:szCs w:val="22"/>
        </w:rPr>
        <w:t xml:space="preserve"> shall be appointed for a term of normally three years, the appointment being renewable.</w:t>
      </w:r>
    </w:p>
    <w:p w14:paraId="22B3E224" w14:textId="77777777" w:rsidR="000538B5" w:rsidRPr="00C056A8" w:rsidRDefault="000538B5" w:rsidP="00C056A8">
      <w:pPr>
        <w:ind w:left="360"/>
        <w:rPr>
          <w:rFonts w:ascii="Arial" w:hAnsi="Arial" w:cs="Arial"/>
          <w:sz w:val="22"/>
          <w:szCs w:val="22"/>
        </w:rPr>
      </w:pPr>
    </w:p>
    <w:p w14:paraId="22DED4C8" w14:textId="7923C7B0" w:rsidR="00DE1930" w:rsidRPr="00232DCA" w:rsidRDefault="000538B5" w:rsidP="00232DCA">
      <w:pPr>
        <w:pStyle w:val="ListParagraph"/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 Director</w:t>
      </w:r>
      <w:r w:rsidR="00C056A8">
        <w:rPr>
          <w:rFonts w:ascii="Arial" w:hAnsi="Arial" w:cs="Arial"/>
          <w:sz w:val="22"/>
          <w:szCs w:val="22"/>
        </w:rPr>
        <w:t>(s)</w:t>
      </w:r>
      <w:r>
        <w:rPr>
          <w:rFonts w:ascii="Arial" w:hAnsi="Arial" w:cs="Arial"/>
          <w:sz w:val="22"/>
          <w:szCs w:val="22"/>
        </w:rPr>
        <w:t xml:space="preserve"> shall consult with the Director of Research and the Head of the Law School over the Centre’s strategy and shall be responsible for its implementation.</w:t>
      </w:r>
    </w:p>
    <w:p w14:paraId="4FF00E7E" w14:textId="77777777" w:rsidR="000538B5" w:rsidRPr="00C056A8" w:rsidRDefault="000538B5" w:rsidP="00C056A8">
      <w:pPr>
        <w:rPr>
          <w:rFonts w:ascii="Arial" w:hAnsi="Arial" w:cs="Arial"/>
          <w:sz w:val="22"/>
          <w:szCs w:val="22"/>
        </w:rPr>
      </w:pPr>
    </w:p>
    <w:p w14:paraId="2707DCC4" w14:textId="77777777" w:rsidR="00381E50" w:rsidRPr="00941FB0" w:rsidRDefault="00381E50" w:rsidP="00941FB0">
      <w:pPr>
        <w:rPr>
          <w:rFonts w:ascii="Arial" w:hAnsi="Arial" w:cs="Arial"/>
          <w:sz w:val="22"/>
          <w:szCs w:val="22"/>
        </w:rPr>
      </w:pPr>
    </w:p>
    <w:p w14:paraId="029F88EE" w14:textId="4A3CC366" w:rsidR="00941FB0" w:rsidRPr="00381E50" w:rsidRDefault="00941FB0" w:rsidP="00232DCA">
      <w:pPr>
        <w:pStyle w:val="ListParagraph"/>
        <w:keepNext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</w:rPr>
      </w:pPr>
      <w:r w:rsidRPr="00381E50">
        <w:rPr>
          <w:rFonts w:ascii="Arial" w:hAnsi="Arial" w:cs="Arial"/>
          <w:b/>
          <w:bCs/>
          <w:sz w:val="22"/>
          <w:szCs w:val="22"/>
        </w:rPr>
        <w:lastRenderedPageBreak/>
        <w:t>Funding</w:t>
      </w:r>
    </w:p>
    <w:p w14:paraId="538A1324" w14:textId="77777777" w:rsidR="00381E50" w:rsidRDefault="00381E50" w:rsidP="00232DCA">
      <w:pPr>
        <w:keepNext/>
        <w:rPr>
          <w:rFonts w:ascii="Arial" w:hAnsi="Arial" w:cs="Arial"/>
          <w:sz w:val="22"/>
          <w:szCs w:val="22"/>
        </w:rPr>
      </w:pPr>
    </w:p>
    <w:p w14:paraId="7E620CA0" w14:textId="1955D6D2" w:rsidR="00381E50" w:rsidRDefault="00381E50" w:rsidP="00381E50">
      <w:pPr>
        <w:pStyle w:val="ListParagraph"/>
        <w:numPr>
          <w:ilvl w:val="0"/>
          <w:numId w:val="4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 funding of the Centre will be provided through funds defrayed from the Law School’s Legal Research Institute’s annual research budget.</w:t>
      </w:r>
    </w:p>
    <w:p w14:paraId="788478A5" w14:textId="77777777" w:rsidR="00381E50" w:rsidRPr="00381E50" w:rsidRDefault="00381E50" w:rsidP="00381E50">
      <w:pPr>
        <w:rPr>
          <w:rFonts w:ascii="Arial" w:hAnsi="Arial" w:cs="Arial"/>
          <w:sz w:val="22"/>
          <w:szCs w:val="22"/>
        </w:rPr>
      </w:pPr>
    </w:p>
    <w:p w14:paraId="4BC70A7E" w14:textId="77777777" w:rsidR="00941FB0" w:rsidRPr="00941FB0" w:rsidRDefault="00941FB0" w:rsidP="00941FB0">
      <w:pPr>
        <w:pStyle w:val="ListParagraph"/>
        <w:rPr>
          <w:rFonts w:ascii="Arial" w:hAnsi="Arial" w:cs="Arial"/>
          <w:sz w:val="22"/>
          <w:szCs w:val="22"/>
        </w:rPr>
      </w:pPr>
    </w:p>
    <w:p w14:paraId="2D9B9EAE" w14:textId="06DF238C" w:rsidR="00941FB0" w:rsidRPr="00C056A8" w:rsidRDefault="00C056A8" w:rsidP="00262131">
      <w:pPr>
        <w:pStyle w:val="ListParagraph"/>
        <w:keepNext/>
        <w:numPr>
          <w:ilvl w:val="0"/>
          <w:numId w:val="1"/>
        </w:numPr>
        <w:ind w:left="357" w:hanging="357"/>
        <w:rPr>
          <w:rFonts w:ascii="Arial" w:hAnsi="Arial" w:cs="Arial"/>
          <w:b/>
          <w:bCs/>
          <w:sz w:val="22"/>
          <w:szCs w:val="22"/>
        </w:rPr>
      </w:pPr>
      <w:r w:rsidRPr="00C056A8">
        <w:rPr>
          <w:rFonts w:ascii="Arial" w:hAnsi="Arial" w:cs="Arial"/>
          <w:b/>
          <w:bCs/>
          <w:sz w:val="22"/>
          <w:szCs w:val="22"/>
        </w:rPr>
        <w:t>Advisory Board</w:t>
      </w:r>
    </w:p>
    <w:p w14:paraId="33591B41" w14:textId="77777777" w:rsidR="00C056A8" w:rsidRDefault="00C056A8" w:rsidP="00C056A8">
      <w:pPr>
        <w:keepNext/>
        <w:rPr>
          <w:rFonts w:ascii="Arial" w:hAnsi="Arial" w:cs="Arial"/>
          <w:sz w:val="22"/>
          <w:szCs w:val="22"/>
        </w:rPr>
      </w:pPr>
    </w:p>
    <w:p w14:paraId="64BF5821" w14:textId="3F033F63" w:rsidR="00C056A8" w:rsidRDefault="00C056A8" w:rsidP="00C056A8">
      <w:pPr>
        <w:pStyle w:val="ListParagraph"/>
        <w:numPr>
          <w:ilvl w:val="0"/>
          <w:numId w:val="7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 advisory board will be constituted of UK and International scholars</w:t>
      </w:r>
      <w:r w:rsidR="00026F78">
        <w:rPr>
          <w:rFonts w:ascii="Arial" w:hAnsi="Arial" w:cs="Arial"/>
          <w:sz w:val="22"/>
          <w:szCs w:val="22"/>
        </w:rPr>
        <w:t xml:space="preserve"> and practitioners</w:t>
      </w:r>
      <w:r>
        <w:rPr>
          <w:rFonts w:ascii="Arial" w:hAnsi="Arial" w:cs="Arial"/>
          <w:sz w:val="22"/>
          <w:szCs w:val="22"/>
        </w:rPr>
        <w:t>. The advisory board will advise the Director(s) on the Centre’s potential activities.</w:t>
      </w:r>
    </w:p>
    <w:p w14:paraId="5C662CBE" w14:textId="77777777" w:rsidR="00C056A8" w:rsidRPr="00C056A8" w:rsidRDefault="00C056A8" w:rsidP="00C056A8">
      <w:pPr>
        <w:rPr>
          <w:rFonts w:ascii="Arial" w:hAnsi="Arial" w:cs="Arial"/>
          <w:sz w:val="22"/>
          <w:szCs w:val="22"/>
        </w:rPr>
      </w:pPr>
    </w:p>
    <w:p w14:paraId="25B1DBD3" w14:textId="72D2B5BF" w:rsidR="00C056A8" w:rsidRPr="00C056A8" w:rsidRDefault="00C056A8" w:rsidP="00C056A8">
      <w:pPr>
        <w:pStyle w:val="ListParagraph"/>
        <w:numPr>
          <w:ilvl w:val="0"/>
          <w:numId w:val="7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Members of the advisory board will be appointed by the Director(s). They will serve for a renewable term of </w:t>
      </w:r>
      <w:r w:rsidR="00FD6395">
        <w:rPr>
          <w:rFonts w:ascii="Arial" w:hAnsi="Arial" w:cs="Arial"/>
          <w:sz w:val="22"/>
          <w:szCs w:val="22"/>
        </w:rPr>
        <w:t>three</w:t>
      </w:r>
      <w:r>
        <w:rPr>
          <w:rFonts w:ascii="Arial" w:hAnsi="Arial" w:cs="Arial"/>
          <w:sz w:val="22"/>
          <w:szCs w:val="22"/>
        </w:rPr>
        <w:t xml:space="preserve"> years.</w:t>
      </w:r>
    </w:p>
    <w:p w14:paraId="106D0F8A" w14:textId="77777777" w:rsidR="00381E50" w:rsidRDefault="00381E50" w:rsidP="00381E50">
      <w:pPr>
        <w:rPr>
          <w:rFonts w:ascii="Arial" w:hAnsi="Arial" w:cs="Arial"/>
          <w:sz w:val="22"/>
          <w:szCs w:val="22"/>
        </w:rPr>
      </w:pPr>
    </w:p>
    <w:p w14:paraId="4F73C998" w14:textId="77777777" w:rsidR="00381E50" w:rsidRPr="00381E50" w:rsidRDefault="00381E50" w:rsidP="00381E50">
      <w:pPr>
        <w:rPr>
          <w:rFonts w:ascii="Arial" w:hAnsi="Arial" w:cs="Arial"/>
          <w:sz w:val="22"/>
          <w:szCs w:val="22"/>
        </w:rPr>
      </w:pPr>
    </w:p>
    <w:sectPr w:rsidR="00381E50" w:rsidRPr="00381E5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3B3250"/>
    <w:multiLevelType w:val="hybridMultilevel"/>
    <w:tmpl w:val="20DE4470"/>
    <w:lvl w:ilvl="0" w:tplc="05C0FB6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407C1C"/>
    <w:multiLevelType w:val="hybridMultilevel"/>
    <w:tmpl w:val="4DF894E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1464D99"/>
    <w:multiLevelType w:val="hybridMultilevel"/>
    <w:tmpl w:val="78CA48EE"/>
    <w:lvl w:ilvl="0" w:tplc="1982ED8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F403A0"/>
    <w:multiLevelType w:val="hybridMultilevel"/>
    <w:tmpl w:val="ABC2AECE"/>
    <w:lvl w:ilvl="0" w:tplc="405EA1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372AE1"/>
    <w:multiLevelType w:val="hybridMultilevel"/>
    <w:tmpl w:val="576A154A"/>
    <w:lvl w:ilvl="0" w:tplc="00028ED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A8550F"/>
    <w:multiLevelType w:val="hybridMultilevel"/>
    <w:tmpl w:val="AF421266"/>
    <w:lvl w:ilvl="0" w:tplc="ECA2B93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BD4B67"/>
    <w:multiLevelType w:val="hybridMultilevel"/>
    <w:tmpl w:val="7EDC5256"/>
    <w:lvl w:ilvl="0" w:tplc="F5C0815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0E72B0"/>
    <w:multiLevelType w:val="hybridMultilevel"/>
    <w:tmpl w:val="0B341ED8"/>
    <w:lvl w:ilvl="0" w:tplc="8B04A65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6CA6BDE"/>
    <w:multiLevelType w:val="hybridMultilevel"/>
    <w:tmpl w:val="00306D32"/>
    <w:lvl w:ilvl="0" w:tplc="74EE6F7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803550E"/>
    <w:multiLevelType w:val="hybridMultilevel"/>
    <w:tmpl w:val="22F0D2A8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875853619">
    <w:abstractNumId w:val="1"/>
  </w:num>
  <w:num w:numId="2" w16cid:durableId="1250042614">
    <w:abstractNumId w:val="5"/>
  </w:num>
  <w:num w:numId="3" w16cid:durableId="36853018">
    <w:abstractNumId w:val="2"/>
  </w:num>
  <w:num w:numId="4" w16cid:durableId="789981517">
    <w:abstractNumId w:val="3"/>
  </w:num>
  <w:num w:numId="5" w16cid:durableId="1394355579">
    <w:abstractNumId w:val="4"/>
  </w:num>
  <w:num w:numId="6" w16cid:durableId="1389765165">
    <w:abstractNumId w:val="7"/>
  </w:num>
  <w:num w:numId="7" w16cid:durableId="370225262">
    <w:abstractNumId w:val="8"/>
  </w:num>
  <w:num w:numId="8" w16cid:durableId="846753415">
    <w:abstractNumId w:val="0"/>
  </w:num>
  <w:num w:numId="9" w16cid:durableId="2032341626">
    <w:abstractNumId w:val="6"/>
  </w:num>
  <w:num w:numId="10" w16cid:durableId="206991014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1FB0"/>
    <w:rsid w:val="000111C0"/>
    <w:rsid w:val="00026F78"/>
    <w:rsid w:val="000538B5"/>
    <w:rsid w:val="00136976"/>
    <w:rsid w:val="001625E6"/>
    <w:rsid w:val="00232DCA"/>
    <w:rsid w:val="00262131"/>
    <w:rsid w:val="002A6A2B"/>
    <w:rsid w:val="00374EA9"/>
    <w:rsid w:val="00381E50"/>
    <w:rsid w:val="00500623"/>
    <w:rsid w:val="00581CFB"/>
    <w:rsid w:val="005D31C6"/>
    <w:rsid w:val="00627A9B"/>
    <w:rsid w:val="006301BA"/>
    <w:rsid w:val="00657C89"/>
    <w:rsid w:val="00712E42"/>
    <w:rsid w:val="007B3DB6"/>
    <w:rsid w:val="008B64D5"/>
    <w:rsid w:val="008D11E0"/>
    <w:rsid w:val="00911780"/>
    <w:rsid w:val="00920A1D"/>
    <w:rsid w:val="00941FB0"/>
    <w:rsid w:val="00B016B4"/>
    <w:rsid w:val="00BC7B20"/>
    <w:rsid w:val="00C056A8"/>
    <w:rsid w:val="00D7563D"/>
    <w:rsid w:val="00DE1930"/>
    <w:rsid w:val="00E46D8F"/>
    <w:rsid w:val="00E82AA4"/>
    <w:rsid w:val="00F74EBF"/>
    <w:rsid w:val="00FD6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1FD361A"/>
  <w15:chartTrackingRefBased/>
  <w15:docId w15:val="{5021B7B3-661D-2048-837D-F59C256F83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41F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41F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41FB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41F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41FB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41FB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41FB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41FB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41FB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basedOn w:val="DefaultParagraphFont"/>
    <w:uiPriority w:val="99"/>
    <w:semiHidden/>
    <w:unhideWhenUsed/>
    <w:qFormat/>
    <w:rsid w:val="001625E6"/>
    <w:rPr>
      <w:rFonts w:ascii="Garamond" w:hAnsi="Garamond"/>
      <w:vertAlign w:val="superscript"/>
    </w:rPr>
  </w:style>
  <w:style w:type="paragraph" w:styleId="FootnoteText">
    <w:name w:val="footnote text"/>
    <w:basedOn w:val="Normal"/>
    <w:link w:val="FootnoteTextChar"/>
    <w:autoRedefine/>
    <w:uiPriority w:val="99"/>
    <w:semiHidden/>
    <w:unhideWhenUsed/>
    <w:qFormat/>
    <w:rsid w:val="001625E6"/>
    <w:rPr>
      <w:rFonts w:ascii="Garamond" w:hAnsi="Garamond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625E6"/>
    <w:rPr>
      <w:rFonts w:ascii="Garamond" w:hAnsi="Garamond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941FB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41FB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41FB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41FB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41FB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41FB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41FB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41FB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41FB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41FB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41F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1FB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41F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41FB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41FB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41FB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41FB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41FB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41FB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41FB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2</Pages>
  <Words>357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Vitale, David</dc:creator>
  <cp:keywords/>
  <dc:description/>
  <cp:lastModifiedBy>Vitale, David</cp:lastModifiedBy>
  <cp:revision>24</cp:revision>
  <dcterms:created xsi:type="dcterms:W3CDTF">2024-10-05T08:17:00Z</dcterms:created>
  <dcterms:modified xsi:type="dcterms:W3CDTF">2024-10-24T07:57:00Z</dcterms:modified>
</cp:coreProperties>
</file>