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C044" w14:textId="21E164F1" w:rsidR="00F27F43" w:rsidRDefault="00F27F43" w:rsidP="00F27F43">
      <w:pPr>
        <w:spacing w:before="330" w:after="165" w:line="240" w:lineRule="auto"/>
        <w:contextualSpacing/>
        <w:jc w:val="center"/>
        <w:outlineLvl w:val="1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Constitution</w:t>
      </w:r>
      <w:bookmarkStart w:id="0" w:name="_GoBack"/>
      <w:bookmarkEnd w:id="0"/>
    </w:p>
    <w:p w14:paraId="5EEA30FA" w14:textId="09C819FE" w:rsidR="00E64CA7" w:rsidRDefault="00E64CA7" w:rsidP="00F27F43">
      <w:pPr>
        <w:spacing w:before="330" w:after="165" w:line="240" w:lineRule="auto"/>
        <w:contextualSpacing/>
        <w:jc w:val="center"/>
        <w:outlineLvl w:val="1"/>
        <w:rPr>
          <w:rFonts w:cs="Arial"/>
          <w:b/>
          <w:lang w:eastAsia="en-GB"/>
        </w:rPr>
      </w:pPr>
    </w:p>
    <w:p w14:paraId="5C99E08A" w14:textId="5217F2E7" w:rsidR="00E64CA7" w:rsidRPr="00585033" w:rsidRDefault="00E64CA7" w:rsidP="00F27F43">
      <w:pPr>
        <w:spacing w:before="330" w:after="165" w:line="240" w:lineRule="auto"/>
        <w:contextualSpacing/>
        <w:jc w:val="center"/>
        <w:outlineLvl w:val="1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Centre in Post-Kantian European Philosophy</w:t>
      </w:r>
    </w:p>
    <w:p w14:paraId="10FEA96D" w14:textId="77777777" w:rsidR="00F27F43" w:rsidRDefault="00F27F43" w:rsidP="00F27F43">
      <w:pPr>
        <w:spacing w:after="165" w:line="240" w:lineRule="auto"/>
        <w:contextualSpacing/>
        <w:rPr>
          <w:rFonts w:cs="Arial"/>
          <w:lang w:eastAsia="en-GB"/>
        </w:rPr>
      </w:pPr>
    </w:p>
    <w:p w14:paraId="388C5F57" w14:textId="77777777" w:rsidR="00F27F43" w:rsidRPr="00585033" w:rsidRDefault="00F27F43" w:rsidP="00F27F43">
      <w:pPr>
        <w:spacing w:after="165" w:line="240" w:lineRule="auto"/>
        <w:contextualSpacing/>
        <w:rPr>
          <w:rFonts w:cs="Arial"/>
          <w:lang w:eastAsia="en-GB"/>
        </w:rPr>
      </w:pPr>
    </w:p>
    <w:p w14:paraId="7C324EB0" w14:textId="77777777" w:rsidR="00F27F43" w:rsidRDefault="00F27F43" w:rsidP="00F27F43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  <w:r w:rsidRPr="00585033">
        <w:rPr>
          <w:rFonts w:cs="Arial"/>
          <w:b/>
          <w:lang w:eastAsia="en-GB"/>
        </w:rPr>
        <w:t>Aims and activities</w:t>
      </w:r>
    </w:p>
    <w:p w14:paraId="3101BE15" w14:textId="77777777" w:rsidR="00F27F43" w:rsidRPr="00585033" w:rsidRDefault="00F27F43" w:rsidP="00F27F43">
      <w:pPr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2AE6071E" w14:textId="77777777" w:rsidR="00F27F43" w:rsidRPr="0058503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The goal of the research centre </w:t>
      </w:r>
      <w:r w:rsidRPr="00585033">
        <w:rPr>
          <w:rFonts w:cs="Arial"/>
          <w:lang w:eastAsia="en-GB"/>
        </w:rPr>
        <w:t>is to encourage research in</w:t>
      </w:r>
      <w:r>
        <w:rPr>
          <w:rFonts w:cs="Arial"/>
          <w:lang w:eastAsia="en-GB"/>
        </w:rPr>
        <w:t xml:space="preserve"> post-Kantian European Philosophy</w:t>
      </w:r>
      <w:r w:rsidRPr="00585033">
        <w:rPr>
          <w:rFonts w:cs="Arial"/>
          <w:lang w:eastAsia="en-GB"/>
        </w:rPr>
        <w:t xml:space="preserve"> and to establish </w:t>
      </w:r>
      <w:r>
        <w:rPr>
          <w:rFonts w:cs="Arial"/>
          <w:lang w:eastAsia="en-GB"/>
        </w:rPr>
        <w:t xml:space="preserve">it </w:t>
      </w:r>
      <w:r w:rsidRPr="00585033">
        <w:rPr>
          <w:rFonts w:cs="Arial"/>
          <w:lang w:eastAsia="en-GB"/>
        </w:rPr>
        <w:t>as one of the</w:t>
      </w:r>
      <w:r>
        <w:rPr>
          <w:rFonts w:cs="Arial"/>
          <w:lang w:eastAsia="en-GB"/>
        </w:rPr>
        <w:t xml:space="preserve"> world’s top research centres</w:t>
      </w:r>
      <w:r w:rsidRPr="00585033">
        <w:rPr>
          <w:rFonts w:cs="Arial"/>
          <w:lang w:eastAsia="en-GB"/>
        </w:rPr>
        <w:t xml:space="preserve"> in the field</w:t>
      </w:r>
      <w:r>
        <w:rPr>
          <w:rFonts w:cs="Arial"/>
          <w:lang w:eastAsia="en-GB"/>
        </w:rPr>
        <w:t>, both nationally and internationally</w:t>
      </w:r>
      <w:r w:rsidRPr="00585033">
        <w:rPr>
          <w:rFonts w:cs="Arial"/>
          <w:lang w:eastAsia="en-GB"/>
        </w:rPr>
        <w:t xml:space="preserve">. </w:t>
      </w:r>
    </w:p>
    <w:p w14:paraId="55ABDB6B" w14:textId="77777777" w:rsidR="00F27F4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</w:p>
    <w:p w14:paraId="3D0D89B0" w14:textId="77777777" w:rsidR="00F27F4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  <w:r>
        <w:rPr>
          <w:rFonts w:cs="Arial"/>
          <w:lang w:eastAsia="en-GB"/>
        </w:rPr>
        <w:t>For this, the aims of PKEP research centre</w:t>
      </w:r>
      <w:r w:rsidRPr="00585033">
        <w:rPr>
          <w:rFonts w:cs="Arial"/>
          <w:lang w:eastAsia="en-GB"/>
        </w:rPr>
        <w:t xml:space="preserve"> shall be: </w:t>
      </w:r>
    </w:p>
    <w:p w14:paraId="4B67FB68" w14:textId="77777777" w:rsidR="00F27F43" w:rsidRPr="0058503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</w:p>
    <w:p w14:paraId="6F248FC8" w14:textId="77777777" w:rsidR="00F27F43" w:rsidRDefault="00F27F43" w:rsidP="00F27F43">
      <w:pPr>
        <w:numPr>
          <w:ilvl w:val="0"/>
          <w:numId w:val="11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 xml:space="preserve">To foster and co-ordinate collaborative research </w:t>
      </w:r>
      <w:r>
        <w:rPr>
          <w:rFonts w:cs="Arial"/>
          <w:lang w:eastAsia="en-GB"/>
        </w:rPr>
        <w:t xml:space="preserve">by </w:t>
      </w:r>
      <w:r w:rsidRPr="00585033">
        <w:rPr>
          <w:rFonts w:cs="Arial"/>
          <w:lang w:eastAsia="en-GB"/>
        </w:rPr>
        <w:t>b</w:t>
      </w:r>
      <w:r>
        <w:rPr>
          <w:rFonts w:cs="Arial"/>
          <w:lang w:eastAsia="en-GB"/>
        </w:rPr>
        <w:t xml:space="preserve">ringing together specialists in the Department of Philosophy who work in this field, </w:t>
      </w:r>
      <w:r w:rsidRPr="00585033">
        <w:rPr>
          <w:rFonts w:cs="Arial"/>
          <w:lang w:eastAsia="en-GB"/>
        </w:rPr>
        <w:t xml:space="preserve">as well as </w:t>
      </w:r>
      <w:r>
        <w:rPr>
          <w:rFonts w:cs="Arial"/>
          <w:lang w:eastAsia="en-GB"/>
        </w:rPr>
        <w:t>scholars of related disciplines;</w:t>
      </w:r>
    </w:p>
    <w:p w14:paraId="68ACE50A" w14:textId="77777777" w:rsidR="00F27F43" w:rsidRPr="00585033" w:rsidRDefault="00F27F43" w:rsidP="00F27F43">
      <w:pPr>
        <w:spacing w:before="100" w:beforeAutospacing="1" w:after="90" w:line="240" w:lineRule="auto"/>
        <w:ind w:left="720"/>
        <w:contextualSpacing/>
        <w:rPr>
          <w:rFonts w:cs="Arial"/>
          <w:lang w:eastAsia="en-GB"/>
        </w:rPr>
      </w:pPr>
    </w:p>
    <w:p w14:paraId="4BDB945D" w14:textId="77777777" w:rsidR="00F27F43" w:rsidRDefault="00F27F43" w:rsidP="00F27F43">
      <w:pPr>
        <w:numPr>
          <w:ilvl w:val="0"/>
          <w:numId w:val="11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To create new, and to strengthen existing links with other research centres with related interests</w:t>
      </w:r>
      <w:r>
        <w:rPr>
          <w:rFonts w:cs="Arial"/>
          <w:lang w:eastAsia="en-GB"/>
        </w:rPr>
        <w:t>;</w:t>
      </w:r>
    </w:p>
    <w:p w14:paraId="41D7848F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04053473" w14:textId="77777777" w:rsidR="00F27F43" w:rsidRDefault="00F27F43" w:rsidP="00F27F43">
      <w:pPr>
        <w:numPr>
          <w:ilvl w:val="0"/>
          <w:numId w:val="11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To attract funding for individual and collaborative research projects, both within the centre and in consortium with partner institutes</w:t>
      </w:r>
      <w:r>
        <w:rPr>
          <w:rFonts w:cs="Arial"/>
          <w:lang w:eastAsia="en-GB"/>
        </w:rPr>
        <w:t>;</w:t>
      </w:r>
    </w:p>
    <w:p w14:paraId="56B9D2BA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31D61731" w14:textId="77777777" w:rsidR="00F27F43" w:rsidRPr="00585033" w:rsidRDefault="00F27F43" w:rsidP="00F27F43">
      <w:pPr>
        <w:numPr>
          <w:ilvl w:val="0"/>
          <w:numId w:val="11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 xml:space="preserve">To foster the dissemination of research results through visits, seminars, </w:t>
      </w:r>
      <w:r>
        <w:rPr>
          <w:rFonts w:cs="Arial"/>
          <w:lang w:eastAsia="en-GB"/>
        </w:rPr>
        <w:t xml:space="preserve">workshops, </w:t>
      </w:r>
      <w:r w:rsidRPr="00585033">
        <w:rPr>
          <w:rFonts w:cs="Arial"/>
          <w:lang w:eastAsia="en-GB"/>
        </w:rPr>
        <w:t>conferences, and through the publication of a Discussion Paper series.</w:t>
      </w:r>
    </w:p>
    <w:p w14:paraId="7D4482AC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4855F273" w14:textId="77777777" w:rsidR="00F27F43" w:rsidRDefault="00F27F43" w:rsidP="00F27F43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  <w:r w:rsidRPr="00585033">
        <w:rPr>
          <w:rFonts w:cs="Arial"/>
          <w:b/>
          <w:lang w:eastAsia="en-GB"/>
        </w:rPr>
        <w:t>Membership</w:t>
      </w:r>
    </w:p>
    <w:p w14:paraId="24430A42" w14:textId="77777777" w:rsidR="00F27F43" w:rsidRPr="00585033" w:rsidRDefault="00F27F43" w:rsidP="00F27F43">
      <w:pPr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3AED4FB5" w14:textId="77777777" w:rsidR="00F27F43" w:rsidRDefault="00F27F43" w:rsidP="00F27F43">
      <w:pPr>
        <w:numPr>
          <w:ilvl w:val="0"/>
          <w:numId w:val="12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>
        <w:rPr>
          <w:rFonts w:cs="Arial"/>
          <w:lang w:eastAsia="en-GB"/>
        </w:rPr>
        <w:t>Members of PKEP</w:t>
      </w:r>
      <w:r w:rsidRPr="00585033">
        <w:rPr>
          <w:rFonts w:cs="Arial"/>
          <w:lang w:eastAsia="en-GB"/>
        </w:rPr>
        <w:t xml:space="preserve"> are appointed by the Executive Committee, and faculty of the Department of </w:t>
      </w:r>
      <w:r>
        <w:rPr>
          <w:rFonts w:cs="Arial"/>
          <w:lang w:eastAsia="en-GB"/>
        </w:rPr>
        <w:t xml:space="preserve">Philosophy </w:t>
      </w:r>
      <w:r w:rsidRPr="00585033">
        <w:rPr>
          <w:rFonts w:cs="Arial"/>
          <w:lang w:eastAsia="en-GB"/>
        </w:rPr>
        <w:t xml:space="preserve">or other Departments of the University of Warwick with </w:t>
      </w:r>
      <w:r>
        <w:rPr>
          <w:rFonts w:cs="Arial"/>
          <w:lang w:eastAsia="en-GB"/>
        </w:rPr>
        <w:t>research interests in the field.</w:t>
      </w:r>
    </w:p>
    <w:p w14:paraId="3D17A267" w14:textId="77777777" w:rsidR="00F27F43" w:rsidRPr="00585033" w:rsidRDefault="00F27F43" w:rsidP="00F27F43">
      <w:pPr>
        <w:spacing w:before="100" w:beforeAutospacing="1" w:after="90" w:line="240" w:lineRule="auto"/>
        <w:ind w:left="720"/>
        <w:contextualSpacing/>
        <w:rPr>
          <w:rFonts w:cs="Arial"/>
          <w:lang w:eastAsia="en-GB"/>
        </w:rPr>
      </w:pPr>
    </w:p>
    <w:p w14:paraId="4EBE267A" w14:textId="77777777" w:rsidR="00F27F43" w:rsidRDefault="00F27F43" w:rsidP="00F27F43">
      <w:pPr>
        <w:numPr>
          <w:ilvl w:val="0"/>
          <w:numId w:val="12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Permanent faculty of other academic institutions can be appointed as Associate Fellows by decision of the Executive Committee.</w:t>
      </w:r>
    </w:p>
    <w:p w14:paraId="6FD70716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2737BEFF" w14:textId="77777777" w:rsidR="00F27F43" w:rsidRPr="00585033" w:rsidRDefault="00F27F43" w:rsidP="00F27F43">
      <w:pPr>
        <w:numPr>
          <w:ilvl w:val="0"/>
          <w:numId w:val="12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Research students and post-doctoral fellows can be appointed as Research Fellows by decision of the Executive Committee.</w:t>
      </w:r>
    </w:p>
    <w:p w14:paraId="20A6F49C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4002D273" w14:textId="77777777" w:rsidR="00F27F43" w:rsidRDefault="00F27F43" w:rsidP="00F27F43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  <w:r w:rsidRPr="00585033">
        <w:rPr>
          <w:rFonts w:cs="Arial"/>
          <w:b/>
          <w:lang w:eastAsia="en-GB"/>
        </w:rPr>
        <w:t>Executive Committee</w:t>
      </w:r>
    </w:p>
    <w:p w14:paraId="47504E15" w14:textId="77777777" w:rsidR="00F27F43" w:rsidRPr="00585033" w:rsidRDefault="00F27F43" w:rsidP="00F27F43">
      <w:pPr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6ED06054" w14:textId="77777777" w:rsidR="00F27F4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  <w:r>
        <w:rPr>
          <w:rFonts w:cs="Arial"/>
          <w:lang w:eastAsia="en-GB"/>
        </w:rPr>
        <w:t>Everyday management of the research centre in PKEP</w:t>
      </w:r>
      <w:r w:rsidRPr="00585033">
        <w:rPr>
          <w:rFonts w:cs="Arial"/>
          <w:lang w:eastAsia="en-GB"/>
        </w:rPr>
        <w:t xml:space="preserve"> is responsibility of Executive Committee. In particular, the Executive Committee shall: </w:t>
      </w:r>
    </w:p>
    <w:p w14:paraId="4B0C7B83" w14:textId="77777777" w:rsidR="00F27F43" w:rsidRPr="0058503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</w:p>
    <w:p w14:paraId="38EB3A50" w14:textId="77777777" w:rsidR="00F27F43" w:rsidRDefault="00F27F43" w:rsidP="00F27F43">
      <w:pPr>
        <w:numPr>
          <w:ilvl w:val="0"/>
          <w:numId w:val="13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Coordinate funding initi</w:t>
      </w:r>
      <w:r>
        <w:rPr>
          <w:rFonts w:cs="Arial"/>
          <w:lang w:eastAsia="en-GB"/>
        </w:rPr>
        <w:t>atives to be undertaken by the centre</w:t>
      </w:r>
      <w:r w:rsidRPr="00585033">
        <w:rPr>
          <w:rFonts w:cs="Arial"/>
          <w:lang w:eastAsia="en-GB"/>
        </w:rPr>
        <w:t>;</w:t>
      </w:r>
    </w:p>
    <w:p w14:paraId="3328F438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452DC410" w14:textId="77777777" w:rsidR="00F27F43" w:rsidRDefault="00F27F43" w:rsidP="00F27F43">
      <w:pPr>
        <w:numPr>
          <w:ilvl w:val="0"/>
          <w:numId w:val="13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Review the progress of research projects undertaken by the centre;</w:t>
      </w:r>
    </w:p>
    <w:p w14:paraId="07C76ABD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08568EBC" w14:textId="77777777" w:rsidR="00F27F43" w:rsidRDefault="00F27F43" w:rsidP="00F27F43">
      <w:pPr>
        <w:numPr>
          <w:ilvl w:val="0"/>
          <w:numId w:val="13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 xml:space="preserve">Monitor the </w:t>
      </w:r>
      <w:r>
        <w:rPr>
          <w:rFonts w:cs="Arial"/>
          <w:lang w:eastAsia="en-GB"/>
        </w:rPr>
        <w:t>allocation of the funds of the centre</w:t>
      </w:r>
      <w:r w:rsidRPr="00585033">
        <w:rPr>
          <w:rFonts w:cs="Arial"/>
          <w:lang w:eastAsia="en-GB"/>
        </w:rPr>
        <w:t>.</w:t>
      </w:r>
    </w:p>
    <w:p w14:paraId="7BAE6D01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6D98ADBB" w14:textId="77777777" w:rsidR="00F27F43" w:rsidRPr="00585033" w:rsidRDefault="00F27F43" w:rsidP="00F27F43">
      <w:pPr>
        <w:spacing w:beforeAutospacing="1" w:after="0" w:line="240" w:lineRule="auto"/>
        <w:ind w:left="360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The Executive Comm</w:t>
      </w:r>
      <w:r>
        <w:rPr>
          <w:rFonts w:cs="Arial"/>
          <w:lang w:eastAsia="en-GB"/>
        </w:rPr>
        <w:t xml:space="preserve">ittee consists of the Director and </w:t>
      </w:r>
      <w:r w:rsidRPr="00585033">
        <w:rPr>
          <w:rFonts w:cs="Arial"/>
          <w:lang w:eastAsia="en-GB"/>
        </w:rPr>
        <w:t>a Deputy Director</w:t>
      </w:r>
      <w:r>
        <w:rPr>
          <w:rFonts w:cs="Arial"/>
          <w:lang w:eastAsia="en-GB"/>
        </w:rPr>
        <w:t xml:space="preserve">; members of the centre </w:t>
      </w:r>
      <w:r w:rsidRPr="00585033">
        <w:rPr>
          <w:rFonts w:cs="Arial"/>
          <w:lang w:eastAsia="en-GB"/>
        </w:rPr>
        <w:t>shall be invited to attend the meetings of the Executive Committee.</w:t>
      </w:r>
    </w:p>
    <w:p w14:paraId="154DCE34" w14:textId="77777777" w:rsidR="00F27F43" w:rsidRDefault="00F27F43" w:rsidP="00F27F43">
      <w:pPr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4D1F925A" w14:textId="77777777" w:rsidR="00F27F43" w:rsidRDefault="00F27F43" w:rsidP="00F27F43">
      <w:pPr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4F3E7357" w14:textId="77777777" w:rsidR="00F27F43" w:rsidRDefault="00F27F43" w:rsidP="00F27F43">
      <w:pPr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29DBB8FB" w14:textId="77777777" w:rsidR="00F27F43" w:rsidRDefault="00F27F43" w:rsidP="00F27F43">
      <w:pPr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64EC70B0" w14:textId="77777777" w:rsidR="00F27F43" w:rsidRDefault="00F27F43" w:rsidP="00F27F43">
      <w:pPr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</w:p>
    <w:p w14:paraId="5DABFAEF" w14:textId="77777777" w:rsidR="00F27F43" w:rsidRPr="00585033" w:rsidRDefault="00F27F43" w:rsidP="00F27F43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65" w:line="240" w:lineRule="auto"/>
        <w:ind w:left="360"/>
        <w:contextualSpacing/>
        <w:outlineLvl w:val="2"/>
        <w:rPr>
          <w:rFonts w:cs="Arial"/>
          <w:b/>
          <w:lang w:eastAsia="en-GB"/>
        </w:rPr>
      </w:pPr>
      <w:r w:rsidRPr="00585033">
        <w:rPr>
          <w:rFonts w:cs="Arial"/>
          <w:b/>
          <w:lang w:eastAsia="en-GB"/>
        </w:rPr>
        <w:t>Director and Deputy Director of the Centre</w:t>
      </w:r>
    </w:p>
    <w:p w14:paraId="29C68B5A" w14:textId="77777777" w:rsidR="00F27F43" w:rsidRPr="00585033" w:rsidRDefault="00F27F43" w:rsidP="00F27F43">
      <w:pPr>
        <w:spacing w:after="165" w:line="240" w:lineRule="auto"/>
        <w:ind w:left="360"/>
        <w:contextualSpacing/>
        <w:outlineLvl w:val="2"/>
        <w:rPr>
          <w:rFonts w:cs="Arial"/>
          <w:lang w:eastAsia="en-GB"/>
        </w:rPr>
      </w:pPr>
    </w:p>
    <w:p w14:paraId="40DCBE15" w14:textId="77777777" w:rsidR="00F27F43" w:rsidRDefault="00F27F43" w:rsidP="00F27F43">
      <w:pPr>
        <w:numPr>
          <w:ilvl w:val="0"/>
          <w:numId w:val="14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 xml:space="preserve">The Executive Committee is </w:t>
      </w:r>
      <w:r>
        <w:rPr>
          <w:rFonts w:cs="Arial"/>
          <w:lang w:eastAsia="en-GB"/>
        </w:rPr>
        <w:t>chaired by the Director of the centre</w:t>
      </w:r>
      <w:r w:rsidRPr="00585033">
        <w:rPr>
          <w:rFonts w:cs="Arial"/>
          <w:lang w:eastAsia="en-GB"/>
        </w:rPr>
        <w:t xml:space="preserve">, who is responsible for the planning, execution and coordination of the activities of the centre. The Director shall be the </w:t>
      </w:r>
      <w:r>
        <w:rPr>
          <w:rFonts w:cs="Arial"/>
          <w:lang w:eastAsia="en-GB"/>
        </w:rPr>
        <w:t>official representative of the centre</w:t>
      </w:r>
      <w:r w:rsidRPr="00585033">
        <w:rPr>
          <w:rFonts w:cs="Arial"/>
          <w:lang w:eastAsia="en-GB"/>
        </w:rPr>
        <w:t xml:space="preserve"> with respect to the academic authorities.</w:t>
      </w:r>
    </w:p>
    <w:p w14:paraId="6F7502EB" w14:textId="77777777" w:rsidR="00F27F43" w:rsidRPr="00585033" w:rsidRDefault="00F27F43" w:rsidP="00F27F43">
      <w:pPr>
        <w:spacing w:before="100" w:beforeAutospacing="1" w:after="90" w:line="240" w:lineRule="auto"/>
        <w:ind w:left="720"/>
        <w:contextualSpacing/>
        <w:rPr>
          <w:rFonts w:cs="Arial"/>
          <w:lang w:eastAsia="en-GB"/>
        </w:rPr>
      </w:pPr>
    </w:p>
    <w:p w14:paraId="76FDE2A9" w14:textId="77777777" w:rsidR="00F27F43" w:rsidRDefault="00F27F43" w:rsidP="00F27F43">
      <w:pPr>
        <w:numPr>
          <w:ilvl w:val="0"/>
          <w:numId w:val="14"/>
        </w:numPr>
        <w:suppressAutoHyphens w:val="0"/>
        <w:spacing w:before="100" w:beforeAutospacing="1" w:after="9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The Deputy Director shall assi</w:t>
      </w:r>
      <w:r>
        <w:rPr>
          <w:rFonts w:cs="Arial"/>
          <w:lang w:eastAsia="en-GB"/>
        </w:rPr>
        <w:t>st the Director in running the centre, shall chair the fortnightly visiting speakers’ series,</w:t>
      </w:r>
      <w:r w:rsidRPr="00585033">
        <w:rPr>
          <w:rFonts w:cs="Arial"/>
          <w:lang w:eastAsia="en-GB"/>
        </w:rPr>
        <w:t xml:space="preserve"> and shall deputise for the Director in his/her absence.</w:t>
      </w:r>
    </w:p>
    <w:p w14:paraId="04ED5FD0" w14:textId="77777777" w:rsidR="00F27F43" w:rsidRPr="00585033" w:rsidRDefault="00F27F43" w:rsidP="00F27F43">
      <w:pPr>
        <w:spacing w:before="100" w:beforeAutospacing="1" w:after="90" w:line="240" w:lineRule="auto"/>
        <w:contextualSpacing/>
        <w:rPr>
          <w:rFonts w:cs="Arial"/>
          <w:lang w:eastAsia="en-GB"/>
        </w:rPr>
      </w:pPr>
    </w:p>
    <w:p w14:paraId="21817020" w14:textId="77777777" w:rsidR="00F27F43" w:rsidRDefault="00F27F43" w:rsidP="00F27F43">
      <w:pPr>
        <w:numPr>
          <w:ilvl w:val="0"/>
          <w:numId w:val="14"/>
        </w:numPr>
        <w:suppressAutoHyphens w:val="0"/>
        <w:spacing w:before="100" w:beforeAutospacing="1" w:after="0" w:line="240" w:lineRule="auto"/>
        <w:contextualSpacing/>
        <w:rPr>
          <w:rFonts w:cs="Arial"/>
          <w:lang w:eastAsia="en-GB"/>
        </w:rPr>
      </w:pPr>
      <w:r w:rsidRPr="00585033">
        <w:rPr>
          <w:rFonts w:cs="Arial"/>
          <w:lang w:eastAsia="en-GB"/>
        </w:rPr>
        <w:t>The Director and Deputy Director shall be appointe</w:t>
      </w:r>
      <w:r>
        <w:rPr>
          <w:rFonts w:cs="Arial"/>
          <w:lang w:eastAsia="en-GB"/>
        </w:rPr>
        <w:t>d by the Department of Philosophy</w:t>
      </w:r>
      <w:r w:rsidRPr="00585033">
        <w:rPr>
          <w:rFonts w:cs="Arial"/>
          <w:lang w:eastAsia="en-GB"/>
        </w:rPr>
        <w:t xml:space="preserve">, upon recommendation of the members of the centre, </w:t>
      </w:r>
      <w:r>
        <w:rPr>
          <w:rFonts w:cs="Arial"/>
          <w:lang w:eastAsia="en-GB"/>
        </w:rPr>
        <w:t xml:space="preserve">and with the agreement of the Head of the Philosophy Department, </w:t>
      </w:r>
      <w:r w:rsidRPr="00585033">
        <w:rPr>
          <w:rFonts w:cs="Arial"/>
          <w:lang w:eastAsia="en-GB"/>
        </w:rPr>
        <w:t>for a renewable period of three years.</w:t>
      </w:r>
    </w:p>
    <w:p w14:paraId="7DB752FD" w14:textId="77777777" w:rsidR="00F27F43" w:rsidRPr="00585033" w:rsidRDefault="00F27F43" w:rsidP="00F27F43">
      <w:pPr>
        <w:spacing w:before="100" w:beforeAutospacing="1" w:after="0" w:line="240" w:lineRule="auto"/>
        <w:contextualSpacing/>
        <w:rPr>
          <w:rFonts w:cs="Arial"/>
          <w:lang w:eastAsia="en-GB"/>
        </w:rPr>
      </w:pPr>
    </w:p>
    <w:p w14:paraId="7CF7AC2B" w14:textId="77777777" w:rsidR="00F27F43" w:rsidRDefault="00F27F43" w:rsidP="00F27F43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90" w:line="240" w:lineRule="auto"/>
        <w:ind w:left="360"/>
        <w:rPr>
          <w:rFonts w:cs="Arial"/>
          <w:b/>
          <w:lang w:eastAsia="en-GB"/>
        </w:rPr>
      </w:pPr>
      <w:r w:rsidRPr="00585033">
        <w:rPr>
          <w:rFonts w:cs="Arial"/>
          <w:b/>
          <w:lang w:eastAsia="en-GB"/>
        </w:rPr>
        <w:t>Financial Responsibility</w:t>
      </w:r>
    </w:p>
    <w:p w14:paraId="4494DBFE" w14:textId="77777777" w:rsidR="00F27F43" w:rsidRPr="00585033" w:rsidRDefault="00F27F43" w:rsidP="00F27F43">
      <w:pPr>
        <w:pStyle w:val="ListParagraph"/>
        <w:spacing w:after="90" w:line="240" w:lineRule="auto"/>
        <w:ind w:left="360"/>
        <w:rPr>
          <w:rFonts w:cs="Arial"/>
          <w:b/>
          <w:lang w:eastAsia="en-GB"/>
        </w:rPr>
      </w:pPr>
    </w:p>
    <w:p w14:paraId="1DC8682E" w14:textId="77777777" w:rsidR="00F27F43" w:rsidRPr="00585033" w:rsidRDefault="00F27F43" w:rsidP="00F27F43">
      <w:pPr>
        <w:pStyle w:val="ListParagraph"/>
        <w:spacing w:before="100" w:beforeAutospacing="1" w:after="90" w:line="240" w:lineRule="auto"/>
        <w:ind w:left="360"/>
        <w:rPr>
          <w:rFonts w:cs="Arial"/>
          <w:lang w:eastAsia="en-GB"/>
        </w:rPr>
      </w:pPr>
      <w:r w:rsidRPr="00585033">
        <w:rPr>
          <w:rFonts w:cs="Arial"/>
          <w:lang w:eastAsia="en-GB"/>
        </w:rPr>
        <w:t>Formal responsibility for the financial operation of the centre lie</w:t>
      </w:r>
      <w:r>
        <w:rPr>
          <w:rFonts w:cs="Arial"/>
          <w:lang w:eastAsia="en-GB"/>
        </w:rPr>
        <w:t>s with the Head of the Philosophy</w:t>
      </w:r>
      <w:r w:rsidRPr="00585033">
        <w:rPr>
          <w:rFonts w:cs="Arial"/>
          <w:lang w:eastAsia="en-GB"/>
        </w:rPr>
        <w:t xml:space="preserve"> Department, in consultation with the Director of the centre.</w:t>
      </w:r>
    </w:p>
    <w:p w14:paraId="2C517C70" w14:textId="77777777" w:rsidR="00F27F43" w:rsidRPr="00774CD7" w:rsidRDefault="00F27F43" w:rsidP="00F27F43">
      <w:pPr>
        <w:rPr>
          <w:i/>
        </w:rPr>
      </w:pPr>
    </w:p>
    <w:p w14:paraId="43A83875" w14:textId="77777777" w:rsidR="00495958" w:rsidRDefault="00495958">
      <w:pPr>
        <w:suppressAutoHyphens w:val="0"/>
        <w:rPr>
          <w:rFonts w:cs="Arial"/>
        </w:rPr>
      </w:pPr>
    </w:p>
    <w:sectPr w:rsidR="004959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D042" w14:textId="77777777" w:rsidR="00A1022F" w:rsidRDefault="00A1022F" w:rsidP="006A69AA">
      <w:pPr>
        <w:spacing w:after="0" w:line="240" w:lineRule="auto"/>
      </w:pPr>
      <w:r>
        <w:separator/>
      </w:r>
    </w:p>
  </w:endnote>
  <w:endnote w:type="continuationSeparator" w:id="0">
    <w:p w14:paraId="64C23032" w14:textId="77777777" w:rsidR="00A1022F" w:rsidRDefault="00A1022F" w:rsidP="006A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9187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89338D9" w14:textId="1BE0DB06" w:rsidR="00926235" w:rsidRPr="00926235" w:rsidRDefault="00926235">
        <w:pPr>
          <w:pStyle w:val="Footer"/>
          <w:jc w:val="center"/>
          <w:rPr>
            <w:sz w:val="20"/>
          </w:rPr>
        </w:pPr>
        <w:r w:rsidRPr="00926235">
          <w:rPr>
            <w:sz w:val="20"/>
          </w:rPr>
          <w:fldChar w:fldCharType="begin"/>
        </w:r>
        <w:r w:rsidRPr="00926235">
          <w:rPr>
            <w:sz w:val="20"/>
          </w:rPr>
          <w:instrText xml:space="preserve"> PAGE   \* MERGEFORMAT </w:instrText>
        </w:r>
        <w:r w:rsidRPr="00926235">
          <w:rPr>
            <w:sz w:val="20"/>
          </w:rPr>
          <w:fldChar w:fldCharType="separate"/>
        </w:r>
        <w:r w:rsidR="00E64CA7">
          <w:rPr>
            <w:noProof/>
            <w:sz w:val="20"/>
          </w:rPr>
          <w:t>2</w:t>
        </w:r>
        <w:r w:rsidRPr="00926235">
          <w:rPr>
            <w:noProof/>
            <w:sz w:val="20"/>
          </w:rPr>
          <w:fldChar w:fldCharType="end"/>
        </w:r>
      </w:p>
    </w:sdtContent>
  </w:sdt>
  <w:p w14:paraId="5A242C63" w14:textId="77777777" w:rsidR="00F56B0E" w:rsidRDefault="00F56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B9D8" w14:textId="77777777" w:rsidR="00A1022F" w:rsidRDefault="00A1022F" w:rsidP="006A69AA">
      <w:pPr>
        <w:spacing w:after="0" w:line="240" w:lineRule="auto"/>
      </w:pPr>
      <w:r>
        <w:separator/>
      </w:r>
    </w:p>
  </w:footnote>
  <w:footnote w:type="continuationSeparator" w:id="0">
    <w:p w14:paraId="48185CA0" w14:textId="77777777" w:rsidR="00A1022F" w:rsidRDefault="00A1022F" w:rsidP="006A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4707"/>
    <w:multiLevelType w:val="hybridMultilevel"/>
    <w:tmpl w:val="D43EEE82"/>
    <w:lvl w:ilvl="0" w:tplc="28826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00B8"/>
    <w:multiLevelType w:val="hybridMultilevel"/>
    <w:tmpl w:val="38E04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1272"/>
    <w:multiLevelType w:val="hybridMultilevel"/>
    <w:tmpl w:val="346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24A"/>
    <w:multiLevelType w:val="multilevel"/>
    <w:tmpl w:val="CFF0D2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52E26"/>
    <w:multiLevelType w:val="hybridMultilevel"/>
    <w:tmpl w:val="C24C533A"/>
    <w:lvl w:ilvl="0" w:tplc="CEAC2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D4A"/>
    <w:multiLevelType w:val="multilevel"/>
    <w:tmpl w:val="A3DCD1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86017"/>
    <w:multiLevelType w:val="hybridMultilevel"/>
    <w:tmpl w:val="4D2C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5E1F"/>
    <w:multiLevelType w:val="multilevel"/>
    <w:tmpl w:val="F6E689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D51A6"/>
    <w:multiLevelType w:val="hybridMultilevel"/>
    <w:tmpl w:val="52C0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6CBB"/>
    <w:multiLevelType w:val="hybridMultilevel"/>
    <w:tmpl w:val="77E6197A"/>
    <w:lvl w:ilvl="0" w:tplc="051A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548A"/>
    <w:multiLevelType w:val="multilevel"/>
    <w:tmpl w:val="DE46CC5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47C6A"/>
    <w:multiLevelType w:val="hybridMultilevel"/>
    <w:tmpl w:val="89E23A5A"/>
    <w:lvl w:ilvl="0" w:tplc="CBA6582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93281"/>
    <w:multiLevelType w:val="multilevel"/>
    <w:tmpl w:val="9DF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F"/>
    <w:rsid w:val="00024F46"/>
    <w:rsid w:val="00025DE1"/>
    <w:rsid w:val="000537B8"/>
    <w:rsid w:val="0009627D"/>
    <w:rsid w:val="000F2A7B"/>
    <w:rsid w:val="00116C76"/>
    <w:rsid w:val="001176BD"/>
    <w:rsid w:val="00130385"/>
    <w:rsid w:val="001368C3"/>
    <w:rsid w:val="001508C7"/>
    <w:rsid w:val="0017288F"/>
    <w:rsid w:val="00176EE5"/>
    <w:rsid w:val="001A7126"/>
    <w:rsid w:val="001C19B3"/>
    <w:rsid w:val="001D7C82"/>
    <w:rsid w:val="00220227"/>
    <w:rsid w:val="00232BB8"/>
    <w:rsid w:val="00246343"/>
    <w:rsid w:val="0029100B"/>
    <w:rsid w:val="002E348C"/>
    <w:rsid w:val="00326FEC"/>
    <w:rsid w:val="0037081F"/>
    <w:rsid w:val="00372DE9"/>
    <w:rsid w:val="003A7A3D"/>
    <w:rsid w:val="004024AC"/>
    <w:rsid w:val="00407980"/>
    <w:rsid w:val="004247DA"/>
    <w:rsid w:val="00444DF5"/>
    <w:rsid w:val="00495958"/>
    <w:rsid w:val="004D4616"/>
    <w:rsid w:val="00507845"/>
    <w:rsid w:val="00522242"/>
    <w:rsid w:val="0056219B"/>
    <w:rsid w:val="00562ADC"/>
    <w:rsid w:val="005F2D2E"/>
    <w:rsid w:val="006118E3"/>
    <w:rsid w:val="00641740"/>
    <w:rsid w:val="00651AD9"/>
    <w:rsid w:val="00685013"/>
    <w:rsid w:val="0068550E"/>
    <w:rsid w:val="006A69AA"/>
    <w:rsid w:val="006C0678"/>
    <w:rsid w:val="006D493A"/>
    <w:rsid w:val="006E15D7"/>
    <w:rsid w:val="006F0FBD"/>
    <w:rsid w:val="0076064E"/>
    <w:rsid w:val="00774CD7"/>
    <w:rsid w:val="007764FD"/>
    <w:rsid w:val="007A133F"/>
    <w:rsid w:val="007F6AF9"/>
    <w:rsid w:val="008002C2"/>
    <w:rsid w:val="008930D4"/>
    <w:rsid w:val="008F425F"/>
    <w:rsid w:val="00900FC7"/>
    <w:rsid w:val="00923C96"/>
    <w:rsid w:val="00926235"/>
    <w:rsid w:val="00942C5F"/>
    <w:rsid w:val="00976DAE"/>
    <w:rsid w:val="009B3151"/>
    <w:rsid w:val="009C01F0"/>
    <w:rsid w:val="009E3C6C"/>
    <w:rsid w:val="009E4C16"/>
    <w:rsid w:val="00A1022F"/>
    <w:rsid w:val="00A714B8"/>
    <w:rsid w:val="00A83381"/>
    <w:rsid w:val="00AB73E1"/>
    <w:rsid w:val="00B17E8C"/>
    <w:rsid w:val="00B52D44"/>
    <w:rsid w:val="00BC4A75"/>
    <w:rsid w:val="00BF6DF3"/>
    <w:rsid w:val="00C17859"/>
    <w:rsid w:val="00C31080"/>
    <w:rsid w:val="00C56905"/>
    <w:rsid w:val="00C639BA"/>
    <w:rsid w:val="00D65CD8"/>
    <w:rsid w:val="00D74A59"/>
    <w:rsid w:val="00D8376C"/>
    <w:rsid w:val="00E01E07"/>
    <w:rsid w:val="00E110E9"/>
    <w:rsid w:val="00E47B2F"/>
    <w:rsid w:val="00E64CA7"/>
    <w:rsid w:val="00E930B3"/>
    <w:rsid w:val="00E96692"/>
    <w:rsid w:val="00E97776"/>
    <w:rsid w:val="00ED57CF"/>
    <w:rsid w:val="00EF49F9"/>
    <w:rsid w:val="00F27F43"/>
    <w:rsid w:val="00F33E66"/>
    <w:rsid w:val="00F56B0E"/>
    <w:rsid w:val="00F7144C"/>
    <w:rsid w:val="00F81C84"/>
    <w:rsid w:val="00F83D0E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A83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7B"/>
    <w:pPr>
      <w:suppressAutoHyphens/>
    </w:pPr>
    <w:rPr>
      <w:rFonts w:ascii="Arial" w:eastAsia="Times New Roman" w:hAnsi="Arial" w:cs="Calibri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D57C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Helvetica" w:hAnsi="Helvetic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57CF"/>
    <w:rPr>
      <w:rFonts w:ascii="Helvetica" w:eastAsia="Times New Roman" w:hAnsi="Helvetica" w:cs="Calibri"/>
      <w:b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ED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CF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A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AA"/>
    <w:rPr>
      <w:rFonts w:ascii="Arial" w:eastAsia="Times New Roman" w:hAnsi="Arial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A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AA"/>
    <w:rPr>
      <w:rFonts w:ascii="Arial" w:eastAsia="Times New Roman" w:hAnsi="Arial" w:cs="Calibri"/>
      <w:lang w:eastAsia="ar-SA"/>
    </w:rPr>
  </w:style>
  <w:style w:type="paragraph" w:styleId="ListParagraph">
    <w:name w:val="List Paragraph"/>
    <w:basedOn w:val="Normal"/>
    <w:uiPriority w:val="34"/>
    <w:qFormat/>
    <w:rsid w:val="00641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4E25-1579-495C-884A-7167F62F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B00F6B1A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Harris, Carole</cp:lastModifiedBy>
  <cp:revision>5</cp:revision>
  <cp:lastPrinted>2019-06-05T09:20:00Z</cp:lastPrinted>
  <dcterms:created xsi:type="dcterms:W3CDTF">2019-07-08T14:32:00Z</dcterms:created>
  <dcterms:modified xsi:type="dcterms:W3CDTF">2019-07-08T14:38:00Z</dcterms:modified>
</cp:coreProperties>
</file>