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74D1C4" w14:textId="77777777" w:rsidR="004316C1" w:rsidRDefault="004316C1" w:rsidP="004316C1">
      <w:pPr>
        <w:spacing w:after="0" w:line="240" w:lineRule="auto"/>
        <w:jc w:val="center"/>
        <w:textAlignment w:val="baseline"/>
        <w:rPr>
          <w:rFonts w:ascii="Calibri" w:eastAsia="Calibri" w:hAnsi="Calibri"/>
          <w:b/>
          <w:color w:val="000000"/>
        </w:rPr>
      </w:pPr>
      <w:r>
        <w:rPr>
          <w:rFonts w:ascii="Calibri" w:eastAsia="Calibri" w:hAnsi="Calibri"/>
          <w:b/>
          <w:color w:val="000000"/>
        </w:rPr>
        <w:t xml:space="preserve">Centre for Early Life (CfEL) Constitution </w:t>
      </w:r>
      <w:r>
        <w:rPr>
          <w:rFonts w:ascii="Calibri" w:eastAsia="Calibri" w:hAnsi="Calibri"/>
          <w:b/>
          <w:color w:val="000000"/>
        </w:rPr>
        <w:br/>
        <w:t>Warwick Medical School, University of Warwick</w:t>
      </w:r>
    </w:p>
    <w:p w14:paraId="61A00320" w14:textId="77777777" w:rsidR="004316C1" w:rsidRDefault="004316C1" w:rsidP="004316C1">
      <w:pPr>
        <w:spacing w:after="0" w:line="240" w:lineRule="auto"/>
        <w:jc w:val="center"/>
        <w:textAlignment w:val="baseline"/>
        <w:rPr>
          <w:rFonts w:ascii="Calibri" w:eastAsia="Calibri" w:hAnsi="Calibri"/>
          <w:b/>
          <w:color w:val="000000"/>
        </w:rPr>
      </w:pPr>
    </w:p>
    <w:p w14:paraId="52A4C1EF" w14:textId="77777777" w:rsidR="004316C1" w:rsidRDefault="004316C1" w:rsidP="004316C1">
      <w:pPr>
        <w:spacing w:after="0" w:line="240" w:lineRule="auto"/>
        <w:textAlignment w:val="baseline"/>
        <w:rPr>
          <w:rFonts w:ascii="Calibri" w:eastAsia="Calibri" w:hAnsi="Calibri"/>
          <w:b/>
          <w:color w:val="000000"/>
          <w:spacing w:val="-3"/>
        </w:rPr>
      </w:pPr>
      <w:r>
        <w:rPr>
          <w:rFonts w:ascii="Calibri" w:eastAsia="Calibri" w:hAnsi="Calibri"/>
          <w:b/>
          <w:color w:val="000000"/>
          <w:spacing w:val="-3"/>
        </w:rPr>
        <w:t>Aims of Centre</w:t>
      </w:r>
    </w:p>
    <w:p w14:paraId="15B0C977" w14:textId="77777777" w:rsidR="004316C1" w:rsidRDefault="004316C1" w:rsidP="004316C1">
      <w:pPr>
        <w:numPr>
          <w:ilvl w:val="0"/>
          <w:numId w:val="21"/>
        </w:numPr>
        <w:tabs>
          <w:tab w:val="left" w:pos="720"/>
        </w:tabs>
        <w:suppressAutoHyphens w:val="0"/>
        <w:spacing w:after="0" w:line="240" w:lineRule="auto"/>
        <w:ind w:left="720" w:right="360" w:hanging="360"/>
        <w:textAlignment w:val="baseline"/>
        <w:rPr>
          <w:rFonts w:ascii="Calibri" w:eastAsia="Calibri" w:hAnsi="Calibri"/>
          <w:color w:val="000000"/>
        </w:rPr>
      </w:pPr>
      <w:r>
        <w:rPr>
          <w:rFonts w:ascii="Calibri" w:eastAsia="Calibri" w:hAnsi="Calibri"/>
          <w:color w:val="000000"/>
        </w:rPr>
        <w:t>To have an impact on clinical medicine by translating research excellence in University of Warwick to improve reproductive outcome in terms of successful pregnancies, healthy parents and healthy children in the UK and globally.</w:t>
      </w:r>
    </w:p>
    <w:p w14:paraId="3A2D9354" w14:textId="77777777" w:rsidR="004316C1" w:rsidRDefault="004316C1" w:rsidP="004316C1">
      <w:pPr>
        <w:numPr>
          <w:ilvl w:val="0"/>
          <w:numId w:val="21"/>
        </w:numPr>
        <w:tabs>
          <w:tab w:val="left" w:pos="720"/>
        </w:tabs>
        <w:suppressAutoHyphens w:val="0"/>
        <w:spacing w:after="0" w:line="240" w:lineRule="auto"/>
        <w:ind w:left="720" w:right="360" w:hanging="360"/>
        <w:jc w:val="both"/>
        <w:textAlignment w:val="baseline"/>
        <w:rPr>
          <w:rFonts w:ascii="Calibri" w:eastAsia="Calibri" w:hAnsi="Calibri"/>
          <w:color w:val="000000"/>
        </w:rPr>
      </w:pPr>
      <w:r>
        <w:rPr>
          <w:rFonts w:ascii="Calibri" w:eastAsia="Calibri" w:hAnsi="Calibri"/>
          <w:color w:val="000000"/>
        </w:rPr>
        <w:t>To have an impact on improving the follow-up of at risk infants and improving the care of families and parenting.</w:t>
      </w:r>
    </w:p>
    <w:p w14:paraId="0179C0BB" w14:textId="77777777" w:rsidR="004316C1" w:rsidRDefault="004316C1" w:rsidP="004316C1">
      <w:pPr>
        <w:numPr>
          <w:ilvl w:val="0"/>
          <w:numId w:val="21"/>
        </w:numPr>
        <w:tabs>
          <w:tab w:val="left" w:pos="720"/>
        </w:tabs>
        <w:suppressAutoHyphens w:val="0"/>
        <w:spacing w:after="0" w:line="240" w:lineRule="auto"/>
        <w:ind w:left="720" w:right="288" w:hanging="360"/>
        <w:textAlignment w:val="baseline"/>
        <w:rPr>
          <w:rFonts w:ascii="Calibri" w:eastAsia="Calibri" w:hAnsi="Calibri"/>
          <w:color w:val="000000"/>
        </w:rPr>
      </w:pPr>
      <w:r>
        <w:rPr>
          <w:rFonts w:ascii="Calibri" w:eastAsia="Calibri" w:hAnsi="Calibri"/>
          <w:color w:val="000000"/>
        </w:rPr>
        <w:t>To have an impact on wider society by; improving the health of couples trying for a family, healthy children lead to healthy adults, increasing wealth by working with industry to develop new tests and treatments into commercial products and training individuals for future careers in this area.</w:t>
      </w:r>
    </w:p>
    <w:p w14:paraId="36E376CA" w14:textId="77777777" w:rsidR="004316C1" w:rsidRDefault="004316C1" w:rsidP="004316C1">
      <w:pPr>
        <w:numPr>
          <w:ilvl w:val="0"/>
          <w:numId w:val="21"/>
        </w:numPr>
        <w:tabs>
          <w:tab w:val="left" w:pos="720"/>
        </w:tabs>
        <w:suppressAutoHyphens w:val="0"/>
        <w:spacing w:after="0" w:line="240" w:lineRule="auto"/>
        <w:ind w:left="720" w:right="936" w:hanging="360"/>
        <w:textAlignment w:val="baseline"/>
        <w:rPr>
          <w:rFonts w:ascii="Calibri" w:eastAsia="Calibri" w:hAnsi="Calibri"/>
          <w:color w:val="000000"/>
        </w:rPr>
      </w:pPr>
      <w:r>
        <w:rPr>
          <w:rFonts w:ascii="Calibri" w:eastAsia="Calibri" w:hAnsi="Calibri"/>
          <w:color w:val="000000"/>
        </w:rPr>
        <w:t>To facilitate interdisciplinary collaborations amongst world class researchers at the University of Warwick.</w:t>
      </w:r>
    </w:p>
    <w:p w14:paraId="4F50E758" w14:textId="77777777" w:rsidR="004316C1" w:rsidRDefault="004316C1" w:rsidP="004316C1">
      <w:pPr>
        <w:numPr>
          <w:ilvl w:val="0"/>
          <w:numId w:val="21"/>
        </w:numPr>
        <w:tabs>
          <w:tab w:val="left" w:pos="720"/>
        </w:tabs>
        <w:suppressAutoHyphens w:val="0"/>
        <w:spacing w:after="0" w:line="240" w:lineRule="auto"/>
        <w:ind w:left="720" w:right="144" w:hanging="360"/>
        <w:textAlignment w:val="baseline"/>
        <w:rPr>
          <w:rFonts w:ascii="Calibri" w:eastAsia="Calibri" w:hAnsi="Calibri"/>
          <w:color w:val="000000"/>
        </w:rPr>
      </w:pPr>
      <w:r>
        <w:rPr>
          <w:rFonts w:ascii="Calibri" w:eastAsia="Calibri" w:hAnsi="Calibri"/>
          <w:color w:val="000000"/>
        </w:rPr>
        <w:t>To increase the profile and reputation of the University of Warwick in early life research through translation of discoveries to clinical practice, website, conferences and high impact publications.</w:t>
      </w:r>
    </w:p>
    <w:p w14:paraId="6DC7F69B" w14:textId="77777777" w:rsidR="004316C1" w:rsidRDefault="004316C1" w:rsidP="004316C1">
      <w:pPr>
        <w:numPr>
          <w:ilvl w:val="0"/>
          <w:numId w:val="21"/>
        </w:numPr>
        <w:tabs>
          <w:tab w:val="left" w:pos="720"/>
        </w:tabs>
        <w:suppressAutoHyphens w:val="0"/>
        <w:spacing w:after="0" w:line="240" w:lineRule="auto"/>
        <w:ind w:left="720" w:hanging="360"/>
        <w:textAlignment w:val="baseline"/>
        <w:rPr>
          <w:rFonts w:ascii="Calibri" w:eastAsia="Calibri" w:hAnsi="Calibri"/>
          <w:color w:val="000000"/>
        </w:rPr>
      </w:pPr>
      <w:r>
        <w:rPr>
          <w:rFonts w:ascii="Calibri" w:eastAsia="Calibri" w:hAnsi="Calibri"/>
          <w:color w:val="000000"/>
        </w:rPr>
        <w:t>To secure substantial external funding.</w:t>
      </w:r>
    </w:p>
    <w:p w14:paraId="2B4C77C5" w14:textId="77777777" w:rsidR="004316C1" w:rsidRDefault="004316C1" w:rsidP="004316C1">
      <w:pPr>
        <w:tabs>
          <w:tab w:val="left" w:pos="720"/>
        </w:tabs>
        <w:spacing w:after="0" w:line="240" w:lineRule="auto"/>
        <w:ind w:left="720"/>
        <w:textAlignment w:val="baseline"/>
        <w:rPr>
          <w:rFonts w:ascii="Calibri" w:eastAsia="Calibri" w:hAnsi="Calibri"/>
          <w:color w:val="000000"/>
        </w:rPr>
      </w:pPr>
    </w:p>
    <w:p w14:paraId="2F9B83EE" w14:textId="77777777" w:rsidR="004316C1" w:rsidRDefault="004316C1" w:rsidP="004316C1">
      <w:pPr>
        <w:spacing w:after="0" w:line="240" w:lineRule="auto"/>
        <w:jc w:val="both"/>
        <w:textAlignment w:val="baseline"/>
        <w:rPr>
          <w:rFonts w:ascii="Calibri" w:eastAsia="Calibri" w:hAnsi="Calibri"/>
          <w:b/>
          <w:color w:val="000000"/>
          <w:spacing w:val="-2"/>
        </w:rPr>
      </w:pPr>
      <w:r>
        <w:rPr>
          <w:rFonts w:ascii="Calibri" w:eastAsia="Calibri" w:hAnsi="Calibri"/>
          <w:b/>
          <w:color w:val="000000"/>
          <w:spacing w:val="-2"/>
        </w:rPr>
        <w:t>Membership</w:t>
      </w:r>
    </w:p>
    <w:p w14:paraId="7C21003F" w14:textId="77777777" w:rsidR="004316C1" w:rsidRDefault="004316C1" w:rsidP="004316C1">
      <w:pPr>
        <w:spacing w:after="0" w:line="240" w:lineRule="auto"/>
        <w:jc w:val="both"/>
        <w:textAlignment w:val="baseline"/>
        <w:rPr>
          <w:rFonts w:ascii="Calibri" w:eastAsia="Calibri" w:hAnsi="Calibri"/>
          <w:color w:val="000000"/>
          <w:spacing w:val="-1"/>
        </w:rPr>
      </w:pPr>
      <w:r>
        <w:rPr>
          <w:rFonts w:ascii="Calibri" w:eastAsia="Calibri" w:hAnsi="Calibri"/>
          <w:color w:val="000000"/>
          <w:spacing w:val="-1"/>
        </w:rPr>
        <w:t>Membership is by invitation to those with a special interest in early life research. This will encompass development from pre-conception, intrauterine life, birth, postnatal development and childhood, working within WMS and other university departments. Centre membership will normally be by invitation from the Director, following consultation with the Centre’s senior academic team. Potential members may also contact the Director asking to be considered for membership.</w:t>
      </w:r>
    </w:p>
    <w:p w14:paraId="19137955" w14:textId="77777777" w:rsidR="004316C1" w:rsidRDefault="004316C1" w:rsidP="004316C1">
      <w:pPr>
        <w:spacing w:after="0" w:line="240" w:lineRule="auto"/>
        <w:jc w:val="both"/>
        <w:textAlignment w:val="baseline"/>
        <w:rPr>
          <w:rFonts w:ascii="Calibri" w:eastAsia="Calibri" w:hAnsi="Calibri"/>
          <w:b/>
          <w:color w:val="000000"/>
          <w:spacing w:val="-2"/>
        </w:rPr>
      </w:pPr>
    </w:p>
    <w:p w14:paraId="1B2282E1" w14:textId="77777777" w:rsidR="004316C1" w:rsidRDefault="004316C1" w:rsidP="004316C1">
      <w:pPr>
        <w:spacing w:after="0" w:line="240" w:lineRule="auto"/>
        <w:jc w:val="both"/>
        <w:textAlignment w:val="baseline"/>
        <w:rPr>
          <w:rFonts w:ascii="Calibri" w:eastAsia="Calibri" w:hAnsi="Calibri"/>
          <w:b/>
          <w:color w:val="000000"/>
          <w:spacing w:val="-2"/>
        </w:rPr>
      </w:pPr>
      <w:r>
        <w:rPr>
          <w:rFonts w:ascii="Calibri" w:eastAsia="Calibri" w:hAnsi="Calibri"/>
          <w:b/>
          <w:color w:val="000000"/>
          <w:spacing w:val="-2"/>
        </w:rPr>
        <w:t>Directorship</w:t>
      </w:r>
    </w:p>
    <w:p w14:paraId="1603B2C7" w14:textId="77777777" w:rsidR="004316C1" w:rsidRDefault="004316C1" w:rsidP="004316C1">
      <w:pPr>
        <w:spacing w:after="0" w:line="240" w:lineRule="auto"/>
        <w:jc w:val="both"/>
        <w:textAlignment w:val="baseline"/>
        <w:rPr>
          <w:rFonts w:ascii="Calibri" w:eastAsia="Calibri" w:hAnsi="Calibri"/>
          <w:color w:val="000000"/>
        </w:rPr>
      </w:pPr>
      <w:r>
        <w:rPr>
          <w:rFonts w:ascii="Calibri" w:eastAsia="Calibri" w:hAnsi="Calibri"/>
          <w:color w:val="000000"/>
        </w:rPr>
        <w:t>The Director will normally serve for five years, as appointed by the University Research Committee on behalf of Senate and will be responsible to Head of School. The Director may be reappointed. The Centre will discuss with its membership, providing one or more recommendations for Director, first to the WMS Research Committee, and then to the University Research Committee. The Director is responsible for producing an Annual Report that outlines the achievements of Warwick Research in Early Life Research including publications and funding secured. To ensure efficient use of time, rather than having a separate Advisory Board, the Annual Report will be tabled at the WMS Research Committee for feedback and advice on strategic direction.</w:t>
      </w:r>
    </w:p>
    <w:p w14:paraId="26EE493F" w14:textId="77777777" w:rsidR="004316C1" w:rsidRDefault="004316C1" w:rsidP="004316C1">
      <w:pPr>
        <w:spacing w:after="0" w:line="240" w:lineRule="auto"/>
        <w:textAlignment w:val="baseline"/>
        <w:rPr>
          <w:rFonts w:ascii="Calibri" w:eastAsia="Calibri" w:hAnsi="Calibri"/>
          <w:b/>
          <w:color w:val="000000"/>
          <w:spacing w:val="-7"/>
        </w:rPr>
      </w:pPr>
    </w:p>
    <w:p w14:paraId="1E7CBE45" w14:textId="77777777" w:rsidR="004316C1" w:rsidRDefault="004316C1" w:rsidP="004316C1">
      <w:pPr>
        <w:spacing w:after="0" w:line="240" w:lineRule="auto"/>
        <w:textAlignment w:val="baseline"/>
        <w:rPr>
          <w:rFonts w:ascii="Calibri" w:eastAsia="Calibri" w:hAnsi="Calibri"/>
          <w:b/>
          <w:color w:val="000000"/>
          <w:spacing w:val="-7"/>
        </w:rPr>
      </w:pPr>
      <w:r>
        <w:rPr>
          <w:rFonts w:ascii="Calibri" w:eastAsia="Calibri" w:hAnsi="Calibri"/>
          <w:b/>
          <w:color w:val="000000"/>
          <w:spacing w:val="-7"/>
        </w:rPr>
        <w:t>Senior Team</w:t>
      </w:r>
    </w:p>
    <w:p w14:paraId="329C2260" w14:textId="77777777" w:rsidR="004316C1" w:rsidRDefault="004316C1" w:rsidP="004316C1">
      <w:pPr>
        <w:spacing w:after="0" w:line="240" w:lineRule="auto"/>
        <w:jc w:val="both"/>
        <w:textAlignment w:val="baseline"/>
        <w:rPr>
          <w:rFonts w:ascii="Calibri" w:eastAsia="Calibri" w:hAnsi="Calibri"/>
          <w:color w:val="000000"/>
        </w:rPr>
      </w:pPr>
      <w:r>
        <w:rPr>
          <w:rFonts w:ascii="Calibri" w:eastAsia="Calibri" w:hAnsi="Calibri"/>
          <w:color w:val="000000"/>
        </w:rPr>
        <w:t>A senior academic team will be responsible for the Centre’s executive and management functions, comprising senior academic staff drawn from the Centre. This team will provide advice to the Director on strategy and activities of the Centre, including teaching, supervising, research, impact and collegiality.</w:t>
      </w:r>
    </w:p>
    <w:p w14:paraId="2ADF9764" w14:textId="77777777" w:rsidR="004316C1" w:rsidRDefault="004316C1" w:rsidP="004316C1">
      <w:pPr>
        <w:spacing w:after="0" w:line="240" w:lineRule="auto"/>
        <w:textAlignment w:val="baseline"/>
        <w:rPr>
          <w:rFonts w:ascii="Calibri" w:eastAsia="Calibri" w:hAnsi="Calibri"/>
          <w:b/>
          <w:color w:val="000000"/>
          <w:spacing w:val="-6"/>
        </w:rPr>
      </w:pPr>
    </w:p>
    <w:p w14:paraId="5EBF9AFD" w14:textId="77777777" w:rsidR="004316C1" w:rsidRDefault="004316C1" w:rsidP="004316C1">
      <w:pPr>
        <w:spacing w:after="0" w:line="240" w:lineRule="auto"/>
        <w:textAlignment w:val="baseline"/>
        <w:rPr>
          <w:rFonts w:ascii="Calibri" w:eastAsia="Calibri" w:hAnsi="Calibri"/>
          <w:b/>
          <w:color w:val="000000"/>
          <w:spacing w:val="-6"/>
        </w:rPr>
      </w:pPr>
      <w:r>
        <w:rPr>
          <w:rFonts w:ascii="Calibri" w:eastAsia="Calibri" w:hAnsi="Calibri"/>
          <w:b/>
          <w:color w:val="000000"/>
          <w:spacing w:val="-6"/>
        </w:rPr>
        <w:t>Financial Responsibility</w:t>
      </w:r>
    </w:p>
    <w:p w14:paraId="77A9B692" w14:textId="50A2B386" w:rsidR="004316C1" w:rsidRDefault="004316C1" w:rsidP="004316C1">
      <w:pPr>
        <w:spacing w:after="0" w:line="240" w:lineRule="auto"/>
        <w:jc w:val="both"/>
        <w:textAlignment w:val="baseline"/>
        <w:rPr>
          <w:rFonts w:ascii="Calibri" w:eastAsia="Calibri" w:hAnsi="Calibri"/>
          <w:color w:val="000000"/>
        </w:rPr>
      </w:pPr>
      <w:r>
        <w:rPr>
          <w:rFonts w:ascii="Calibri" w:eastAsia="Calibri" w:hAnsi="Calibri"/>
          <w:color w:val="000000"/>
        </w:rPr>
        <w:t>As a Category II University Research Centre</w:t>
      </w:r>
      <w:r w:rsidR="00D43823">
        <w:rPr>
          <w:rFonts w:ascii="Calibri" w:eastAsia="Calibri" w:hAnsi="Calibri"/>
          <w:color w:val="000000"/>
        </w:rPr>
        <w:t xml:space="preserve"> located within Warwick Medical</w:t>
      </w:r>
      <w:bookmarkStart w:id="0" w:name="_GoBack"/>
      <w:bookmarkEnd w:id="0"/>
      <w:r>
        <w:rPr>
          <w:rFonts w:ascii="Calibri" w:eastAsia="Calibri" w:hAnsi="Calibri"/>
          <w:color w:val="000000"/>
        </w:rPr>
        <w:t xml:space="preserve"> School, the Director of the Centre has formal responsibility for the financial operation of the Centre in line with the University’s Financial Regulations.</w:t>
      </w:r>
    </w:p>
    <w:p w14:paraId="3B8017A0" w14:textId="4C3A2987" w:rsidR="001E3ABD" w:rsidRPr="00AA6007" w:rsidRDefault="001E3ABD" w:rsidP="00D43823">
      <w:pPr>
        <w:suppressAutoHyphens w:val="0"/>
        <w:rPr>
          <w:rFonts w:asciiTheme="minorHAnsi" w:hAnsiTheme="minorHAnsi" w:cstheme="minorHAnsi"/>
          <w:i/>
        </w:rPr>
      </w:pPr>
    </w:p>
    <w:sectPr w:rsidR="001E3ABD" w:rsidRPr="00AA6007" w:rsidSect="000911C3">
      <w:headerReference w:type="default" r:id="rId8"/>
      <w:footerReference w:type="default" r:id="rId9"/>
      <w:pgSz w:w="11909" w:h="16838"/>
      <w:pgMar w:top="1420" w:right="1431" w:bottom="322" w:left="142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2937ED" w14:textId="77777777" w:rsidR="009408C1" w:rsidRDefault="009408C1" w:rsidP="006A69AA">
      <w:pPr>
        <w:spacing w:after="0" w:line="240" w:lineRule="auto"/>
      </w:pPr>
      <w:r>
        <w:separator/>
      </w:r>
    </w:p>
  </w:endnote>
  <w:endnote w:type="continuationSeparator" w:id="0">
    <w:p w14:paraId="47FD9B8F" w14:textId="77777777" w:rsidR="009408C1" w:rsidRDefault="009408C1" w:rsidP="006A6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8011170"/>
      <w:docPartObj>
        <w:docPartGallery w:val="Page Numbers (Bottom of Page)"/>
        <w:docPartUnique/>
      </w:docPartObj>
    </w:sdtPr>
    <w:sdtEndPr>
      <w:rPr>
        <w:rFonts w:ascii="Calibri" w:hAnsi="Calibri"/>
        <w:noProof/>
      </w:rPr>
    </w:sdtEndPr>
    <w:sdtContent>
      <w:p w14:paraId="546AC79C" w14:textId="60B11EC7" w:rsidR="009408C1" w:rsidRPr="00721915" w:rsidRDefault="009408C1">
        <w:pPr>
          <w:pStyle w:val="Footer"/>
          <w:jc w:val="center"/>
          <w:rPr>
            <w:rFonts w:ascii="Calibri" w:hAnsi="Calibri"/>
          </w:rPr>
        </w:pPr>
        <w:r w:rsidRPr="00721915">
          <w:rPr>
            <w:rFonts w:ascii="Calibri" w:hAnsi="Calibri"/>
          </w:rPr>
          <w:fldChar w:fldCharType="begin"/>
        </w:r>
        <w:r w:rsidRPr="00721915">
          <w:rPr>
            <w:rFonts w:ascii="Calibri" w:hAnsi="Calibri"/>
          </w:rPr>
          <w:instrText xml:space="preserve"> PAGE   \* MERGEFORMAT </w:instrText>
        </w:r>
        <w:r w:rsidRPr="00721915">
          <w:rPr>
            <w:rFonts w:ascii="Calibri" w:hAnsi="Calibri"/>
          </w:rPr>
          <w:fldChar w:fldCharType="separate"/>
        </w:r>
        <w:r w:rsidR="00D43823">
          <w:rPr>
            <w:rFonts w:ascii="Calibri" w:hAnsi="Calibri"/>
            <w:noProof/>
          </w:rPr>
          <w:t>1</w:t>
        </w:r>
        <w:r w:rsidRPr="00721915">
          <w:rPr>
            <w:rFonts w:ascii="Calibri" w:hAnsi="Calibri"/>
            <w:noProof/>
          </w:rPr>
          <w:fldChar w:fldCharType="end"/>
        </w:r>
      </w:p>
    </w:sdtContent>
  </w:sdt>
  <w:p w14:paraId="1F787B53" w14:textId="77777777" w:rsidR="009408C1" w:rsidRPr="00721915" w:rsidRDefault="009408C1" w:rsidP="007219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AC74F1" w14:textId="77777777" w:rsidR="009408C1" w:rsidRDefault="009408C1" w:rsidP="006A69AA">
      <w:pPr>
        <w:spacing w:after="0" w:line="240" w:lineRule="auto"/>
      </w:pPr>
      <w:r>
        <w:separator/>
      </w:r>
    </w:p>
  </w:footnote>
  <w:footnote w:type="continuationSeparator" w:id="0">
    <w:p w14:paraId="0D3F23AC" w14:textId="77777777" w:rsidR="009408C1" w:rsidRDefault="009408C1" w:rsidP="006A69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A292A2" w14:textId="77777777" w:rsidR="009408C1" w:rsidRPr="009F3F51" w:rsidRDefault="009408C1" w:rsidP="009F3F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9D4707"/>
    <w:multiLevelType w:val="hybridMultilevel"/>
    <w:tmpl w:val="D43EEE82"/>
    <w:lvl w:ilvl="0" w:tplc="28826D0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910EF3"/>
    <w:multiLevelType w:val="hybridMultilevel"/>
    <w:tmpl w:val="0234EF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FB6BC0"/>
    <w:multiLevelType w:val="hybridMultilevel"/>
    <w:tmpl w:val="A3009E9C"/>
    <w:lvl w:ilvl="0" w:tplc="BC70947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A000B8"/>
    <w:multiLevelType w:val="hybridMultilevel"/>
    <w:tmpl w:val="38E043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BF91272"/>
    <w:multiLevelType w:val="hybridMultilevel"/>
    <w:tmpl w:val="3466B7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131DEB"/>
    <w:multiLevelType w:val="hybridMultilevel"/>
    <w:tmpl w:val="FCEC8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681717"/>
    <w:multiLevelType w:val="hybridMultilevel"/>
    <w:tmpl w:val="4724BEE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936579F"/>
    <w:multiLevelType w:val="hybridMultilevel"/>
    <w:tmpl w:val="8CBE01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C552E26"/>
    <w:multiLevelType w:val="hybridMultilevel"/>
    <w:tmpl w:val="C24C533A"/>
    <w:lvl w:ilvl="0" w:tplc="CEAC239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8470E8"/>
    <w:multiLevelType w:val="hybridMultilevel"/>
    <w:tmpl w:val="A1720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7C0139"/>
    <w:multiLevelType w:val="hybridMultilevel"/>
    <w:tmpl w:val="39C0F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F86017"/>
    <w:multiLevelType w:val="hybridMultilevel"/>
    <w:tmpl w:val="4D2C10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F2137DF"/>
    <w:multiLevelType w:val="multilevel"/>
    <w:tmpl w:val="6EB801E2"/>
    <w:lvl w:ilvl="0">
      <w:start w:val="1"/>
      <w:numFmt w:val="decimal"/>
      <w:lvlText w:val="%1."/>
      <w:lvlJc w:val="left"/>
      <w:pPr>
        <w:tabs>
          <w:tab w:val="left" w:pos="-1800"/>
        </w:tabs>
      </w:pPr>
      <w:rPr>
        <w:rFonts w:ascii="Calibri" w:eastAsia="Calibri" w:hAnsi="Calibri"/>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631378C"/>
    <w:multiLevelType w:val="hybridMultilevel"/>
    <w:tmpl w:val="51A6D3B6"/>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8D62E12"/>
    <w:multiLevelType w:val="hybridMultilevel"/>
    <w:tmpl w:val="B25847C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9256FB4"/>
    <w:multiLevelType w:val="hybridMultilevel"/>
    <w:tmpl w:val="1B54EF7E"/>
    <w:lvl w:ilvl="0" w:tplc="BC709478">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2ED51A6"/>
    <w:multiLevelType w:val="hybridMultilevel"/>
    <w:tmpl w:val="52C004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6D46A7B"/>
    <w:multiLevelType w:val="hybridMultilevel"/>
    <w:tmpl w:val="5FA81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D50533"/>
    <w:multiLevelType w:val="multilevel"/>
    <w:tmpl w:val="6E180308"/>
    <w:lvl w:ilvl="0">
      <w:numFmt w:val="bullet"/>
      <w:lvlText w:val="·"/>
      <w:lvlJc w:val="left"/>
      <w:pPr>
        <w:tabs>
          <w:tab w:val="left" w:pos="360"/>
        </w:tabs>
      </w:pPr>
      <w:rPr>
        <w:rFonts w:ascii="Symbol" w:eastAsia="Symbol" w:hAnsi="Symbol"/>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52F07B24"/>
    <w:multiLevelType w:val="hybridMultilevel"/>
    <w:tmpl w:val="B52A9D2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48F3B48"/>
    <w:multiLevelType w:val="hybridMultilevel"/>
    <w:tmpl w:val="5B040B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775680D"/>
    <w:multiLevelType w:val="multilevel"/>
    <w:tmpl w:val="27D2253E"/>
    <w:lvl w:ilvl="0">
      <w:numFmt w:val="bullet"/>
      <w:lvlText w:val="·"/>
      <w:lvlJc w:val="left"/>
      <w:pPr>
        <w:tabs>
          <w:tab w:val="left" w:pos="432"/>
        </w:tabs>
      </w:pPr>
      <w:rPr>
        <w:rFonts w:ascii="Symbol" w:eastAsia="Symbol" w:hAnsi="Symbol"/>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CE33929"/>
    <w:multiLevelType w:val="hybridMultilevel"/>
    <w:tmpl w:val="EBD6EFF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5DF66CBB"/>
    <w:multiLevelType w:val="hybridMultilevel"/>
    <w:tmpl w:val="77E6197A"/>
    <w:lvl w:ilvl="0" w:tplc="051A0B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6047C6A"/>
    <w:multiLevelType w:val="hybridMultilevel"/>
    <w:tmpl w:val="89E23A5A"/>
    <w:lvl w:ilvl="0" w:tplc="CBA65822">
      <w:start w:val="1"/>
      <w:numFmt w:val="lowerLetter"/>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CA013E1"/>
    <w:multiLevelType w:val="hybridMultilevel"/>
    <w:tmpl w:val="E8269288"/>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8CD137C"/>
    <w:multiLevelType w:val="hybridMultilevel"/>
    <w:tmpl w:val="294E1F9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7C8663E5"/>
    <w:multiLevelType w:val="hybridMultilevel"/>
    <w:tmpl w:val="35EC1EF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7E4C7660"/>
    <w:multiLevelType w:val="hybridMultilevel"/>
    <w:tmpl w:val="27544E2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 w:numId="2">
    <w:abstractNumId w:val="24"/>
  </w:num>
  <w:num w:numId="3">
    <w:abstractNumId w:val="4"/>
  </w:num>
  <w:num w:numId="4">
    <w:abstractNumId w:val="9"/>
  </w:num>
  <w:num w:numId="5">
    <w:abstractNumId w:val="1"/>
  </w:num>
  <w:num w:numId="6">
    <w:abstractNumId w:val="25"/>
  </w:num>
  <w:num w:numId="7">
    <w:abstractNumId w:val="5"/>
  </w:num>
  <w:num w:numId="8">
    <w:abstractNumId w:val="27"/>
  </w:num>
  <w:num w:numId="9">
    <w:abstractNumId w:val="23"/>
  </w:num>
  <w:num w:numId="10">
    <w:abstractNumId w:val="7"/>
  </w:num>
  <w:num w:numId="11">
    <w:abstractNumId w:val="21"/>
  </w:num>
  <w:num w:numId="12">
    <w:abstractNumId w:val="2"/>
  </w:num>
  <w:num w:numId="13">
    <w:abstractNumId w:val="29"/>
  </w:num>
  <w:num w:numId="14">
    <w:abstractNumId w:val="28"/>
  </w:num>
  <w:num w:numId="15">
    <w:abstractNumId w:val="11"/>
  </w:num>
  <w:num w:numId="16">
    <w:abstractNumId w:val="15"/>
  </w:num>
  <w:num w:numId="17">
    <w:abstractNumId w:val="14"/>
  </w:num>
  <w:num w:numId="18">
    <w:abstractNumId w:val="26"/>
  </w:num>
  <w:num w:numId="19">
    <w:abstractNumId w:val="20"/>
  </w:num>
  <w:num w:numId="20">
    <w:abstractNumId w:val="8"/>
  </w:num>
  <w:num w:numId="21">
    <w:abstractNumId w:val="13"/>
  </w:num>
  <w:num w:numId="22">
    <w:abstractNumId w:val="19"/>
  </w:num>
  <w:num w:numId="23">
    <w:abstractNumId w:val="22"/>
  </w:num>
  <w:num w:numId="24">
    <w:abstractNumId w:val="18"/>
  </w:num>
  <w:num w:numId="25">
    <w:abstractNumId w:val="10"/>
  </w:num>
  <w:num w:numId="26">
    <w:abstractNumId w:val="6"/>
  </w:num>
  <w:num w:numId="27">
    <w:abstractNumId w:val="12"/>
  </w:num>
  <w:num w:numId="28">
    <w:abstractNumId w:val="17"/>
  </w:num>
  <w:num w:numId="29">
    <w:abstractNumId w:val="3"/>
  </w:num>
  <w:num w:numId="3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7CF"/>
    <w:rsid w:val="000537B8"/>
    <w:rsid w:val="000844EE"/>
    <w:rsid w:val="000911C3"/>
    <w:rsid w:val="000F2A7B"/>
    <w:rsid w:val="00116C76"/>
    <w:rsid w:val="001368C3"/>
    <w:rsid w:val="00161CC2"/>
    <w:rsid w:val="00176EE5"/>
    <w:rsid w:val="001A7126"/>
    <w:rsid w:val="001E2BFB"/>
    <w:rsid w:val="001E3ABD"/>
    <w:rsid w:val="0029100B"/>
    <w:rsid w:val="002F0657"/>
    <w:rsid w:val="00321F24"/>
    <w:rsid w:val="00326FEC"/>
    <w:rsid w:val="00332AF8"/>
    <w:rsid w:val="0037081F"/>
    <w:rsid w:val="00372DE9"/>
    <w:rsid w:val="00396393"/>
    <w:rsid w:val="004024AC"/>
    <w:rsid w:val="00407980"/>
    <w:rsid w:val="004316C1"/>
    <w:rsid w:val="00444DF5"/>
    <w:rsid w:val="00507845"/>
    <w:rsid w:val="00522242"/>
    <w:rsid w:val="006118E3"/>
    <w:rsid w:val="00641740"/>
    <w:rsid w:val="00651AD9"/>
    <w:rsid w:val="0068550E"/>
    <w:rsid w:val="006A69AA"/>
    <w:rsid w:val="00721915"/>
    <w:rsid w:val="0076064E"/>
    <w:rsid w:val="00774CD7"/>
    <w:rsid w:val="007764FD"/>
    <w:rsid w:val="008002C2"/>
    <w:rsid w:val="0085228B"/>
    <w:rsid w:val="008930D4"/>
    <w:rsid w:val="008D1A85"/>
    <w:rsid w:val="008F425F"/>
    <w:rsid w:val="00900FC7"/>
    <w:rsid w:val="00923EB0"/>
    <w:rsid w:val="009408C1"/>
    <w:rsid w:val="009C01F0"/>
    <w:rsid w:val="009E34CF"/>
    <w:rsid w:val="009F3F51"/>
    <w:rsid w:val="00A714B8"/>
    <w:rsid w:val="00A83381"/>
    <w:rsid w:val="00AA6007"/>
    <w:rsid w:val="00B17E8C"/>
    <w:rsid w:val="00BC4A75"/>
    <w:rsid w:val="00BF6DF3"/>
    <w:rsid w:val="00C639BA"/>
    <w:rsid w:val="00D43823"/>
    <w:rsid w:val="00D74A59"/>
    <w:rsid w:val="00DE02A4"/>
    <w:rsid w:val="00DF1847"/>
    <w:rsid w:val="00E01E07"/>
    <w:rsid w:val="00E47B2F"/>
    <w:rsid w:val="00ED57CF"/>
    <w:rsid w:val="00F33E66"/>
    <w:rsid w:val="00F455BF"/>
    <w:rsid w:val="00F813D1"/>
    <w:rsid w:val="00F9291A"/>
    <w:rsid w:val="00FF72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FFB40EC"/>
  <w15:docId w15:val="{8A3B6674-0AD5-448C-B957-0DEB83047B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A7B"/>
    <w:pPr>
      <w:suppressAutoHyphens/>
    </w:pPr>
    <w:rPr>
      <w:rFonts w:ascii="Arial" w:eastAsia="Times New Roman" w:hAnsi="Arial" w:cs="Calibri"/>
      <w:lang w:eastAsia="ar-SA"/>
    </w:rPr>
  </w:style>
  <w:style w:type="paragraph" w:styleId="Heading6">
    <w:name w:val="heading 6"/>
    <w:basedOn w:val="Normal"/>
    <w:next w:val="Normal"/>
    <w:link w:val="Heading6Char"/>
    <w:qFormat/>
    <w:rsid w:val="00ED57CF"/>
    <w:pPr>
      <w:keepNext/>
      <w:numPr>
        <w:ilvl w:val="5"/>
        <w:numId w:val="1"/>
      </w:numPr>
      <w:spacing w:after="0" w:line="240" w:lineRule="auto"/>
      <w:jc w:val="center"/>
      <w:outlineLvl w:val="5"/>
    </w:pPr>
    <w:rPr>
      <w:rFonts w:ascii="Helvetica" w:hAnsi="Helvetica"/>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ED57CF"/>
    <w:rPr>
      <w:rFonts w:ascii="Helvetica" w:eastAsia="Times New Roman" w:hAnsi="Helvetica" w:cs="Calibri"/>
      <w:b/>
      <w:szCs w:val="20"/>
      <w:u w:val="single"/>
      <w:lang w:eastAsia="ar-SA"/>
    </w:rPr>
  </w:style>
  <w:style w:type="table" w:styleId="TableGrid">
    <w:name w:val="Table Grid"/>
    <w:basedOn w:val="TableNormal"/>
    <w:uiPriority w:val="59"/>
    <w:rsid w:val="00ED57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D57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7CF"/>
    <w:rPr>
      <w:rFonts w:ascii="Tahoma" w:eastAsia="Times New Roman" w:hAnsi="Tahoma" w:cs="Tahoma"/>
      <w:sz w:val="16"/>
      <w:szCs w:val="16"/>
      <w:lang w:eastAsia="ar-SA"/>
    </w:rPr>
  </w:style>
  <w:style w:type="paragraph" w:styleId="Header">
    <w:name w:val="header"/>
    <w:basedOn w:val="Normal"/>
    <w:link w:val="HeaderChar"/>
    <w:uiPriority w:val="99"/>
    <w:unhideWhenUsed/>
    <w:rsid w:val="006A69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69AA"/>
    <w:rPr>
      <w:rFonts w:ascii="Arial" w:eastAsia="Times New Roman" w:hAnsi="Arial" w:cs="Calibri"/>
      <w:lang w:eastAsia="ar-SA"/>
    </w:rPr>
  </w:style>
  <w:style w:type="paragraph" w:styleId="Footer">
    <w:name w:val="footer"/>
    <w:basedOn w:val="Normal"/>
    <w:link w:val="FooterChar"/>
    <w:uiPriority w:val="99"/>
    <w:unhideWhenUsed/>
    <w:rsid w:val="006A69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69AA"/>
    <w:rPr>
      <w:rFonts w:ascii="Arial" w:eastAsia="Times New Roman" w:hAnsi="Arial" w:cs="Calibri"/>
      <w:lang w:eastAsia="ar-SA"/>
    </w:rPr>
  </w:style>
  <w:style w:type="paragraph" w:styleId="ListParagraph">
    <w:name w:val="List Paragraph"/>
    <w:basedOn w:val="Normal"/>
    <w:uiPriority w:val="34"/>
    <w:qFormat/>
    <w:rsid w:val="00641740"/>
    <w:pPr>
      <w:ind w:left="720"/>
      <w:contextualSpacing/>
    </w:pPr>
  </w:style>
  <w:style w:type="character" w:styleId="Hyperlink">
    <w:name w:val="Hyperlink"/>
    <w:basedOn w:val="DefaultParagraphFont"/>
    <w:uiPriority w:val="99"/>
    <w:unhideWhenUsed/>
    <w:rsid w:val="008930D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008CF7-007C-4321-A743-79665FAF4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511C05D7</Template>
  <TotalTime>1</TotalTime>
  <Pages>1</Pages>
  <Words>434</Words>
  <Characters>2477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Harris, Carole</cp:lastModifiedBy>
  <cp:revision>3</cp:revision>
  <cp:lastPrinted>2012-11-30T13:59:00Z</cp:lastPrinted>
  <dcterms:created xsi:type="dcterms:W3CDTF">2020-06-17T12:49:00Z</dcterms:created>
  <dcterms:modified xsi:type="dcterms:W3CDTF">2020-06-17T12:50:00Z</dcterms:modified>
</cp:coreProperties>
</file>