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180B" w:rsidRPr="00A0180B" w:rsidRDefault="00A0180B" w:rsidP="00A0180B">
      <w:pPr>
        <w:pStyle w:val="Heading2"/>
        <w:jc w:val="both"/>
        <w:rPr>
          <w:rFonts w:ascii="Arial" w:hAnsi="Arial" w:cs="Arial"/>
          <w:b/>
          <w:color w:val="000000" w:themeColor="text1"/>
          <w:sz w:val="22"/>
          <w:szCs w:val="22"/>
        </w:rPr>
      </w:pPr>
      <w:r w:rsidRPr="00A0180B">
        <w:rPr>
          <w:rFonts w:ascii="Arial" w:hAnsi="Arial" w:cs="Arial"/>
          <w:b/>
          <w:color w:val="000000" w:themeColor="text1"/>
          <w:sz w:val="22"/>
          <w:szCs w:val="22"/>
        </w:rPr>
        <w:t>Centre for Television History, Heritage and Memory Research</w:t>
      </w:r>
    </w:p>
    <w:p w:rsidR="00A0180B" w:rsidRDefault="00A0180B" w:rsidP="00A0180B">
      <w:pPr>
        <w:pStyle w:val="Heading2"/>
        <w:jc w:val="both"/>
        <w:rPr>
          <w:rFonts w:ascii="Arial" w:hAnsi="Arial" w:cs="Arial"/>
          <w:b/>
          <w:color w:val="auto"/>
          <w:sz w:val="22"/>
          <w:szCs w:val="22"/>
        </w:rPr>
      </w:pPr>
    </w:p>
    <w:p w:rsidR="004C3FB0" w:rsidRDefault="00A0180B" w:rsidP="00A0180B">
      <w:pPr>
        <w:pStyle w:val="BodyA"/>
        <w:ind w:left="567" w:hanging="567"/>
        <w:jc w:val="both"/>
        <w:rPr>
          <w:rFonts w:ascii="Arial" w:hAnsi="Arial"/>
          <w:b/>
          <w:bCs/>
        </w:rPr>
      </w:pPr>
      <w:bookmarkStart w:id="0" w:name="_GoBack"/>
      <w:bookmarkEnd w:id="0"/>
      <w:r>
        <w:rPr>
          <w:rFonts w:ascii="Arial" w:hAnsi="Arial"/>
          <w:b/>
          <w:bCs/>
        </w:rPr>
        <w:t>1</w:t>
      </w:r>
      <w:r>
        <w:rPr>
          <w:rFonts w:ascii="Arial" w:hAnsi="Arial"/>
          <w:b/>
          <w:bCs/>
        </w:rPr>
        <w:tab/>
      </w:r>
      <w:r w:rsidR="004C3FB0" w:rsidRPr="002C4FDD">
        <w:rPr>
          <w:rFonts w:ascii="Arial" w:hAnsi="Arial"/>
          <w:b/>
          <w:bCs/>
        </w:rPr>
        <w:t>Aims of the Centre</w:t>
      </w:r>
    </w:p>
    <w:p w:rsidR="004C3FB0" w:rsidRPr="002C4FDD" w:rsidRDefault="004C3FB0" w:rsidP="00A0180B">
      <w:pPr>
        <w:pStyle w:val="BodyA"/>
        <w:ind w:left="360"/>
        <w:jc w:val="both"/>
        <w:rPr>
          <w:rFonts w:ascii="Arial" w:hAnsi="Arial"/>
          <w:b/>
          <w:bCs/>
        </w:rPr>
      </w:pPr>
    </w:p>
    <w:p w:rsidR="004C3FB0" w:rsidRDefault="004C3FB0" w:rsidP="00A0180B">
      <w:pPr>
        <w:pStyle w:val="BodyA"/>
        <w:ind w:left="567"/>
        <w:jc w:val="both"/>
        <w:rPr>
          <w:rFonts w:ascii="Arial" w:hAnsi="Arial"/>
        </w:rPr>
      </w:pPr>
      <w:r w:rsidRPr="002C4FDD">
        <w:rPr>
          <w:rFonts w:ascii="Arial" w:hAnsi="Arial"/>
        </w:rPr>
        <w:t>The aims of the Centre focus on the development of research, learning and training, and engagement, impact and collaboration with industry. The Centre aims:</w:t>
      </w:r>
    </w:p>
    <w:p w:rsidR="00A0180B" w:rsidRPr="002C4FDD" w:rsidRDefault="00A0180B" w:rsidP="00A0180B">
      <w:pPr>
        <w:pStyle w:val="BodyA"/>
        <w:ind w:left="567"/>
        <w:jc w:val="both"/>
        <w:rPr>
          <w:rFonts w:ascii="Arial" w:eastAsia="Arial Bold" w:hAnsi="Arial" w:cs="Arial Bold"/>
        </w:rPr>
      </w:pPr>
    </w:p>
    <w:p w:rsidR="004C3FB0" w:rsidRDefault="00A0180B" w:rsidP="00A0180B">
      <w:pPr>
        <w:pStyle w:val="BodyA"/>
        <w:ind w:left="1134" w:hanging="567"/>
        <w:jc w:val="both"/>
        <w:rPr>
          <w:rFonts w:ascii="Arial" w:hAnsi="Arial"/>
        </w:rPr>
      </w:pPr>
      <w:r>
        <w:rPr>
          <w:rFonts w:ascii="Arial" w:hAnsi="Arial"/>
          <w:bCs/>
        </w:rPr>
        <w:t>(a)</w:t>
      </w:r>
      <w:r>
        <w:rPr>
          <w:rFonts w:ascii="Arial" w:hAnsi="Arial"/>
          <w:bCs/>
        </w:rPr>
        <w:tab/>
      </w:r>
      <w:r w:rsidR="004C3FB0">
        <w:rPr>
          <w:rFonts w:ascii="Arial" w:hAnsi="Arial"/>
          <w:bCs/>
        </w:rPr>
        <w:t>T</w:t>
      </w:r>
      <w:r w:rsidR="004C3FB0" w:rsidRPr="002C4FDD">
        <w:rPr>
          <w:rFonts w:ascii="Arial" w:hAnsi="Arial"/>
          <w:bCs/>
        </w:rPr>
        <w:t>o act as a focus for the high-quality research and learning undertaken at Warwick in the field of television history, heritage and memory, and to develop and raise the profile of this research both nationally and internationally, thus attracting</w:t>
      </w:r>
      <w:r w:rsidR="004C3FB0" w:rsidRPr="002C4FDD">
        <w:rPr>
          <w:rFonts w:ascii="Arial" w:hAnsi="Arial"/>
        </w:rPr>
        <w:t xml:space="preserve"> scholars and students of the highest </w:t>
      </w:r>
      <w:proofErr w:type="spellStart"/>
      <w:r w:rsidR="004C3FB0" w:rsidRPr="002C4FDD">
        <w:rPr>
          <w:rFonts w:ascii="Arial" w:hAnsi="Arial"/>
        </w:rPr>
        <w:t>calibre</w:t>
      </w:r>
      <w:proofErr w:type="spellEnd"/>
      <w:r w:rsidR="004C3FB0" w:rsidRPr="002C4FDD">
        <w:rPr>
          <w:rFonts w:ascii="Arial" w:hAnsi="Arial"/>
        </w:rPr>
        <w:t xml:space="preserve"> to participate in the Centre's research and learning activities;</w:t>
      </w:r>
    </w:p>
    <w:p w:rsidR="00A0180B" w:rsidRPr="002C4FDD" w:rsidRDefault="00A0180B" w:rsidP="00A0180B">
      <w:pPr>
        <w:pStyle w:val="BodyA"/>
        <w:ind w:left="1134" w:hanging="567"/>
        <w:jc w:val="both"/>
        <w:rPr>
          <w:rFonts w:ascii="Arial" w:eastAsia="Helvetica" w:hAnsi="Arial" w:cs="Helvetica"/>
          <w:bCs/>
        </w:rPr>
      </w:pPr>
    </w:p>
    <w:p w:rsidR="004C3FB0" w:rsidRDefault="00A0180B" w:rsidP="00A0180B">
      <w:pPr>
        <w:pStyle w:val="BodyA"/>
        <w:ind w:left="1134" w:hanging="567"/>
        <w:jc w:val="both"/>
        <w:rPr>
          <w:rFonts w:ascii="Arial" w:hAnsi="Arial"/>
        </w:rPr>
      </w:pPr>
      <w:r>
        <w:rPr>
          <w:rFonts w:ascii="Arial" w:hAnsi="Arial"/>
        </w:rPr>
        <w:t>(b)</w:t>
      </w:r>
      <w:r>
        <w:rPr>
          <w:rFonts w:ascii="Arial" w:hAnsi="Arial"/>
        </w:rPr>
        <w:tab/>
      </w:r>
      <w:r w:rsidR="004C3FB0">
        <w:rPr>
          <w:rFonts w:ascii="Arial" w:hAnsi="Arial"/>
        </w:rPr>
        <w:t>T</w:t>
      </w:r>
      <w:r w:rsidR="004C3FB0" w:rsidRPr="002C4FDD">
        <w:rPr>
          <w:rFonts w:ascii="Arial" w:hAnsi="Arial"/>
        </w:rPr>
        <w:t>o promote contact, connection and collaborative research and learning opportunities between Warwick scholars interested in television history, heritage and memory research;</w:t>
      </w:r>
    </w:p>
    <w:p w:rsidR="00A0180B" w:rsidRPr="002C4FDD" w:rsidRDefault="00A0180B" w:rsidP="00A0180B">
      <w:pPr>
        <w:pStyle w:val="BodyA"/>
        <w:ind w:left="1134" w:hanging="567"/>
        <w:jc w:val="both"/>
        <w:rPr>
          <w:rFonts w:ascii="Arial" w:eastAsia="Helvetica" w:hAnsi="Arial" w:cs="Helvetica"/>
          <w:bCs/>
        </w:rPr>
      </w:pPr>
    </w:p>
    <w:p w:rsidR="004C3FB0" w:rsidRDefault="00A0180B" w:rsidP="00A0180B">
      <w:pPr>
        <w:pStyle w:val="BodyA"/>
        <w:ind w:left="1134" w:hanging="567"/>
        <w:jc w:val="both"/>
        <w:rPr>
          <w:rFonts w:ascii="Arial" w:hAnsi="Arial"/>
        </w:rPr>
      </w:pPr>
      <w:r>
        <w:rPr>
          <w:rFonts w:ascii="Arial" w:hAnsi="Arial"/>
        </w:rPr>
        <w:t>(c)</w:t>
      </w:r>
      <w:r>
        <w:rPr>
          <w:rFonts w:ascii="Arial" w:hAnsi="Arial"/>
        </w:rPr>
        <w:tab/>
      </w:r>
      <w:r w:rsidR="004C3FB0">
        <w:rPr>
          <w:rFonts w:ascii="Arial" w:hAnsi="Arial"/>
        </w:rPr>
        <w:t>T</w:t>
      </w:r>
      <w:r w:rsidR="004C3FB0" w:rsidRPr="002C4FDD">
        <w:rPr>
          <w:rFonts w:ascii="Arial" w:hAnsi="Arial"/>
        </w:rPr>
        <w:t>o develop collaborative international and interdisciplinary research and teaching opportunities in television history, heritage and adjacent fields;</w:t>
      </w:r>
    </w:p>
    <w:p w:rsidR="00A0180B" w:rsidRPr="002C4FDD" w:rsidRDefault="00A0180B" w:rsidP="00A0180B">
      <w:pPr>
        <w:pStyle w:val="BodyA"/>
        <w:ind w:left="1134" w:hanging="567"/>
        <w:jc w:val="both"/>
        <w:rPr>
          <w:rFonts w:ascii="Arial" w:eastAsia="Helvetica" w:hAnsi="Arial" w:cs="Helvetica"/>
          <w:bCs/>
        </w:rPr>
      </w:pPr>
    </w:p>
    <w:p w:rsidR="004C3FB0" w:rsidRDefault="00A0180B" w:rsidP="00A0180B">
      <w:pPr>
        <w:pStyle w:val="BodyA"/>
        <w:ind w:left="1134" w:hanging="567"/>
        <w:jc w:val="both"/>
        <w:rPr>
          <w:rFonts w:ascii="Arial" w:hAnsi="Arial"/>
        </w:rPr>
      </w:pPr>
      <w:r>
        <w:rPr>
          <w:rFonts w:ascii="Arial" w:hAnsi="Arial"/>
        </w:rPr>
        <w:t>(d)</w:t>
      </w:r>
      <w:r>
        <w:rPr>
          <w:rFonts w:ascii="Arial" w:hAnsi="Arial"/>
        </w:rPr>
        <w:tab/>
      </w:r>
      <w:r w:rsidR="004C3FB0">
        <w:rPr>
          <w:rFonts w:ascii="Arial" w:hAnsi="Arial"/>
        </w:rPr>
        <w:t>T</w:t>
      </w:r>
      <w:r w:rsidR="004C3FB0" w:rsidRPr="002C4FDD">
        <w:rPr>
          <w:rFonts w:ascii="Arial" w:hAnsi="Arial"/>
        </w:rPr>
        <w:t>o attract external public and private funding to support the study and preservation of television history;</w:t>
      </w:r>
    </w:p>
    <w:p w:rsidR="00A0180B" w:rsidRPr="002C4FDD" w:rsidRDefault="00A0180B" w:rsidP="00A0180B">
      <w:pPr>
        <w:pStyle w:val="BodyA"/>
        <w:ind w:left="1134" w:hanging="567"/>
        <w:jc w:val="both"/>
        <w:rPr>
          <w:rFonts w:ascii="Arial" w:eastAsia="Helvetica" w:hAnsi="Arial" w:cs="Helvetica"/>
          <w:bCs/>
        </w:rPr>
      </w:pPr>
    </w:p>
    <w:p w:rsidR="004C3FB0" w:rsidRDefault="00A0180B" w:rsidP="00A0180B">
      <w:pPr>
        <w:pStyle w:val="BodyA"/>
        <w:ind w:left="1134" w:hanging="567"/>
        <w:jc w:val="both"/>
        <w:rPr>
          <w:rFonts w:ascii="Arial" w:hAnsi="Arial"/>
        </w:rPr>
      </w:pPr>
      <w:r>
        <w:rPr>
          <w:rFonts w:ascii="Arial" w:hAnsi="Arial"/>
        </w:rPr>
        <w:t>(e)</w:t>
      </w:r>
      <w:r>
        <w:rPr>
          <w:rFonts w:ascii="Arial" w:hAnsi="Arial"/>
        </w:rPr>
        <w:tab/>
      </w:r>
      <w:r w:rsidR="004C3FB0">
        <w:rPr>
          <w:rFonts w:ascii="Arial" w:hAnsi="Arial"/>
        </w:rPr>
        <w:t>T</w:t>
      </w:r>
      <w:r w:rsidR="004C3FB0" w:rsidRPr="002C4FDD">
        <w:rPr>
          <w:rFonts w:ascii="Arial" w:hAnsi="Arial"/>
        </w:rPr>
        <w:t>o foster connections with the television industry and public institutions around questions of television history, heritage, audience memory and preservation, with a particular view to knowledge transfer, public engagement and social and cultural research impact;</w:t>
      </w:r>
    </w:p>
    <w:p w:rsidR="00A0180B" w:rsidRPr="002C4FDD" w:rsidRDefault="00A0180B" w:rsidP="00A0180B">
      <w:pPr>
        <w:pStyle w:val="BodyA"/>
        <w:ind w:left="1134" w:hanging="567"/>
        <w:jc w:val="both"/>
        <w:rPr>
          <w:rFonts w:ascii="Arial" w:eastAsia="Helvetica" w:hAnsi="Arial" w:cs="Helvetica"/>
          <w:bCs/>
        </w:rPr>
      </w:pPr>
    </w:p>
    <w:p w:rsidR="004C3FB0" w:rsidRDefault="00A0180B" w:rsidP="00A0180B">
      <w:pPr>
        <w:pStyle w:val="BodyA"/>
        <w:ind w:left="1134" w:hanging="567"/>
        <w:jc w:val="both"/>
        <w:rPr>
          <w:rFonts w:ascii="Arial" w:hAnsi="Arial"/>
        </w:rPr>
      </w:pPr>
      <w:r>
        <w:rPr>
          <w:rFonts w:ascii="Arial" w:hAnsi="Arial"/>
        </w:rPr>
        <w:t>(f)</w:t>
      </w:r>
      <w:r>
        <w:rPr>
          <w:rFonts w:ascii="Arial" w:hAnsi="Arial"/>
        </w:rPr>
        <w:tab/>
      </w:r>
      <w:r w:rsidR="004C3FB0">
        <w:rPr>
          <w:rFonts w:ascii="Arial" w:hAnsi="Arial"/>
        </w:rPr>
        <w:t>T</w:t>
      </w:r>
      <w:r w:rsidR="004C3FB0" w:rsidRPr="002C4FDD">
        <w:rPr>
          <w:rFonts w:ascii="Arial" w:hAnsi="Arial"/>
        </w:rPr>
        <w:t>o develop access to the existing television archive for researchers, and to position the university as an international research destination for television historians, industry professionals and cultural partnerships.</w:t>
      </w:r>
    </w:p>
    <w:p w:rsidR="00A0180B" w:rsidRPr="002C4FDD" w:rsidRDefault="00A0180B" w:rsidP="00A0180B">
      <w:pPr>
        <w:pStyle w:val="BodyA"/>
        <w:ind w:left="1134" w:hanging="567"/>
        <w:jc w:val="both"/>
        <w:rPr>
          <w:rFonts w:ascii="Arial" w:eastAsia="Helvetica" w:hAnsi="Arial" w:cs="Helvetica"/>
          <w:bCs/>
        </w:rPr>
      </w:pPr>
    </w:p>
    <w:p w:rsidR="004C3FB0" w:rsidRDefault="00A0180B" w:rsidP="00A0180B">
      <w:pPr>
        <w:pStyle w:val="BodyA"/>
        <w:ind w:left="1134" w:hanging="567"/>
        <w:jc w:val="both"/>
        <w:rPr>
          <w:rFonts w:ascii="Arial" w:hAnsi="Arial"/>
        </w:rPr>
      </w:pPr>
      <w:r>
        <w:rPr>
          <w:rFonts w:ascii="Arial" w:hAnsi="Arial"/>
        </w:rPr>
        <w:t>(g)</w:t>
      </w:r>
      <w:r>
        <w:rPr>
          <w:rFonts w:ascii="Arial" w:hAnsi="Arial"/>
        </w:rPr>
        <w:tab/>
      </w:r>
      <w:r w:rsidR="004C3FB0">
        <w:rPr>
          <w:rFonts w:ascii="Arial" w:hAnsi="Arial"/>
        </w:rPr>
        <w:t>T</w:t>
      </w:r>
      <w:r w:rsidR="004C3FB0" w:rsidRPr="002C4FDD">
        <w:rPr>
          <w:rFonts w:ascii="Arial" w:hAnsi="Arial"/>
        </w:rPr>
        <w:t>o engage in public debates about the value of television for culture, well-being, economic development, social justice and creativity.</w:t>
      </w:r>
    </w:p>
    <w:p w:rsidR="00A0180B" w:rsidRPr="002C4FDD" w:rsidRDefault="00A0180B" w:rsidP="00A0180B">
      <w:pPr>
        <w:pStyle w:val="BodyA"/>
        <w:ind w:left="1134" w:hanging="567"/>
        <w:jc w:val="both"/>
        <w:rPr>
          <w:rFonts w:ascii="Arial" w:eastAsia="Helvetica" w:hAnsi="Arial" w:cs="Helvetica"/>
          <w:bCs/>
        </w:rPr>
      </w:pPr>
    </w:p>
    <w:p w:rsidR="004C3FB0" w:rsidRPr="002C4FDD" w:rsidRDefault="00A0180B" w:rsidP="00A0180B">
      <w:pPr>
        <w:pStyle w:val="BodyA"/>
        <w:ind w:left="1134" w:hanging="567"/>
        <w:jc w:val="both"/>
        <w:rPr>
          <w:rFonts w:ascii="Arial" w:eastAsia="Helvetica" w:hAnsi="Arial" w:cs="Helvetica"/>
          <w:bCs/>
        </w:rPr>
      </w:pPr>
      <w:r>
        <w:rPr>
          <w:rFonts w:ascii="Arial" w:hAnsi="Arial"/>
        </w:rPr>
        <w:t>(h)</w:t>
      </w:r>
      <w:r>
        <w:rPr>
          <w:rFonts w:ascii="Arial" w:hAnsi="Arial"/>
        </w:rPr>
        <w:tab/>
      </w:r>
      <w:r w:rsidR="004C3FB0">
        <w:rPr>
          <w:rFonts w:ascii="Arial" w:hAnsi="Arial"/>
        </w:rPr>
        <w:t>T</w:t>
      </w:r>
      <w:r w:rsidR="004C3FB0" w:rsidRPr="002C4FDD">
        <w:rPr>
          <w:rFonts w:ascii="Arial" w:hAnsi="Arial"/>
        </w:rPr>
        <w:t>o contribute to the training of postgraduate students in the university.</w:t>
      </w:r>
    </w:p>
    <w:p w:rsidR="004C3FB0" w:rsidRPr="002C4FDD" w:rsidRDefault="004C3FB0" w:rsidP="00A0180B">
      <w:pPr>
        <w:pStyle w:val="BodyA"/>
        <w:ind w:left="360"/>
        <w:jc w:val="both"/>
        <w:rPr>
          <w:rFonts w:ascii="Arial" w:hAnsi="Arial"/>
        </w:rPr>
      </w:pPr>
    </w:p>
    <w:p w:rsidR="004C3FB0" w:rsidRDefault="00A0180B" w:rsidP="00A0180B">
      <w:pPr>
        <w:pStyle w:val="BodyA"/>
        <w:ind w:left="567" w:hanging="567"/>
        <w:jc w:val="both"/>
        <w:rPr>
          <w:rFonts w:ascii="Arial" w:hAnsi="Arial"/>
          <w:b/>
          <w:bCs/>
        </w:rPr>
      </w:pPr>
      <w:r>
        <w:rPr>
          <w:rFonts w:ascii="Arial" w:hAnsi="Arial"/>
          <w:b/>
          <w:bCs/>
        </w:rPr>
        <w:t>2</w:t>
      </w:r>
      <w:r>
        <w:rPr>
          <w:rFonts w:ascii="Arial" w:hAnsi="Arial"/>
          <w:b/>
          <w:bCs/>
        </w:rPr>
        <w:tab/>
      </w:r>
      <w:r w:rsidR="004C3FB0" w:rsidRPr="002C4FDD">
        <w:rPr>
          <w:rFonts w:ascii="Arial" w:hAnsi="Arial"/>
          <w:b/>
          <w:bCs/>
        </w:rPr>
        <w:t>Membership</w:t>
      </w:r>
    </w:p>
    <w:p w:rsidR="004C3FB0" w:rsidRPr="002C4FDD" w:rsidRDefault="004C3FB0" w:rsidP="00A0180B">
      <w:pPr>
        <w:pStyle w:val="BodyA"/>
        <w:ind w:left="360"/>
        <w:jc w:val="both"/>
        <w:rPr>
          <w:rFonts w:ascii="Arial" w:hAnsi="Arial"/>
          <w:b/>
          <w:bCs/>
        </w:rPr>
      </w:pPr>
    </w:p>
    <w:p w:rsidR="004C3FB0" w:rsidRPr="002C4FDD" w:rsidRDefault="004C3FB0" w:rsidP="00A0180B">
      <w:pPr>
        <w:pStyle w:val="BodyA"/>
        <w:ind w:left="567"/>
        <w:jc w:val="both"/>
        <w:rPr>
          <w:rFonts w:ascii="Arial" w:hAnsi="Arial"/>
        </w:rPr>
      </w:pPr>
      <w:r w:rsidRPr="002C4FDD">
        <w:rPr>
          <w:rFonts w:ascii="Arial" w:hAnsi="Arial"/>
        </w:rPr>
        <w:t xml:space="preserve">The membership of the Centre shall be open to University of Warwick academic and research staff teaching in the area of television history, and to university postgraduate and postdoctoral researchers in the field. The Centre may also appoint scholars from outside the university as Associate/Honorary/Visiting Fellows of the Centre at the approval of the Management Committee. </w:t>
      </w:r>
    </w:p>
    <w:p w:rsidR="004C3FB0" w:rsidRPr="002C4FDD" w:rsidRDefault="004C3FB0" w:rsidP="00A0180B">
      <w:pPr>
        <w:pStyle w:val="BodyA"/>
        <w:jc w:val="both"/>
        <w:rPr>
          <w:rFonts w:ascii="Arial" w:hAnsi="Arial"/>
          <w:b/>
          <w:bCs/>
        </w:rPr>
      </w:pPr>
    </w:p>
    <w:p w:rsidR="004C3FB0" w:rsidRDefault="00A0180B" w:rsidP="00A0180B">
      <w:pPr>
        <w:pStyle w:val="BodyA"/>
        <w:ind w:left="567" w:hanging="567"/>
        <w:jc w:val="both"/>
        <w:rPr>
          <w:rFonts w:ascii="Arial" w:hAnsi="Arial"/>
          <w:b/>
          <w:bCs/>
        </w:rPr>
      </w:pPr>
      <w:r>
        <w:rPr>
          <w:rFonts w:ascii="Arial" w:hAnsi="Arial"/>
          <w:b/>
          <w:bCs/>
        </w:rPr>
        <w:t>3</w:t>
      </w:r>
      <w:r>
        <w:rPr>
          <w:rFonts w:ascii="Arial" w:hAnsi="Arial"/>
          <w:b/>
          <w:bCs/>
        </w:rPr>
        <w:tab/>
      </w:r>
      <w:r w:rsidR="004C3FB0" w:rsidRPr="002C4FDD">
        <w:rPr>
          <w:rFonts w:ascii="Arial" w:hAnsi="Arial"/>
          <w:b/>
          <w:bCs/>
        </w:rPr>
        <w:t>The Director</w:t>
      </w:r>
    </w:p>
    <w:p w:rsidR="004C3FB0" w:rsidRPr="002C4FDD" w:rsidRDefault="004C3FB0" w:rsidP="00A0180B">
      <w:pPr>
        <w:pStyle w:val="BodyA"/>
        <w:ind w:left="360"/>
        <w:jc w:val="both"/>
        <w:rPr>
          <w:rFonts w:ascii="Arial" w:hAnsi="Arial"/>
          <w:b/>
          <w:bCs/>
        </w:rPr>
      </w:pPr>
    </w:p>
    <w:p w:rsidR="004C3FB0" w:rsidRPr="002C4FDD" w:rsidRDefault="00A0180B" w:rsidP="00A0180B">
      <w:pPr>
        <w:pStyle w:val="BodyA"/>
        <w:ind w:left="1134" w:hanging="567"/>
        <w:jc w:val="both"/>
        <w:rPr>
          <w:rFonts w:ascii="Arial" w:hAnsi="Arial"/>
        </w:rPr>
      </w:pPr>
      <w:r>
        <w:rPr>
          <w:rFonts w:ascii="Arial" w:hAnsi="Arial"/>
        </w:rPr>
        <w:t>(a)</w:t>
      </w:r>
      <w:r>
        <w:rPr>
          <w:rFonts w:ascii="Arial" w:hAnsi="Arial"/>
        </w:rPr>
        <w:tab/>
      </w:r>
      <w:r w:rsidR="004C3FB0" w:rsidRPr="002C4FDD">
        <w:rPr>
          <w:rFonts w:ascii="Arial" w:hAnsi="Arial"/>
        </w:rPr>
        <w:t>The Director of the Centre shall be appointed by the University Research Committee, on the recommendation of the Head of the Department of Film and Television Studies. The Directorship may rotate between members of the Centre in both Film and Television Studies and CCPS.</w:t>
      </w:r>
    </w:p>
    <w:p w:rsidR="004C3FB0" w:rsidRDefault="00A0180B" w:rsidP="00A0180B">
      <w:pPr>
        <w:pStyle w:val="BodyA"/>
        <w:ind w:left="1134" w:hanging="567"/>
        <w:jc w:val="both"/>
        <w:rPr>
          <w:rFonts w:ascii="Arial" w:hAnsi="Arial"/>
        </w:rPr>
      </w:pPr>
      <w:r>
        <w:rPr>
          <w:rFonts w:ascii="Arial" w:hAnsi="Arial"/>
        </w:rPr>
        <w:t>(b)</w:t>
      </w:r>
      <w:r>
        <w:rPr>
          <w:rFonts w:ascii="Arial" w:hAnsi="Arial"/>
        </w:rPr>
        <w:tab/>
      </w:r>
      <w:r w:rsidR="004C3FB0" w:rsidRPr="002C4FDD">
        <w:rPr>
          <w:rFonts w:ascii="Arial" w:hAnsi="Arial"/>
        </w:rPr>
        <w:t>The Director shall be appointed for a term of three years (renewable); an acting Director will be appointed in discussion with the Management Committee and the Head of Department during periods of the Director's absence.</w:t>
      </w:r>
    </w:p>
    <w:p w:rsidR="00A0180B" w:rsidRPr="002C4FDD" w:rsidRDefault="00A0180B" w:rsidP="00A0180B">
      <w:pPr>
        <w:pStyle w:val="BodyA"/>
        <w:ind w:left="1134" w:hanging="567"/>
        <w:jc w:val="both"/>
        <w:rPr>
          <w:rFonts w:ascii="Arial" w:hAnsi="Arial"/>
        </w:rPr>
      </w:pPr>
    </w:p>
    <w:p w:rsidR="004C3FB0" w:rsidRDefault="00A0180B" w:rsidP="00A0180B">
      <w:pPr>
        <w:pStyle w:val="BodyA"/>
        <w:ind w:left="1134" w:hanging="567"/>
        <w:jc w:val="both"/>
        <w:rPr>
          <w:rFonts w:ascii="Arial" w:hAnsi="Arial"/>
        </w:rPr>
      </w:pPr>
      <w:r>
        <w:rPr>
          <w:rFonts w:ascii="Arial" w:hAnsi="Arial"/>
        </w:rPr>
        <w:lastRenderedPageBreak/>
        <w:t>(c)</w:t>
      </w:r>
      <w:r>
        <w:rPr>
          <w:rFonts w:ascii="Arial" w:hAnsi="Arial"/>
        </w:rPr>
        <w:tab/>
      </w:r>
      <w:r w:rsidR="004C3FB0" w:rsidRPr="002C4FDD">
        <w:rPr>
          <w:rFonts w:ascii="Arial" w:hAnsi="Arial"/>
        </w:rPr>
        <w:t>The Director shall be responsible to the Head of Department, Film and Television Studies, for the planning, direction and execution of the Centre's affairs, and for the use of discretionary funds where these May be allocated to the Centre.</w:t>
      </w:r>
    </w:p>
    <w:p w:rsidR="00A0180B" w:rsidRPr="00A0180B" w:rsidRDefault="00A0180B" w:rsidP="00A0180B">
      <w:pPr>
        <w:pStyle w:val="BodyA"/>
        <w:ind w:left="1134" w:hanging="567"/>
        <w:jc w:val="both"/>
        <w:rPr>
          <w:rFonts w:ascii="Arial" w:hAnsi="Arial"/>
        </w:rPr>
      </w:pPr>
    </w:p>
    <w:p w:rsidR="004C3FB0" w:rsidRDefault="00A0180B" w:rsidP="00A0180B">
      <w:pPr>
        <w:pStyle w:val="BodyA"/>
        <w:ind w:left="567" w:hanging="567"/>
        <w:jc w:val="both"/>
        <w:rPr>
          <w:rFonts w:ascii="Arial" w:hAnsi="Arial"/>
          <w:b/>
          <w:bCs/>
        </w:rPr>
      </w:pPr>
      <w:r>
        <w:rPr>
          <w:rFonts w:ascii="Arial" w:hAnsi="Arial"/>
          <w:b/>
          <w:bCs/>
        </w:rPr>
        <w:t>4</w:t>
      </w:r>
      <w:r>
        <w:rPr>
          <w:rFonts w:ascii="Arial" w:hAnsi="Arial"/>
          <w:b/>
          <w:bCs/>
        </w:rPr>
        <w:tab/>
      </w:r>
      <w:r w:rsidR="004C3FB0" w:rsidRPr="002C4FDD">
        <w:rPr>
          <w:rFonts w:ascii="Arial" w:hAnsi="Arial"/>
          <w:b/>
          <w:bCs/>
        </w:rPr>
        <w:t>The Executive/Management Committee</w:t>
      </w:r>
    </w:p>
    <w:p w:rsidR="004C3FB0" w:rsidRPr="002C4FDD" w:rsidRDefault="004C3FB0" w:rsidP="00A0180B">
      <w:pPr>
        <w:pStyle w:val="BodyA"/>
        <w:ind w:left="360"/>
        <w:jc w:val="both"/>
        <w:rPr>
          <w:rFonts w:ascii="Arial" w:hAnsi="Arial"/>
          <w:b/>
          <w:bCs/>
        </w:rPr>
      </w:pPr>
    </w:p>
    <w:p w:rsidR="004C3FB0" w:rsidRDefault="00A0180B" w:rsidP="00A0180B">
      <w:pPr>
        <w:pStyle w:val="BodyA"/>
        <w:ind w:left="1134" w:hanging="567"/>
        <w:jc w:val="both"/>
        <w:rPr>
          <w:rFonts w:ascii="Arial" w:hAnsi="Arial"/>
        </w:rPr>
      </w:pPr>
      <w:r>
        <w:rPr>
          <w:rFonts w:ascii="Arial" w:hAnsi="Arial"/>
        </w:rPr>
        <w:t>(a)</w:t>
      </w:r>
      <w:r>
        <w:rPr>
          <w:rFonts w:ascii="Arial" w:hAnsi="Arial"/>
        </w:rPr>
        <w:tab/>
      </w:r>
      <w:r w:rsidR="004C3FB0" w:rsidRPr="002C4FDD">
        <w:rPr>
          <w:rFonts w:ascii="Arial" w:hAnsi="Arial"/>
        </w:rPr>
        <w:t>The Centre shall have a Management Committee consisting of:</w:t>
      </w:r>
    </w:p>
    <w:p w:rsidR="00A0180B" w:rsidRDefault="00A0180B" w:rsidP="00A0180B">
      <w:pPr>
        <w:pStyle w:val="BodyA"/>
        <w:ind w:left="1134" w:hanging="567"/>
        <w:jc w:val="both"/>
        <w:rPr>
          <w:rFonts w:ascii="Arial" w:hAnsi="Arial"/>
        </w:rPr>
      </w:pPr>
    </w:p>
    <w:p w:rsidR="004C3FB0" w:rsidRDefault="004C3FB0" w:rsidP="00A0180B">
      <w:pPr>
        <w:pStyle w:val="BodyA"/>
        <w:numPr>
          <w:ilvl w:val="0"/>
          <w:numId w:val="11"/>
        </w:numPr>
        <w:ind w:left="1701" w:hanging="567"/>
        <w:jc w:val="both"/>
        <w:rPr>
          <w:rFonts w:ascii="Arial" w:hAnsi="Arial"/>
        </w:rPr>
      </w:pPr>
      <w:r w:rsidRPr="002C4FDD">
        <w:rPr>
          <w:rFonts w:ascii="Arial" w:hAnsi="Arial"/>
        </w:rPr>
        <w:t>The Director of the Centre (Chair)</w:t>
      </w:r>
    </w:p>
    <w:p w:rsidR="00A0180B" w:rsidRDefault="00A0180B" w:rsidP="00A0180B">
      <w:pPr>
        <w:pStyle w:val="BodyA"/>
        <w:ind w:left="1701"/>
        <w:jc w:val="both"/>
        <w:rPr>
          <w:rFonts w:ascii="Arial" w:hAnsi="Arial"/>
        </w:rPr>
      </w:pPr>
    </w:p>
    <w:p w:rsidR="004C3FB0" w:rsidRDefault="004C3FB0" w:rsidP="00A0180B">
      <w:pPr>
        <w:pStyle w:val="BodyA"/>
        <w:numPr>
          <w:ilvl w:val="0"/>
          <w:numId w:val="11"/>
        </w:numPr>
        <w:ind w:left="1701" w:hanging="567"/>
        <w:jc w:val="both"/>
        <w:rPr>
          <w:rFonts w:ascii="Arial" w:hAnsi="Arial"/>
        </w:rPr>
      </w:pPr>
      <w:r w:rsidRPr="002C4FDD">
        <w:rPr>
          <w:rFonts w:ascii="Arial" w:hAnsi="Arial"/>
        </w:rPr>
        <w:t>The Head of the Department of Film and Television Studies</w:t>
      </w:r>
    </w:p>
    <w:p w:rsidR="00A0180B" w:rsidRPr="002C4FDD" w:rsidRDefault="00A0180B" w:rsidP="00A0180B">
      <w:pPr>
        <w:pStyle w:val="BodyA"/>
        <w:ind w:left="1701"/>
        <w:jc w:val="both"/>
        <w:rPr>
          <w:rFonts w:ascii="Arial" w:hAnsi="Arial"/>
        </w:rPr>
      </w:pPr>
    </w:p>
    <w:p w:rsidR="004C3FB0" w:rsidRDefault="004C3FB0" w:rsidP="00A0180B">
      <w:pPr>
        <w:pStyle w:val="BodyA"/>
        <w:numPr>
          <w:ilvl w:val="0"/>
          <w:numId w:val="11"/>
        </w:numPr>
        <w:ind w:left="1701" w:hanging="567"/>
        <w:jc w:val="both"/>
        <w:rPr>
          <w:rFonts w:ascii="Arial" w:hAnsi="Arial"/>
        </w:rPr>
      </w:pPr>
      <w:r w:rsidRPr="002C4FDD">
        <w:rPr>
          <w:rFonts w:ascii="Arial" w:hAnsi="Arial"/>
        </w:rPr>
        <w:t>Up to three members of academic staff of the university ass</w:t>
      </w:r>
      <w:r w:rsidR="00A0180B">
        <w:rPr>
          <w:rFonts w:ascii="Arial" w:hAnsi="Arial"/>
        </w:rPr>
        <w:t xml:space="preserve">ociated with the work of the </w:t>
      </w:r>
      <w:r w:rsidRPr="002C4FDD">
        <w:rPr>
          <w:rFonts w:ascii="Arial" w:hAnsi="Arial"/>
        </w:rPr>
        <w:t>Centre</w:t>
      </w:r>
    </w:p>
    <w:p w:rsidR="00A0180B" w:rsidRPr="002C4FDD" w:rsidRDefault="00A0180B" w:rsidP="00A0180B">
      <w:pPr>
        <w:pStyle w:val="BodyA"/>
        <w:ind w:left="1701"/>
        <w:jc w:val="both"/>
        <w:rPr>
          <w:rFonts w:ascii="Arial" w:hAnsi="Arial"/>
        </w:rPr>
      </w:pPr>
    </w:p>
    <w:p w:rsidR="004C3FB0" w:rsidRPr="002C4FDD" w:rsidRDefault="00A0180B" w:rsidP="00A0180B">
      <w:pPr>
        <w:pStyle w:val="BodyA"/>
        <w:ind w:left="1134" w:hanging="567"/>
        <w:jc w:val="both"/>
        <w:rPr>
          <w:rFonts w:ascii="Arial" w:hAnsi="Arial"/>
        </w:rPr>
      </w:pPr>
      <w:r>
        <w:rPr>
          <w:rFonts w:ascii="Arial" w:hAnsi="Arial"/>
        </w:rPr>
        <w:t>(b)</w:t>
      </w:r>
      <w:r>
        <w:rPr>
          <w:rFonts w:ascii="Arial" w:hAnsi="Arial"/>
        </w:rPr>
        <w:tab/>
      </w:r>
      <w:r w:rsidR="004C3FB0" w:rsidRPr="002C4FDD">
        <w:rPr>
          <w:rFonts w:ascii="Arial" w:hAnsi="Arial"/>
        </w:rPr>
        <w:t>The Management Committee will meet as necessary in relation to its terms of reference, which are to advise on the progress of the work of the Centre, on the development of new projects and grant applications, on the allocation of funds and any other matters relevant to the Centre.</w:t>
      </w:r>
    </w:p>
    <w:p w:rsidR="004C3FB0" w:rsidRPr="002C4FDD" w:rsidRDefault="004C3FB0" w:rsidP="00A0180B">
      <w:pPr>
        <w:pStyle w:val="BodyA"/>
        <w:jc w:val="both"/>
        <w:rPr>
          <w:rFonts w:ascii="Arial" w:hAnsi="Arial"/>
          <w:b/>
          <w:bCs/>
        </w:rPr>
      </w:pPr>
    </w:p>
    <w:p w:rsidR="004C3FB0" w:rsidRDefault="00A0180B" w:rsidP="00A0180B">
      <w:pPr>
        <w:pStyle w:val="BodyA"/>
        <w:ind w:left="567" w:hanging="567"/>
        <w:jc w:val="both"/>
        <w:rPr>
          <w:rFonts w:ascii="Arial" w:hAnsi="Arial"/>
          <w:b/>
          <w:bCs/>
        </w:rPr>
      </w:pPr>
      <w:r>
        <w:rPr>
          <w:rFonts w:ascii="Arial" w:hAnsi="Arial"/>
          <w:b/>
          <w:bCs/>
        </w:rPr>
        <w:t>5</w:t>
      </w:r>
      <w:r>
        <w:rPr>
          <w:rFonts w:ascii="Arial" w:hAnsi="Arial"/>
          <w:b/>
          <w:bCs/>
        </w:rPr>
        <w:tab/>
      </w:r>
      <w:r w:rsidR="004C3FB0" w:rsidRPr="002C4FDD">
        <w:rPr>
          <w:rFonts w:ascii="Arial" w:hAnsi="Arial"/>
          <w:b/>
          <w:bCs/>
        </w:rPr>
        <w:t>Financial Responsibility</w:t>
      </w:r>
    </w:p>
    <w:p w:rsidR="004C3FB0" w:rsidRPr="002C4FDD" w:rsidRDefault="004C3FB0" w:rsidP="00A0180B">
      <w:pPr>
        <w:pStyle w:val="BodyA"/>
        <w:ind w:left="360"/>
        <w:jc w:val="both"/>
        <w:rPr>
          <w:rFonts w:ascii="Arial" w:hAnsi="Arial"/>
          <w:b/>
          <w:bCs/>
        </w:rPr>
      </w:pPr>
    </w:p>
    <w:p w:rsidR="004C3FB0" w:rsidRPr="002C4FDD" w:rsidRDefault="004C3FB0" w:rsidP="00A0180B">
      <w:pPr>
        <w:pStyle w:val="BodyA"/>
        <w:ind w:left="567"/>
        <w:jc w:val="both"/>
        <w:rPr>
          <w:rFonts w:ascii="Arial" w:hAnsi="Arial"/>
        </w:rPr>
      </w:pPr>
      <w:r w:rsidRPr="002C4FDD">
        <w:rPr>
          <w:rFonts w:ascii="Arial" w:hAnsi="Arial"/>
        </w:rPr>
        <w:t>The Head of Department, Film and Television Studies, is responsible for the financial operation of the Centre, in consultation with the Director of the Centre.</w:t>
      </w:r>
    </w:p>
    <w:p w:rsidR="004C3FB0" w:rsidRPr="00DC085F" w:rsidRDefault="004C3FB0" w:rsidP="00A0180B">
      <w:pPr>
        <w:jc w:val="both"/>
      </w:pPr>
    </w:p>
    <w:sectPr w:rsidR="004C3FB0" w:rsidRPr="00DC085F" w:rsidSect="00E161DF">
      <w:headerReference w:type="default" r:id="rId7"/>
      <w:footerReference w:type="default" r:id="rId8"/>
      <w:pgSz w:w="11906" w:h="16838"/>
      <w:pgMar w:top="1440" w:right="1440" w:bottom="709" w:left="1440" w:header="706" w:footer="706" w:gutter="0"/>
      <w:cols w:space="720"/>
      <w:formProt w:val="0"/>
      <w:noEndnote/>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241B" w:rsidRDefault="008B2A5A">
      <w:r>
        <w:separator/>
      </w:r>
    </w:p>
  </w:endnote>
  <w:endnote w:type="continuationSeparator" w:id="0">
    <w:p w:rsidR="003F241B" w:rsidRDefault="008B2A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6A4" w:rsidRDefault="00E161DF">
    <w:pPr>
      <w:pStyle w:val="Footer"/>
      <w:spacing w:after="0" w:line="200" w:lineRule="atLeast"/>
      <w:jc w:val="right"/>
      <w:rPr>
        <w:szCs w:val="24"/>
      </w:rPr>
    </w:pPr>
    <w:r>
      <w:rPr>
        <w:szCs w:val="24"/>
      </w:rPr>
      <w:fldChar w:fldCharType="begin"/>
    </w:r>
    <w:r>
      <w:rPr>
        <w:szCs w:val="24"/>
      </w:rPr>
      <w:instrText xml:space="preserve"> PAGE </w:instrText>
    </w:r>
    <w:r>
      <w:rPr>
        <w:szCs w:val="24"/>
      </w:rPr>
      <w:fldChar w:fldCharType="separate"/>
    </w:r>
    <w:r w:rsidR="00FD7828">
      <w:rPr>
        <w:noProof/>
        <w:szCs w:val="24"/>
      </w:rPr>
      <w:t>1</w:t>
    </w:r>
    <w:r>
      <w:rPr>
        <w:szCs w:val="24"/>
      </w:rPr>
      <w:fldChar w:fldCharType="end"/>
    </w:r>
  </w:p>
  <w:p w:rsidR="00AE16A4" w:rsidRDefault="00FD7828">
    <w:pPr>
      <w:pStyle w:val="Footer"/>
      <w:spacing w:after="0" w:line="200" w:lineRule="atLeast"/>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241B" w:rsidRDefault="008B2A5A">
      <w:r>
        <w:separator/>
      </w:r>
    </w:p>
  </w:footnote>
  <w:footnote w:type="continuationSeparator" w:id="0">
    <w:p w:rsidR="003F241B" w:rsidRDefault="008B2A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6A4" w:rsidRDefault="00FD7828">
    <w:pPr>
      <w:pStyle w:val="Header"/>
      <w:spacing w:after="0" w:line="200" w:lineRule="atLea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ED4454"/>
    <w:multiLevelType w:val="hybridMultilevel"/>
    <w:tmpl w:val="FD1847B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BF91272"/>
    <w:multiLevelType w:val="hybridMultilevel"/>
    <w:tmpl w:val="3466B7B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119A0002"/>
    <w:multiLevelType w:val="multilevel"/>
    <w:tmpl w:val="F7B80142"/>
    <w:styleLink w:val="List21"/>
    <w:lvl w:ilvl="0">
      <w:start w:val="1"/>
      <w:numFmt w:val="lowerLetter"/>
      <w:lvlText w:val="%1."/>
      <w:lvlJc w:val="left"/>
      <w:rPr>
        <w:color w:val="000000"/>
        <w:position w:val="0"/>
        <w:rtl w:val="0"/>
      </w:rPr>
    </w:lvl>
    <w:lvl w:ilvl="1">
      <w:start w:val="1"/>
      <w:numFmt w:val="lowerLetter"/>
      <w:lvlText w:val="%2."/>
      <w:lvlJc w:val="left"/>
      <w:rPr>
        <w:color w:val="000000"/>
        <w:position w:val="0"/>
        <w:rtl w:val="0"/>
      </w:rPr>
    </w:lvl>
    <w:lvl w:ilvl="2">
      <w:start w:val="1"/>
      <w:numFmt w:val="lowerLetter"/>
      <w:lvlText w:val="%3."/>
      <w:lvlJc w:val="left"/>
      <w:rPr>
        <w:color w:val="000000"/>
        <w:position w:val="0"/>
        <w:rtl w:val="0"/>
      </w:rPr>
    </w:lvl>
    <w:lvl w:ilvl="3">
      <w:start w:val="1"/>
      <w:numFmt w:val="lowerLetter"/>
      <w:lvlText w:val="%4."/>
      <w:lvlJc w:val="left"/>
      <w:rPr>
        <w:color w:val="000000"/>
        <w:position w:val="0"/>
        <w:rtl w:val="0"/>
      </w:rPr>
    </w:lvl>
    <w:lvl w:ilvl="4">
      <w:start w:val="1"/>
      <w:numFmt w:val="lowerLetter"/>
      <w:lvlText w:val="%5."/>
      <w:lvlJc w:val="left"/>
      <w:rPr>
        <w:color w:val="000000"/>
        <w:position w:val="0"/>
        <w:rtl w:val="0"/>
      </w:rPr>
    </w:lvl>
    <w:lvl w:ilvl="5">
      <w:start w:val="1"/>
      <w:numFmt w:val="lowerLetter"/>
      <w:lvlText w:val="%6."/>
      <w:lvlJc w:val="left"/>
      <w:rPr>
        <w:color w:val="000000"/>
        <w:position w:val="0"/>
        <w:rtl w:val="0"/>
      </w:rPr>
    </w:lvl>
    <w:lvl w:ilvl="6">
      <w:start w:val="1"/>
      <w:numFmt w:val="lowerLetter"/>
      <w:lvlText w:val="%7."/>
      <w:lvlJc w:val="left"/>
      <w:rPr>
        <w:color w:val="000000"/>
        <w:position w:val="0"/>
        <w:rtl w:val="0"/>
      </w:rPr>
    </w:lvl>
    <w:lvl w:ilvl="7">
      <w:start w:val="1"/>
      <w:numFmt w:val="lowerLetter"/>
      <w:lvlText w:val="%8."/>
      <w:lvlJc w:val="left"/>
      <w:rPr>
        <w:color w:val="000000"/>
        <w:position w:val="0"/>
        <w:rtl w:val="0"/>
      </w:rPr>
    </w:lvl>
    <w:lvl w:ilvl="8">
      <w:start w:val="1"/>
      <w:numFmt w:val="lowerLetter"/>
      <w:lvlText w:val="%9."/>
      <w:lvlJc w:val="left"/>
      <w:rPr>
        <w:color w:val="000000"/>
        <w:position w:val="0"/>
        <w:rtl w:val="0"/>
      </w:rPr>
    </w:lvl>
  </w:abstractNum>
  <w:abstractNum w:abstractNumId="3" w15:restartNumberingAfterBreak="0">
    <w:nsid w:val="20435738"/>
    <w:multiLevelType w:val="multilevel"/>
    <w:tmpl w:val="A822BC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6DA3D95"/>
    <w:multiLevelType w:val="multilevel"/>
    <w:tmpl w:val="89D66C2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81E0A19"/>
    <w:multiLevelType w:val="multilevel"/>
    <w:tmpl w:val="3A0070D6"/>
    <w:styleLink w:val="List31"/>
    <w:lvl w:ilvl="0">
      <w:start w:val="1"/>
      <w:numFmt w:val="lowerLetter"/>
      <w:lvlText w:val="%1."/>
      <w:lvlJc w:val="left"/>
      <w:rPr>
        <w:color w:val="000000"/>
        <w:position w:val="0"/>
        <w:rtl w:val="0"/>
      </w:rPr>
    </w:lvl>
    <w:lvl w:ilvl="1">
      <w:start w:val="1"/>
      <w:numFmt w:val="lowerLetter"/>
      <w:lvlText w:val="%2."/>
      <w:lvlJc w:val="left"/>
      <w:rPr>
        <w:color w:val="000000"/>
        <w:position w:val="0"/>
        <w:rtl w:val="0"/>
      </w:rPr>
    </w:lvl>
    <w:lvl w:ilvl="2">
      <w:start w:val="1"/>
      <w:numFmt w:val="lowerLetter"/>
      <w:lvlText w:val="%3."/>
      <w:lvlJc w:val="left"/>
      <w:rPr>
        <w:color w:val="000000"/>
        <w:position w:val="0"/>
        <w:rtl w:val="0"/>
      </w:rPr>
    </w:lvl>
    <w:lvl w:ilvl="3">
      <w:start w:val="1"/>
      <w:numFmt w:val="lowerLetter"/>
      <w:lvlText w:val="%4."/>
      <w:lvlJc w:val="left"/>
      <w:rPr>
        <w:color w:val="000000"/>
        <w:position w:val="0"/>
        <w:rtl w:val="0"/>
      </w:rPr>
    </w:lvl>
    <w:lvl w:ilvl="4">
      <w:start w:val="1"/>
      <w:numFmt w:val="lowerLetter"/>
      <w:lvlText w:val="%5."/>
      <w:lvlJc w:val="left"/>
      <w:rPr>
        <w:color w:val="000000"/>
        <w:position w:val="0"/>
        <w:rtl w:val="0"/>
      </w:rPr>
    </w:lvl>
    <w:lvl w:ilvl="5">
      <w:start w:val="1"/>
      <w:numFmt w:val="lowerLetter"/>
      <w:lvlText w:val="%6."/>
      <w:lvlJc w:val="left"/>
      <w:rPr>
        <w:color w:val="000000"/>
        <w:position w:val="0"/>
        <w:rtl w:val="0"/>
      </w:rPr>
    </w:lvl>
    <w:lvl w:ilvl="6">
      <w:start w:val="1"/>
      <w:numFmt w:val="lowerLetter"/>
      <w:lvlText w:val="%7."/>
      <w:lvlJc w:val="left"/>
      <w:rPr>
        <w:color w:val="000000"/>
        <w:position w:val="0"/>
        <w:rtl w:val="0"/>
      </w:rPr>
    </w:lvl>
    <w:lvl w:ilvl="7">
      <w:start w:val="1"/>
      <w:numFmt w:val="lowerLetter"/>
      <w:lvlText w:val="%8."/>
      <w:lvlJc w:val="left"/>
      <w:rPr>
        <w:color w:val="000000"/>
        <w:position w:val="0"/>
        <w:rtl w:val="0"/>
      </w:rPr>
    </w:lvl>
    <w:lvl w:ilvl="8">
      <w:start w:val="1"/>
      <w:numFmt w:val="lowerLetter"/>
      <w:lvlText w:val="%9."/>
      <w:lvlJc w:val="left"/>
      <w:rPr>
        <w:color w:val="000000"/>
        <w:position w:val="0"/>
        <w:rtl w:val="0"/>
      </w:rPr>
    </w:lvl>
  </w:abstractNum>
  <w:abstractNum w:abstractNumId="6" w15:restartNumberingAfterBreak="0">
    <w:nsid w:val="5BAD4F14"/>
    <w:multiLevelType w:val="hybridMultilevel"/>
    <w:tmpl w:val="EAF0A5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649B478F"/>
    <w:multiLevelType w:val="hybridMultilevel"/>
    <w:tmpl w:val="F3EA1A6A"/>
    <w:lvl w:ilvl="0" w:tplc="9002320A">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7BC57C91"/>
    <w:multiLevelType w:val="hybridMultilevel"/>
    <w:tmpl w:val="35347AD6"/>
    <w:lvl w:ilvl="0" w:tplc="91E6BE4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4"/>
    <w:lvlOverride w:ilvl="2">
      <w:lvl w:ilvl="2">
        <w:numFmt w:val="bullet"/>
        <w:lvlText w:val=""/>
        <w:lvlJc w:val="left"/>
        <w:pPr>
          <w:tabs>
            <w:tab w:val="num" w:pos="2160"/>
          </w:tabs>
          <w:ind w:left="2160" w:hanging="360"/>
        </w:pPr>
        <w:rPr>
          <w:rFonts w:ascii="Symbol" w:hAnsi="Symbol" w:hint="default"/>
          <w:sz w:val="20"/>
        </w:rPr>
      </w:lvl>
    </w:lvlOverride>
  </w:num>
  <w:num w:numId="5">
    <w:abstractNumId w:val="4"/>
    <w:lvlOverride w:ilvl="2">
      <w:lvl w:ilvl="2">
        <w:numFmt w:val="decimal"/>
        <w:lvlText w:val="%3."/>
        <w:lvlJc w:val="left"/>
        <w:pPr>
          <w:tabs>
            <w:tab w:val="num" w:pos="2160"/>
          </w:tabs>
          <w:ind w:left="2160" w:hanging="360"/>
        </w:pPr>
      </w:lvl>
    </w:lvlOverride>
  </w:num>
  <w:num w:numId="6">
    <w:abstractNumId w:val="1"/>
  </w:num>
  <w:num w:numId="7">
    <w:abstractNumId w:val="6"/>
  </w:num>
  <w:num w:numId="8">
    <w:abstractNumId w:val="2"/>
  </w:num>
  <w:num w:numId="9">
    <w:abstractNumId w:val="5"/>
  </w:num>
  <w:num w:numId="10">
    <w:abstractNumId w:val="0"/>
  </w:num>
  <w:num w:numId="11">
    <w:abstractNumId w:val="8"/>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37D3"/>
    <w:rsid w:val="001B5352"/>
    <w:rsid w:val="001D43B0"/>
    <w:rsid w:val="00343FBE"/>
    <w:rsid w:val="00372455"/>
    <w:rsid w:val="003E37D3"/>
    <w:rsid w:val="003F241B"/>
    <w:rsid w:val="004C3FB0"/>
    <w:rsid w:val="005963ED"/>
    <w:rsid w:val="00725ADB"/>
    <w:rsid w:val="00745158"/>
    <w:rsid w:val="007C5007"/>
    <w:rsid w:val="00811E8A"/>
    <w:rsid w:val="008B2A5A"/>
    <w:rsid w:val="008E2932"/>
    <w:rsid w:val="008F52F9"/>
    <w:rsid w:val="009D5161"/>
    <w:rsid w:val="00A0180B"/>
    <w:rsid w:val="00A14618"/>
    <w:rsid w:val="00A16C9E"/>
    <w:rsid w:val="00B10A39"/>
    <w:rsid w:val="00C549A0"/>
    <w:rsid w:val="00DC085F"/>
    <w:rsid w:val="00E161DF"/>
    <w:rsid w:val="00F27E11"/>
    <w:rsid w:val="00FB5BA9"/>
    <w:rsid w:val="00FD78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6EE3E39-4658-4719-9E88-C4498E800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61DF"/>
    <w:pPr>
      <w:spacing w:after="0" w:line="240" w:lineRule="auto"/>
    </w:pPr>
    <w:rPr>
      <w:rFonts w:ascii="Times New Roman" w:eastAsia="Times New Roman" w:hAnsi="Times New Roman" w:cs="Times New Roman"/>
      <w:sz w:val="20"/>
      <w:szCs w:val="20"/>
    </w:rPr>
  </w:style>
  <w:style w:type="paragraph" w:styleId="Heading2">
    <w:name w:val="heading 2"/>
    <w:basedOn w:val="Normal"/>
    <w:next w:val="Normal"/>
    <w:link w:val="Heading2Char"/>
    <w:uiPriority w:val="9"/>
    <w:semiHidden/>
    <w:unhideWhenUsed/>
    <w:qFormat/>
    <w:rsid w:val="00DC085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DC085F"/>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6">
    <w:name w:val="heading 6"/>
    <w:basedOn w:val="Normal"/>
    <w:next w:val="Normal"/>
    <w:link w:val="Heading6Char1"/>
    <w:uiPriority w:val="99"/>
    <w:qFormat/>
    <w:rsid w:val="00E161DF"/>
    <w:pPr>
      <w:keepNext/>
      <w:widowControl w:val="0"/>
      <w:numPr>
        <w:ilvl w:val="5"/>
      </w:numPr>
      <w:tabs>
        <w:tab w:val="left" w:pos="1152"/>
      </w:tabs>
      <w:autoSpaceDN w:val="0"/>
      <w:adjustRightInd w:val="0"/>
      <w:spacing w:line="200" w:lineRule="atLeast"/>
      <w:ind w:left="1152" w:hanging="1152"/>
      <w:jc w:val="center"/>
      <w:outlineLvl w:val="5"/>
    </w:pPr>
    <w:rPr>
      <w:b/>
      <w:bCs/>
      <w:kern w:val="1"/>
      <w:sz w:val="22"/>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uiPriority w:val="9"/>
    <w:semiHidden/>
    <w:rsid w:val="00E161DF"/>
    <w:rPr>
      <w:rFonts w:asciiTheme="majorHAnsi" w:eastAsiaTheme="majorEastAsia" w:hAnsiTheme="majorHAnsi" w:cstheme="majorBidi"/>
      <w:color w:val="1F4D78" w:themeColor="accent1" w:themeShade="7F"/>
      <w:sz w:val="20"/>
      <w:szCs w:val="20"/>
    </w:rPr>
  </w:style>
  <w:style w:type="character" w:customStyle="1" w:styleId="Heading6Char1">
    <w:name w:val="Heading 6 Char1"/>
    <w:basedOn w:val="DefaultParagraphFont"/>
    <w:link w:val="Heading6"/>
    <w:uiPriority w:val="99"/>
    <w:rsid w:val="00E161DF"/>
    <w:rPr>
      <w:rFonts w:ascii="Times New Roman" w:eastAsia="Times New Roman" w:hAnsi="Times New Roman" w:cs="Times New Roman"/>
      <w:b/>
      <w:bCs/>
      <w:kern w:val="1"/>
      <w:u w:val="single"/>
    </w:rPr>
  </w:style>
  <w:style w:type="paragraph" w:styleId="Header">
    <w:name w:val="header"/>
    <w:basedOn w:val="Normal"/>
    <w:link w:val="Head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HeaderChar">
    <w:name w:val="Header Char"/>
    <w:basedOn w:val="DefaultParagraphFont"/>
    <w:uiPriority w:val="99"/>
    <w:semiHidden/>
    <w:rsid w:val="00E161DF"/>
    <w:rPr>
      <w:rFonts w:ascii="Times New Roman" w:eastAsia="Times New Roman" w:hAnsi="Times New Roman" w:cs="Times New Roman"/>
      <w:sz w:val="20"/>
      <w:szCs w:val="20"/>
    </w:rPr>
  </w:style>
  <w:style w:type="character" w:customStyle="1" w:styleId="HeaderChar1">
    <w:name w:val="Header Char1"/>
    <w:basedOn w:val="DefaultParagraphFont"/>
    <w:link w:val="Header"/>
    <w:uiPriority w:val="99"/>
    <w:rsid w:val="00E161DF"/>
    <w:rPr>
      <w:rFonts w:ascii="Times New Roman" w:eastAsia="Times New Roman" w:hAnsi="Times New Roman" w:cs="Times New Roman"/>
      <w:kern w:val="1"/>
    </w:rPr>
  </w:style>
  <w:style w:type="paragraph" w:styleId="Footer">
    <w:name w:val="footer"/>
    <w:basedOn w:val="Normal"/>
    <w:link w:val="Foot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FooterChar">
    <w:name w:val="Footer Char"/>
    <w:basedOn w:val="DefaultParagraphFont"/>
    <w:uiPriority w:val="99"/>
    <w:semiHidden/>
    <w:rsid w:val="00E161DF"/>
    <w:rPr>
      <w:rFonts w:ascii="Times New Roman" w:eastAsia="Times New Roman" w:hAnsi="Times New Roman" w:cs="Times New Roman"/>
      <w:sz w:val="20"/>
      <w:szCs w:val="20"/>
    </w:rPr>
  </w:style>
  <w:style w:type="character" w:customStyle="1" w:styleId="FooterChar1">
    <w:name w:val="Footer Char1"/>
    <w:basedOn w:val="DefaultParagraphFont"/>
    <w:link w:val="Footer"/>
    <w:uiPriority w:val="99"/>
    <w:rsid w:val="00E161DF"/>
    <w:rPr>
      <w:rFonts w:ascii="Times New Roman" w:eastAsia="Times New Roman" w:hAnsi="Times New Roman" w:cs="Times New Roman"/>
      <w:kern w:val="1"/>
    </w:rPr>
  </w:style>
  <w:style w:type="paragraph" w:styleId="ListParagraph">
    <w:name w:val="List Paragraph"/>
    <w:basedOn w:val="Normal"/>
    <w:uiPriority w:val="34"/>
    <w:qFormat/>
    <w:rsid w:val="00E161DF"/>
    <w:pPr>
      <w:widowControl w:val="0"/>
      <w:autoSpaceDN w:val="0"/>
      <w:adjustRightInd w:val="0"/>
      <w:spacing w:after="200" w:line="276" w:lineRule="auto"/>
      <w:ind w:left="720"/>
    </w:pPr>
    <w:rPr>
      <w:kern w:val="1"/>
      <w:sz w:val="22"/>
      <w:szCs w:val="22"/>
    </w:rPr>
  </w:style>
  <w:style w:type="character" w:styleId="Hyperlink">
    <w:name w:val="Hyperlink"/>
    <w:basedOn w:val="DefaultParagraphFont"/>
    <w:uiPriority w:val="99"/>
    <w:unhideWhenUsed/>
    <w:rsid w:val="00E161DF"/>
    <w:rPr>
      <w:color w:val="0563C1" w:themeColor="hyperlink"/>
      <w:u w:val="single"/>
    </w:rPr>
  </w:style>
  <w:style w:type="table" w:styleId="TableGrid">
    <w:name w:val="Table Grid"/>
    <w:basedOn w:val="TableNormal"/>
    <w:uiPriority w:val="59"/>
    <w:rsid w:val="00E161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27E11"/>
    <w:rPr>
      <w:color w:val="954F72" w:themeColor="followedHyperlink"/>
      <w:u w:val="single"/>
    </w:rPr>
  </w:style>
  <w:style w:type="character" w:customStyle="1" w:styleId="Heading2Char">
    <w:name w:val="Heading 2 Char"/>
    <w:basedOn w:val="DefaultParagraphFont"/>
    <w:link w:val="Heading2"/>
    <w:uiPriority w:val="9"/>
    <w:semiHidden/>
    <w:rsid w:val="00DC085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DC085F"/>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DC085F"/>
    <w:pPr>
      <w:spacing w:after="165"/>
    </w:pPr>
    <w:rPr>
      <w:sz w:val="24"/>
      <w:szCs w:val="24"/>
      <w:lang w:eastAsia="en-GB"/>
    </w:rPr>
  </w:style>
  <w:style w:type="paragraph" w:styleId="BalloonText">
    <w:name w:val="Balloon Text"/>
    <w:basedOn w:val="Normal"/>
    <w:link w:val="BalloonTextChar"/>
    <w:uiPriority w:val="99"/>
    <w:semiHidden/>
    <w:unhideWhenUsed/>
    <w:rsid w:val="00725AD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5ADB"/>
    <w:rPr>
      <w:rFonts w:ascii="Segoe UI" w:eastAsia="Times New Roman" w:hAnsi="Segoe UI" w:cs="Segoe UI"/>
      <w:sz w:val="18"/>
      <w:szCs w:val="18"/>
    </w:rPr>
  </w:style>
  <w:style w:type="paragraph" w:customStyle="1" w:styleId="BodyA">
    <w:name w:val="Body A"/>
    <w:rsid w:val="004C3FB0"/>
    <w:pPr>
      <w:pBdr>
        <w:top w:val="nil"/>
        <w:left w:val="nil"/>
        <w:bottom w:val="nil"/>
        <w:right w:val="nil"/>
        <w:between w:val="nil"/>
        <w:bar w:val="nil"/>
      </w:pBdr>
      <w:spacing w:after="0" w:line="240" w:lineRule="auto"/>
    </w:pPr>
    <w:rPr>
      <w:rFonts w:ascii="Helvetica" w:eastAsia="Arial Unicode MS" w:hAnsi="Arial Unicode MS" w:cs="Arial Unicode MS"/>
      <w:color w:val="000000"/>
      <w:u w:color="000000"/>
      <w:bdr w:val="nil"/>
      <w:lang w:val="en-US"/>
    </w:rPr>
  </w:style>
  <w:style w:type="numbering" w:customStyle="1" w:styleId="List21">
    <w:name w:val="List 21"/>
    <w:basedOn w:val="NoList"/>
    <w:rsid w:val="004C3FB0"/>
    <w:pPr>
      <w:numPr>
        <w:numId w:val="8"/>
      </w:numPr>
    </w:pPr>
  </w:style>
  <w:style w:type="numbering" w:customStyle="1" w:styleId="List31">
    <w:name w:val="List 31"/>
    <w:basedOn w:val="NoList"/>
    <w:rsid w:val="004C3FB0"/>
    <w:pPr>
      <w:numPr>
        <w:numId w:val="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7354994">
      <w:bodyDiv w:val="1"/>
      <w:marLeft w:val="0"/>
      <w:marRight w:val="0"/>
      <w:marTop w:val="0"/>
      <w:marBottom w:val="0"/>
      <w:divBdr>
        <w:top w:val="none" w:sz="0" w:space="0" w:color="auto"/>
        <w:left w:val="none" w:sz="0" w:space="0" w:color="auto"/>
        <w:bottom w:val="none" w:sz="0" w:space="0" w:color="auto"/>
        <w:right w:val="none" w:sz="0" w:space="0" w:color="auto"/>
      </w:divBdr>
    </w:div>
    <w:div w:id="1947812731">
      <w:bodyDiv w:val="1"/>
      <w:marLeft w:val="0"/>
      <w:marRight w:val="0"/>
      <w:marTop w:val="0"/>
      <w:marBottom w:val="0"/>
      <w:divBdr>
        <w:top w:val="none" w:sz="0" w:space="0" w:color="auto"/>
        <w:left w:val="none" w:sz="0" w:space="0" w:color="auto"/>
        <w:bottom w:val="none" w:sz="0" w:space="0" w:color="auto"/>
        <w:right w:val="none" w:sz="0" w:space="0" w:color="auto"/>
      </w:divBdr>
      <w:divsChild>
        <w:div w:id="1317996471">
          <w:marLeft w:val="0"/>
          <w:marRight w:val="0"/>
          <w:marTop w:val="0"/>
          <w:marBottom w:val="0"/>
          <w:divBdr>
            <w:top w:val="none" w:sz="0" w:space="0" w:color="auto"/>
            <w:left w:val="none" w:sz="0" w:space="0" w:color="auto"/>
            <w:bottom w:val="none" w:sz="0" w:space="0" w:color="auto"/>
            <w:right w:val="none" w:sz="0" w:space="0" w:color="auto"/>
          </w:divBdr>
          <w:divsChild>
            <w:div w:id="1422726828">
              <w:marLeft w:val="0"/>
              <w:marRight w:val="0"/>
              <w:marTop w:val="0"/>
              <w:marBottom w:val="0"/>
              <w:divBdr>
                <w:top w:val="none" w:sz="0" w:space="0" w:color="auto"/>
                <w:left w:val="none" w:sz="0" w:space="0" w:color="auto"/>
                <w:bottom w:val="none" w:sz="0" w:space="0" w:color="auto"/>
                <w:right w:val="none" w:sz="0" w:space="0" w:color="auto"/>
              </w:divBdr>
              <w:divsChild>
                <w:div w:id="460803376">
                  <w:marLeft w:val="0"/>
                  <w:marRight w:val="0"/>
                  <w:marTop w:val="0"/>
                  <w:marBottom w:val="0"/>
                  <w:divBdr>
                    <w:top w:val="none" w:sz="0" w:space="0" w:color="auto"/>
                    <w:left w:val="none" w:sz="0" w:space="0" w:color="auto"/>
                    <w:bottom w:val="none" w:sz="0" w:space="0" w:color="auto"/>
                    <w:right w:val="none" w:sz="0" w:space="0" w:color="auto"/>
                  </w:divBdr>
                  <w:divsChild>
                    <w:div w:id="49809152">
                      <w:marLeft w:val="0"/>
                      <w:marRight w:val="0"/>
                      <w:marTop w:val="0"/>
                      <w:marBottom w:val="0"/>
                      <w:divBdr>
                        <w:top w:val="none" w:sz="0" w:space="0" w:color="auto"/>
                        <w:left w:val="none" w:sz="0" w:space="0" w:color="auto"/>
                        <w:bottom w:val="none" w:sz="0" w:space="0" w:color="auto"/>
                        <w:right w:val="none" w:sz="0" w:space="0" w:color="auto"/>
                      </w:divBdr>
                      <w:divsChild>
                        <w:div w:id="1646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1AA3DB8D</Template>
  <TotalTime>29</TotalTime>
  <Pages>2</Pages>
  <Words>550</Words>
  <Characters>3139</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3682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Cochrane, Catherine</dc:creator>
  <cp:keywords/>
  <dc:description/>
  <cp:lastModifiedBy>Harris, Carole</cp:lastModifiedBy>
  <cp:revision>12</cp:revision>
  <dcterms:created xsi:type="dcterms:W3CDTF">2018-08-09T12:40:00Z</dcterms:created>
  <dcterms:modified xsi:type="dcterms:W3CDTF">2018-11-20T11:21:00Z</dcterms:modified>
</cp:coreProperties>
</file>