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7246" w:rsidRDefault="00DA7246" w:rsidP="00DA7246">
      <w:pPr>
        <w:pStyle w:val="Heading2"/>
        <w:rPr>
          <w:rFonts w:ascii="Arial" w:hAnsi="Arial" w:cs="Arial"/>
          <w:b/>
          <w:color w:val="000000" w:themeColor="text1"/>
          <w:sz w:val="22"/>
          <w:szCs w:val="22"/>
        </w:rPr>
      </w:pPr>
      <w:r w:rsidRPr="00DA7246">
        <w:rPr>
          <w:rFonts w:ascii="Arial" w:hAnsi="Arial" w:cs="Arial"/>
          <w:b/>
          <w:color w:val="000000" w:themeColor="text1"/>
          <w:sz w:val="22"/>
          <w:szCs w:val="22"/>
        </w:rPr>
        <w:t>Magnetic Resonance Lab</w:t>
      </w:r>
    </w:p>
    <w:p w:rsidR="00DA7246" w:rsidRPr="00DA7246" w:rsidRDefault="00DA7246" w:rsidP="00DA7246"/>
    <w:p w:rsidR="00802F32" w:rsidRPr="00802F32" w:rsidRDefault="00DA7246" w:rsidP="00DA7246">
      <w:pPr>
        <w:ind w:left="567" w:hanging="567"/>
        <w:jc w:val="both"/>
        <w:rPr>
          <w:rFonts w:ascii="Arial" w:eastAsia="Calibri" w:hAnsi="Arial" w:cs="Arial"/>
          <w:b/>
          <w:sz w:val="22"/>
          <w:szCs w:val="22"/>
        </w:rPr>
      </w:pPr>
      <w:bookmarkStart w:id="0" w:name="_GoBack"/>
      <w:bookmarkEnd w:id="0"/>
      <w:r>
        <w:rPr>
          <w:rFonts w:ascii="Arial" w:eastAsia="Calibri" w:hAnsi="Arial" w:cs="Arial"/>
          <w:b/>
          <w:sz w:val="22"/>
          <w:szCs w:val="22"/>
        </w:rPr>
        <w:t>1</w:t>
      </w:r>
      <w:r>
        <w:rPr>
          <w:rFonts w:ascii="Arial" w:eastAsia="Calibri" w:hAnsi="Arial" w:cs="Arial"/>
          <w:b/>
          <w:sz w:val="22"/>
          <w:szCs w:val="22"/>
        </w:rPr>
        <w:tab/>
        <w:t>Aims</w:t>
      </w:r>
    </w:p>
    <w:p w:rsidR="00802F32" w:rsidRPr="00802F32" w:rsidRDefault="00802F32" w:rsidP="00802F32">
      <w:pPr>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The Centre highlights the breadth of research in the development and application of magnetic resonance techniques that is taking place at the University of Warwick. In particular, the focus of the Centre is built around the Magnetic Resonance (MR) laboratory in Millburn House, which houses state-of-the-art infrastructure for solid-state nuclear magnetic resonance (NMR) and electron spin resonance (ESR) techniques, as well as their combination in the dynamic nuclear polarisation (DNP) experiment.</w:t>
      </w:r>
    </w:p>
    <w:p w:rsidR="00802F32" w:rsidRPr="00802F32" w:rsidRDefault="00802F32" w:rsidP="00DA7246">
      <w:pPr>
        <w:ind w:left="567"/>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 xml:space="preserve">The Centre encourages cooperation between MR </w:t>
      </w:r>
      <w:proofErr w:type="spellStart"/>
      <w:r w:rsidRPr="00802F32">
        <w:rPr>
          <w:rFonts w:ascii="Arial" w:eastAsia="Calibri" w:hAnsi="Arial" w:cs="Arial"/>
          <w:sz w:val="22"/>
          <w:szCs w:val="22"/>
        </w:rPr>
        <w:t>spectroscopists</w:t>
      </w:r>
      <w:proofErr w:type="spellEnd"/>
      <w:r w:rsidRPr="00802F32">
        <w:rPr>
          <w:rFonts w:ascii="Arial" w:eastAsia="Calibri" w:hAnsi="Arial" w:cs="Arial"/>
          <w:sz w:val="22"/>
          <w:szCs w:val="22"/>
        </w:rPr>
        <w:t xml:space="preserve"> on the development of new techniques and methodologies so as to increase the sensitivity, resolution and information content (concerning structure and dynamics with atomic resolution) that can be extracted from MR experiments.</w:t>
      </w:r>
    </w:p>
    <w:p w:rsidR="00802F32" w:rsidRPr="00802F32" w:rsidRDefault="00802F32" w:rsidP="00DA7246">
      <w:pPr>
        <w:ind w:left="567"/>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The Centre showcases the wide range of applications of modern MR experiments, working with collaborators both within and outside the University, in academia and in industry.</w:t>
      </w:r>
    </w:p>
    <w:p w:rsidR="00802F32" w:rsidRPr="00802F32" w:rsidRDefault="00802F32" w:rsidP="00802F32">
      <w:pPr>
        <w:jc w:val="both"/>
        <w:rPr>
          <w:rFonts w:ascii="Arial" w:eastAsia="Calibri" w:hAnsi="Arial" w:cs="Arial"/>
          <w:sz w:val="22"/>
          <w:szCs w:val="22"/>
        </w:rPr>
      </w:pPr>
    </w:p>
    <w:p w:rsidR="00802F32" w:rsidRPr="00802F32" w:rsidRDefault="00DA7246" w:rsidP="00DA7246">
      <w:pPr>
        <w:ind w:left="567" w:hanging="567"/>
        <w:jc w:val="both"/>
        <w:rPr>
          <w:rFonts w:ascii="Arial" w:eastAsia="Calibri" w:hAnsi="Arial" w:cs="Arial"/>
          <w:b/>
          <w:sz w:val="22"/>
          <w:szCs w:val="22"/>
        </w:rPr>
      </w:pPr>
      <w:r>
        <w:rPr>
          <w:rFonts w:ascii="Arial" w:eastAsia="Calibri" w:hAnsi="Arial" w:cs="Arial"/>
          <w:b/>
          <w:sz w:val="22"/>
          <w:szCs w:val="22"/>
        </w:rPr>
        <w:t>2</w:t>
      </w:r>
      <w:r>
        <w:rPr>
          <w:rFonts w:ascii="Arial" w:eastAsia="Calibri" w:hAnsi="Arial" w:cs="Arial"/>
          <w:b/>
          <w:sz w:val="22"/>
          <w:szCs w:val="22"/>
        </w:rPr>
        <w:tab/>
        <w:t>Make-up and Membership</w:t>
      </w:r>
    </w:p>
    <w:p w:rsidR="00802F32" w:rsidRPr="00802F32" w:rsidRDefault="00802F32" w:rsidP="00802F32">
      <w:pPr>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The Warwick Centre for Magnetic Resonance (W-CMR) is a Category III centre (University Departmental Research Centre).</w:t>
      </w:r>
    </w:p>
    <w:p w:rsidR="00802F32" w:rsidRPr="00802F32" w:rsidRDefault="00802F32" w:rsidP="00DA7246">
      <w:pPr>
        <w:ind w:left="567"/>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The core academic members of the Centre are the full-time academic staff researching into the development and application of Magnetic Resonance techniques, who have offices in Millburn House. Other academic staff who develop and apply Magnetic Resonance techniques, for example in collaboration with the core members, are welcome to join as associate members.</w:t>
      </w:r>
    </w:p>
    <w:p w:rsidR="00802F32" w:rsidRPr="00802F32" w:rsidRDefault="00802F32" w:rsidP="00802F32">
      <w:pPr>
        <w:jc w:val="both"/>
        <w:rPr>
          <w:rFonts w:ascii="Arial" w:eastAsia="Calibri" w:hAnsi="Arial" w:cs="Arial"/>
          <w:sz w:val="22"/>
          <w:szCs w:val="22"/>
        </w:rPr>
      </w:pPr>
    </w:p>
    <w:p w:rsidR="00802F32" w:rsidRPr="00802F32" w:rsidRDefault="00DA7246" w:rsidP="00DA7246">
      <w:pPr>
        <w:ind w:left="567" w:hanging="567"/>
        <w:jc w:val="both"/>
        <w:rPr>
          <w:rFonts w:ascii="Arial" w:eastAsia="Calibri" w:hAnsi="Arial" w:cs="Arial"/>
          <w:b/>
          <w:sz w:val="22"/>
          <w:szCs w:val="22"/>
        </w:rPr>
      </w:pPr>
      <w:r>
        <w:rPr>
          <w:rFonts w:ascii="Arial" w:eastAsia="Calibri" w:hAnsi="Arial" w:cs="Arial"/>
          <w:b/>
          <w:sz w:val="22"/>
          <w:szCs w:val="22"/>
        </w:rPr>
        <w:t>3</w:t>
      </w:r>
      <w:r>
        <w:rPr>
          <w:rFonts w:ascii="Arial" w:eastAsia="Calibri" w:hAnsi="Arial" w:cs="Arial"/>
          <w:b/>
          <w:sz w:val="22"/>
          <w:szCs w:val="22"/>
        </w:rPr>
        <w:tab/>
        <w:t>Director</w:t>
      </w:r>
    </w:p>
    <w:p w:rsidR="00802F32" w:rsidRPr="00802F32" w:rsidRDefault="00802F32" w:rsidP="00802F32">
      <w:pPr>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 xml:space="preserve">Following the recommendation of the Head of Department of Physics in consultation with the core academic members of the Centre, the Director of the Centre is appointed by the Faculty of Science. </w:t>
      </w:r>
    </w:p>
    <w:p w:rsidR="00802F32" w:rsidRPr="00802F32" w:rsidRDefault="00802F32" w:rsidP="00DA7246">
      <w:pPr>
        <w:ind w:left="567"/>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 xml:space="preserve">The term of appointment is three years, and can be renewed. </w:t>
      </w:r>
    </w:p>
    <w:p w:rsidR="00802F32" w:rsidRPr="00802F32" w:rsidRDefault="00802F32" w:rsidP="00DA7246">
      <w:pPr>
        <w:ind w:left="567"/>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The Director of the Centre reports, in the first instance, to the Head of Department of Physics, providing other information to other University bodies, in particular the University Research Committee as requested.</w:t>
      </w:r>
    </w:p>
    <w:p w:rsidR="00802F32" w:rsidRPr="00802F32" w:rsidRDefault="00802F32" w:rsidP="00802F32">
      <w:pPr>
        <w:jc w:val="both"/>
        <w:rPr>
          <w:rFonts w:ascii="Arial" w:eastAsia="Calibri" w:hAnsi="Arial" w:cs="Arial"/>
          <w:sz w:val="22"/>
          <w:szCs w:val="22"/>
        </w:rPr>
      </w:pPr>
    </w:p>
    <w:p w:rsidR="00802F32" w:rsidRPr="00802F32" w:rsidRDefault="00DA7246" w:rsidP="00DA7246">
      <w:pPr>
        <w:ind w:left="567" w:hanging="567"/>
        <w:jc w:val="both"/>
        <w:rPr>
          <w:rFonts w:ascii="Arial" w:eastAsia="Calibri" w:hAnsi="Arial" w:cs="Arial"/>
          <w:b/>
          <w:sz w:val="22"/>
          <w:szCs w:val="22"/>
        </w:rPr>
      </w:pPr>
      <w:r>
        <w:rPr>
          <w:rFonts w:ascii="Arial" w:eastAsia="Calibri" w:hAnsi="Arial" w:cs="Arial"/>
          <w:b/>
          <w:sz w:val="22"/>
          <w:szCs w:val="22"/>
        </w:rPr>
        <w:t>4</w:t>
      </w:r>
      <w:r>
        <w:rPr>
          <w:rFonts w:ascii="Arial" w:eastAsia="Calibri" w:hAnsi="Arial" w:cs="Arial"/>
          <w:b/>
          <w:sz w:val="22"/>
          <w:szCs w:val="22"/>
        </w:rPr>
        <w:tab/>
      </w:r>
      <w:r w:rsidR="00802F32" w:rsidRPr="00802F32">
        <w:rPr>
          <w:rFonts w:ascii="Arial" w:eastAsia="Calibri" w:hAnsi="Arial" w:cs="Arial"/>
          <w:b/>
          <w:sz w:val="22"/>
          <w:szCs w:val="22"/>
        </w:rPr>
        <w:t>Management Committee</w:t>
      </w:r>
    </w:p>
    <w:p w:rsidR="00802F32" w:rsidRPr="00802F32" w:rsidRDefault="00802F32" w:rsidP="00802F32">
      <w:pPr>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 xml:space="preserve">The Management Committee of the Centre is made up of the core academic members. </w:t>
      </w:r>
    </w:p>
    <w:p w:rsidR="00802F32" w:rsidRPr="00802F32" w:rsidRDefault="00802F32" w:rsidP="00DA7246">
      <w:pPr>
        <w:ind w:left="567"/>
        <w:jc w:val="both"/>
        <w:rPr>
          <w:rFonts w:ascii="Arial" w:eastAsia="Calibri" w:hAnsi="Arial" w:cs="Arial"/>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As per the advice for category III centres in the University’s Guidelines on University Research Centres, the Centre does not have an Advisory Board.</w:t>
      </w:r>
    </w:p>
    <w:p w:rsidR="00802F32" w:rsidRPr="00802F32" w:rsidRDefault="00802F32" w:rsidP="00802F32">
      <w:pPr>
        <w:jc w:val="both"/>
        <w:rPr>
          <w:rFonts w:ascii="Arial" w:eastAsia="Calibri" w:hAnsi="Arial" w:cs="Arial"/>
          <w:sz w:val="22"/>
          <w:szCs w:val="22"/>
        </w:rPr>
      </w:pPr>
    </w:p>
    <w:p w:rsidR="00DA7246" w:rsidRDefault="00DA7246">
      <w:pPr>
        <w:spacing w:after="160" w:line="259" w:lineRule="auto"/>
        <w:rPr>
          <w:rFonts w:ascii="Arial" w:eastAsia="Calibri" w:hAnsi="Arial" w:cs="Arial"/>
          <w:b/>
          <w:sz w:val="22"/>
          <w:szCs w:val="22"/>
        </w:rPr>
      </w:pPr>
      <w:r>
        <w:rPr>
          <w:rFonts w:ascii="Arial" w:eastAsia="Calibri" w:hAnsi="Arial" w:cs="Arial"/>
          <w:b/>
          <w:sz w:val="22"/>
          <w:szCs w:val="22"/>
        </w:rPr>
        <w:br w:type="page"/>
      </w:r>
    </w:p>
    <w:p w:rsidR="00802F32" w:rsidRDefault="00DA7246" w:rsidP="00DA7246">
      <w:pPr>
        <w:ind w:left="567" w:hanging="567"/>
        <w:jc w:val="both"/>
        <w:rPr>
          <w:rFonts w:ascii="Arial" w:eastAsia="Calibri" w:hAnsi="Arial" w:cs="Arial"/>
          <w:b/>
          <w:sz w:val="22"/>
          <w:szCs w:val="22"/>
        </w:rPr>
      </w:pPr>
      <w:r>
        <w:rPr>
          <w:rFonts w:ascii="Arial" w:eastAsia="Calibri" w:hAnsi="Arial" w:cs="Arial"/>
          <w:b/>
          <w:sz w:val="22"/>
          <w:szCs w:val="22"/>
        </w:rPr>
        <w:lastRenderedPageBreak/>
        <w:t>5</w:t>
      </w:r>
      <w:r>
        <w:rPr>
          <w:rFonts w:ascii="Arial" w:eastAsia="Calibri" w:hAnsi="Arial" w:cs="Arial"/>
          <w:b/>
          <w:sz w:val="22"/>
          <w:szCs w:val="22"/>
        </w:rPr>
        <w:tab/>
      </w:r>
      <w:r w:rsidR="00802F32" w:rsidRPr="00802F32">
        <w:rPr>
          <w:rFonts w:ascii="Arial" w:eastAsia="Calibri" w:hAnsi="Arial" w:cs="Arial"/>
          <w:b/>
          <w:sz w:val="22"/>
          <w:szCs w:val="22"/>
        </w:rPr>
        <w:t xml:space="preserve">Financial Responsibility: </w:t>
      </w:r>
    </w:p>
    <w:p w:rsidR="00802F32" w:rsidRPr="00802F32" w:rsidRDefault="00802F32" w:rsidP="00802F32">
      <w:pPr>
        <w:jc w:val="both"/>
        <w:rPr>
          <w:rFonts w:ascii="Arial" w:eastAsia="Calibri" w:hAnsi="Arial" w:cs="Arial"/>
          <w:b/>
          <w:sz w:val="22"/>
          <w:szCs w:val="22"/>
        </w:rPr>
      </w:pPr>
    </w:p>
    <w:p w:rsidR="00802F32" w:rsidRPr="00802F32" w:rsidRDefault="00802F32" w:rsidP="00DA7246">
      <w:pPr>
        <w:ind w:left="567"/>
        <w:jc w:val="both"/>
        <w:rPr>
          <w:rFonts w:ascii="Arial" w:eastAsia="Calibri" w:hAnsi="Arial" w:cs="Arial"/>
          <w:sz w:val="22"/>
          <w:szCs w:val="22"/>
        </w:rPr>
      </w:pPr>
      <w:r w:rsidRPr="00802F32">
        <w:rPr>
          <w:rFonts w:ascii="Arial" w:eastAsia="Calibri" w:hAnsi="Arial" w:cs="Arial"/>
          <w:sz w:val="22"/>
          <w:szCs w:val="22"/>
        </w:rPr>
        <w:t>As a Category III Centre located within a parent Department, the Head of Department of Physics retains a formal responsibility for the financial operation of the Centre in line with the University’s Financial Regulations, in consultation with the Director of the Centre.</w:t>
      </w:r>
    </w:p>
    <w:p w:rsidR="00802F32" w:rsidRPr="00DC085F" w:rsidRDefault="00802F32" w:rsidP="00DC085F"/>
    <w:sectPr w:rsidR="00802F32" w:rsidRPr="00DC085F"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241B" w:rsidRDefault="008B2A5A">
      <w:r>
        <w:separator/>
      </w:r>
    </w:p>
  </w:endnote>
  <w:endnote w:type="continuationSeparator" w:id="0">
    <w:p w:rsidR="003F241B" w:rsidRDefault="008B2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E161DF">
    <w:pPr>
      <w:pStyle w:val="Footer"/>
      <w:spacing w:after="0" w:line="200" w:lineRule="atLeast"/>
      <w:jc w:val="right"/>
      <w:rPr>
        <w:szCs w:val="24"/>
      </w:rPr>
    </w:pPr>
    <w:r>
      <w:rPr>
        <w:szCs w:val="24"/>
      </w:rPr>
      <w:fldChar w:fldCharType="begin"/>
    </w:r>
    <w:r>
      <w:rPr>
        <w:szCs w:val="24"/>
      </w:rPr>
      <w:instrText xml:space="preserve"> PAGE </w:instrText>
    </w:r>
    <w:r>
      <w:rPr>
        <w:szCs w:val="24"/>
      </w:rPr>
      <w:fldChar w:fldCharType="separate"/>
    </w:r>
    <w:r w:rsidR="00C93C34">
      <w:rPr>
        <w:noProof/>
        <w:szCs w:val="24"/>
      </w:rPr>
      <w:t>2</w:t>
    </w:r>
    <w:r>
      <w:rPr>
        <w:szCs w:val="24"/>
      </w:rPr>
      <w:fldChar w:fldCharType="end"/>
    </w:r>
  </w:p>
  <w:p w:rsidR="00AE16A4" w:rsidRDefault="00C93C34">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241B" w:rsidRDefault="008B2A5A">
      <w:r>
        <w:separator/>
      </w:r>
    </w:p>
  </w:footnote>
  <w:footnote w:type="continuationSeparator" w:id="0">
    <w:p w:rsidR="003F241B" w:rsidRDefault="008B2A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16A4" w:rsidRDefault="00C93C34">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BAD4F14"/>
    <w:multiLevelType w:val="hybridMultilevel"/>
    <w:tmpl w:val="EAF0A5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2">
      <w:lvl w:ilvl="2">
        <w:numFmt w:val="bullet"/>
        <w:lvlText w:val=""/>
        <w:lvlJc w:val="left"/>
        <w:pPr>
          <w:tabs>
            <w:tab w:val="num" w:pos="2160"/>
          </w:tabs>
          <w:ind w:left="2160" w:hanging="360"/>
        </w:pPr>
        <w:rPr>
          <w:rFonts w:ascii="Symbol" w:hAnsi="Symbol" w:hint="default"/>
          <w:sz w:val="20"/>
        </w:rPr>
      </w:lvl>
    </w:lvlOverride>
  </w:num>
  <w:num w:numId="5">
    <w:abstractNumId w:val="2"/>
    <w:lvlOverride w:ilvl="2">
      <w:lvl w:ilvl="2">
        <w:numFmt w:val="decimal"/>
        <w:lvlText w:val="%3."/>
        <w:lvlJc w:val="left"/>
        <w:pPr>
          <w:tabs>
            <w:tab w:val="num" w:pos="2160"/>
          </w:tabs>
          <w:ind w:left="2160" w:hanging="360"/>
        </w:pPr>
      </w:lvl>
    </w:lvlOverride>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37D3"/>
    <w:rsid w:val="001B5352"/>
    <w:rsid w:val="001D43B0"/>
    <w:rsid w:val="00343FBE"/>
    <w:rsid w:val="00372455"/>
    <w:rsid w:val="003E37D3"/>
    <w:rsid w:val="003F241B"/>
    <w:rsid w:val="005963ED"/>
    <w:rsid w:val="00725ADB"/>
    <w:rsid w:val="00745158"/>
    <w:rsid w:val="007C5007"/>
    <w:rsid w:val="00802F32"/>
    <w:rsid w:val="00811E8A"/>
    <w:rsid w:val="008B2A5A"/>
    <w:rsid w:val="008F52F9"/>
    <w:rsid w:val="009D5161"/>
    <w:rsid w:val="00A14618"/>
    <w:rsid w:val="00A16C9E"/>
    <w:rsid w:val="00B10A39"/>
    <w:rsid w:val="00C549A0"/>
    <w:rsid w:val="00C93C34"/>
    <w:rsid w:val="00DA7246"/>
    <w:rsid w:val="00DC085F"/>
    <w:rsid w:val="00E161DF"/>
    <w:rsid w:val="00F27E11"/>
    <w:rsid w:val="00FB5B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6EE3E39-4658-4719-9E88-C4498E800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480D225</Template>
  <TotalTime>24</TotalTime>
  <Pages>2</Pages>
  <Words>380</Words>
  <Characters>2172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Carole</cp:lastModifiedBy>
  <cp:revision>11</cp:revision>
  <dcterms:created xsi:type="dcterms:W3CDTF">2018-08-09T12:40:00Z</dcterms:created>
  <dcterms:modified xsi:type="dcterms:W3CDTF">2018-11-20T11:23:00Z</dcterms:modified>
</cp:coreProperties>
</file>