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630C6" w14:textId="0DF770F3" w:rsidR="0058422E" w:rsidRPr="009F1F66" w:rsidRDefault="001F0676" w:rsidP="009F1F66">
      <w:pPr>
        <w:spacing w:before="120" w:line="240" w:lineRule="auto"/>
        <w:ind w:firstLine="357"/>
        <w:jc w:val="center"/>
        <w:rPr>
          <w:color w:val="1F497D"/>
        </w:rPr>
      </w:pPr>
      <w:r w:rsidRPr="000F26EA">
        <w:rPr>
          <w:rFonts w:asciiTheme="majorHAnsi" w:hAnsiTheme="majorHAnsi"/>
          <w:b/>
          <w:sz w:val="28"/>
          <w:szCs w:val="28"/>
        </w:rPr>
        <w:t>Immigration</w:t>
      </w:r>
      <w:r w:rsidR="00BB31BC">
        <w:rPr>
          <w:rFonts w:asciiTheme="majorHAnsi" w:hAnsiTheme="majorHAnsi"/>
          <w:b/>
          <w:sz w:val="28"/>
          <w:szCs w:val="28"/>
        </w:rPr>
        <w:t xml:space="preserve"> and</w:t>
      </w:r>
      <w:r w:rsidR="00CD4066" w:rsidRPr="000F26EA">
        <w:rPr>
          <w:rFonts w:asciiTheme="majorHAnsi" w:hAnsiTheme="majorHAnsi"/>
          <w:b/>
          <w:sz w:val="28"/>
          <w:szCs w:val="28"/>
        </w:rPr>
        <w:t xml:space="preserve"> Right to Work</w:t>
      </w:r>
      <w:r w:rsidR="002A347E" w:rsidRPr="000F26EA">
        <w:rPr>
          <w:rFonts w:asciiTheme="majorHAnsi" w:hAnsiTheme="majorHAnsi"/>
          <w:b/>
          <w:sz w:val="28"/>
          <w:szCs w:val="28"/>
        </w:rPr>
        <w:t xml:space="preserve"> </w:t>
      </w:r>
      <w:r w:rsidR="00FF02AB" w:rsidRPr="000F26EA">
        <w:rPr>
          <w:rFonts w:asciiTheme="majorHAnsi" w:hAnsiTheme="majorHAnsi"/>
          <w:b/>
          <w:sz w:val="28"/>
          <w:szCs w:val="28"/>
        </w:rPr>
        <w:t>U</w:t>
      </w:r>
      <w:r w:rsidR="00DE7E4D">
        <w:rPr>
          <w:rFonts w:asciiTheme="majorHAnsi" w:hAnsiTheme="majorHAnsi"/>
          <w:b/>
          <w:sz w:val="28"/>
          <w:szCs w:val="28"/>
        </w:rPr>
        <w:t xml:space="preserve">pdate – </w:t>
      </w:r>
      <w:r w:rsidR="0058422E">
        <w:rPr>
          <w:rFonts w:asciiTheme="majorHAnsi" w:hAnsiTheme="majorHAnsi"/>
          <w:b/>
          <w:sz w:val="28"/>
          <w:szCs w:val="28"/>
        </w:rPr>
        <w:t>March 2019</w:t>
      </w:r>
      <w:r w:rsidR="00B82C3B">
        <w:rPr>
          <w:rFonts w:asciiTheme="majorHAnsi" w:hAnsiTheme="majorHAnsi"/>
          <w:b/>
          <w:sz w:val="28"/>
          <w:szCs w:val="28"/>
        </w:rPr>
        <w:br/>
      </w:r>
      <w:r w:rsidR="009F1F66">
        <w:rPr>
          <w:rFonts w:asciiTheme="majorHAnsi" w:hAnsiTheme="majorHAnsi"/>
          <w:b/>
          <w:sz w:val="28"/>
          <w:szCs w:val="28"/>
        </w:rPr>
        <w:t xml:space="preserve"> </w:t>
      </w:r>
    </w:p>
    <w:p w14:paraId="7294BD81" w14:textId="594FC288" w:rsidR="00010D1B" w:rsidRPr="00D57076" w:rsidRDefault="00504408" w:rsidP="006A403F">
      <w:pPr>
        <w:pStyle w:val="ListParagraph"/>
        <w:numPr>
          <w:ilvl w:val="0"/>
          <w:numId w:val="7"/>
        </w:numPr>
        <w:rPr>
          <w:rFonts w:asciiTheme="majorHAnsi" w:hAnsiTheme="majorHAnsi" w:cs="Arial"/>
          <w:b/>
          <w:sz w:val="22"/>
          <w:szCs w:val="22"/>
          <w:lang w:val="en"/>
        </w:rPr>
      </w:pPr>
      <w:r w:rsidRPr="00D57076">
        <w:rPr>
          <w:rFonts w:asciiTheme="majorHAnsi" w:hAnsiTheme="majorHAnsi" w:cs="Arial"/>
          <w:b/>
          <w:sz w:val="22"/>
          <w:szCs w:val="22"/>
          <w:u w:val="single"/>
          <w:lang w:val="en"/>
        </w:rPr>
        <w:t xml:space="preserve">University </w:t>
      </w:r>
      <w:r w:rsidR="00010D1B" w:rsidRPr="00D57076">
        <w:rPr>
          <w:rFonts w:asciiTheme="majorHAnsi" w:hAnsiTheme="majorHAnsi" w:cs="Arial"/>
          <w:b/>
          <w:sz w:val="22"/>
          <w:szCs w:val="22"/>
          <w:u w:val="single"/>
          <w:lang w:val="en"/>
        </w:rPr>
        <w:t>Brexit Guidance</w:t>
      </w:r>
    </w:p>
    <w:p w14:paraId="515C2E68" w14:textId="4C1EA94F" w:rsidR="00010D1B" w:rsidRPr="00D57076" w:rsidRDefault="00010D1B" w:rsidP="00010D1B">
      <w:pPr>
        <w:pStyle w:val="ListParagraph"/>
        <w:ind w:left="1440"/>
        <w:rPr>
          <w:rFonts w:asciiTheme="majorHAnsi" w:hAnsiTheme="majorHAnsi" w:cs="Arial"/>
          <w:b/>
          <w:sz w:val="22"/>
          <w:szCs w:val="22"/>
          <w:u w:val="single"/>
          <w:lang w:val="en"/>
        </w:rPr>
      </w:pPr>
    </w:p>
    <w:p w14:paraId="095FB91C" w14:textId="33D45FAC" w:rsidR="007966C2" w:rsidRPr="00D57076" w:rsidRDefault="00010D1B" w:rsidP="00010D1B">
      <w:pPr>
        <w:pStyle w:val="ListParagraph"/>
        <w:ind w:left="1440"/>
        <w:rPr>
          <w:rFonts w:asciiTheme="majorHAnsi" w:hAnsiTheme="majorHAnsi" w:cstheme="majorHAnsi"/>
          <w:sz w:val="22"/>
          <w:szCs w:val="22"/>
          <w:lang w:val="en"/>
        </w:rPr>
      </w:pPr>
      <w:r w:rsidRPr="00D57076">
        <w:rPr>
          <w:rFonts w:asciiTheme="majorHAnsi" w:hAnsiTheme="majorHAnsi" w:cstheme="majorHAnsi"/>
          <w:sz w:val="22"/>
          <w:szCs w:val="22"/>
          <w:lang w:val="en"/>
        </w:rPr>
        <w:t>The University has set up a webpage which provides</w:t>
      </w:r>
      <w:r w:rsidR="00B12B12" w:rsidRPr="00D57076">
        <w:rPr>
          <w:rFonts w:asciiTheme="majorHAnsi" w:hAnsiTheme="majorHAnsi" w:cstheme="majorHAnsi"/>
          <w:sz w:val="22"/>
          <w:szCs w:val="22"/>
          <w:lang w:val="en"/>
        </w:rPr>
        <w:t xml:space="preserve"> updated</w:t>
      </w:r>
      <w:r w:rsidRPr="00D57076">
        <w:rPr>
          <w:rFonts w:asciiTheme="majorHAnsi" w:hAnsiTheme="majorHAnsi" w:cstheme="majorHAnsi"/>
          <w:sz w:val="22"/>
          <w:szCs w:val="22"/>
          <w:lang w:val="en"/>
        </w:rPr>
        <w:t xml:space="preserve"> information for departments, staff and students about how Brexit may</w:t>
      </w:r>
      <w:r w:rsidR="00B12B12" w:rsidRPr="00D57076">
        <w:rPr>
          <w:rFonts w:asciiTheme="majorHAnsi" w:hAnsiTheme="majorHAnsi" w:cstheme="majorHAnsi"/>
          <w:sz w:val="22"/>
          <w:szCs w:val="22"/>
          <w:lang w:val="en"/>
        </w:rPr>
        <w:t xml:space="preserve"> impact work or study arrangements in the UK.  As well as information for E</w:t>
      </w:r>
      <w:r w:rsidR="007966C2" w:rsidRPr="00D57076">
        <w:rPr>
          <w:rFonts w:asciiTheme="majorHAnsi" w:hAnsiTheme="majorHAnsi" w:cstheme="majorHAnsi"/>
          <w:sz w:val="22"/>
          <w:szCs w:val="22"/>
          <w:lang w:val="en"/>
        </w:rPr>
        <w:t>EA</w:t>
      </w:r>
      <w:r w:rsidR="00B12B12" w:rsidRPr="00D57076">
        <w:rPr>
          <w:rFonts w:asciiTheme="majorHAnsi" w:hAnsiTheme="majorHAnsi" w:cstheme="majorHAnsi"/>
          <w:sz w:val="22"/>
          <w:szCs w:val="22"/>
          <w:lang w:val="en"/>
        </w:rPr>
        <w:t xml:space="preserve"> nationals, it also includes </w:t>
      </w:r>
      <w:r w:rsidR="007966C2" w:rsidRPr="00D57076">
        <w:rPr>
          <w:rFonts w:asciiTheme="majorHAnsi" w:hAnsiTheme="majorHAnsi" w:cstheme="majorHAnsi"/>
          <w:sz w:val="22"/>
          <w:szCs w:val="22"/>
          <w:lang w:val="en"/>
        </w:rPr>
        <w:t>travel information for UK</w:t>
      </w:r>
      <w:r w:rsidR="00B12B12" w:rsidRPr="00D57076">
        <w:rPr>
          <w:rFonts w:asciiTheme="majorHAnsi" w:hAnsiTheme="majorHAnsi" w:cstheme="majorHAnsi"/>
          <w:sz w:val="22"/>
          <w:szCs w:val="22"/>
          <w:lang w:val="en"/>
        </w:rPr>
        <w:t xml:space="preserve"> natio</w:t>
      </w:r>
      <w:r w:rsidR="007966C2" w:rsidRPr="00D57076">
        <w:rPr>
          <w:rFonts w:asciiTheme="majorHAnsi" w:hAnsiTheme="majorHAnsi" w:cstheme="majorHAnsi"/>
          <w:sz w:val="22"/>
          <w:szCs w:val="22"/>
          <w:lang w:val="en"/>
        </w:rPr>
        <w:t>nals who may be trav</w:t>
      </w:r>
      <w:r w:rsidR="00B12B12" w:rsidRPr="00D57076">
        <w:rPr>
          <w:rFonts w:asciiTheme="majorHAnsi" w:hAnsiTheme="majorHAnsi" w:cstheme="majorHAnsi"/>
          <w:sz w:val="22"/>
          <w:szCs w:val="22"/>
          <w:lang w:val="en"/>
        </w:rPr>
        <w:t>elling to Europe</w:t>
      </w:r>
      <w:r w:rsidR="007966C2" w:rsidRPr="00D57076">
        <w:rPr>
          <w:rFonts w:asciiTheme="majorHAnsi" w:hAnsiTheme="majorHAnsi" w:cstheme="majorHAnsi"/>
          <w:sz w:val="22"/>
          <w:szCs w:val="22"/>
          <w:lang w:val="en"/>
        </w:rPr>
        <w:t xml:space="preserve">. The link to the webpage is </w:t>
      </w:r>
      <w:hyperlink r:id="rId8" w:history="1">
        <w:r w:rsidR="007966C2" w:rsidRPr="00D57076">
          <w:rPr>
            <w:rStyle w:val="Hyperlink"/>
            <w:rFonts w:asciiTheme="majorHAnsi" w:hAnsiTheme="majorHAnsi" w:cstheme="majorHAnsi"/>
            <w:color w:val="auto"/>
            <w:sz w:val="22"/>
            <w:szCs w:val="22"/>
            <w:lang w:val="en"/>
          </w:rPr>
          <w:t>here</w:t>
        </w:r>
      </w:hyperlink>
      <w:r w:rsidR="007966C2" w:rsidRPr="00D57076">
        <w:rPr>
          <w:rFonts w:asciiTheme="majorHAnsi" w:hAnsiTheme="majorHAnsi" w:cstheme="majorHAnsi"/>
          <w:sz w:val="22"/>
          <w:szCs w:val="22"/>
          <w:lang w:val="en"/>
        </w:rPr>
        <w:t xml:space="preserve">.  </w:t>
      </w:r>
    </w:p>
    <w:p w14:paraId="48ACC70E" w14:textId="77777777" w:rsidR="007966C2" w:rsidRPr="00D57076" w:rsidRDefault="007966C2" w:rsidP="00010D1B">
      <w:pPr>
        <w:pStyle w:val="ListParagraph"/>
        <w:ind w:left="1440"/>
        <w:rPr>
          <w:rFonts w:asciiTheme="majorHAnsi" w:hAnsiTheme="majorHAnsi" w:cstheme="majorHAnsi"/>
          <w:sz w:val="22"/>
          <w:szCs w:val="22"/>
          <w:lang w:val="en"/>
        </w:rPr>
      </w:pPr>
    </w:p>
    <w:p w14:paraId="12D96E2B" w14:textId="3942652C" w:rsidR="007966C2" w:rsidRPr="00D57076" w:rsidRDefault="007966C2" w:rsidP="00010D1B">
      <w:pPr>
        <w:pStyle w:val="ListParagraph"/>
        <w:ind w:left="1440"/>
        <w:rPr>
          <w:rFonts w:asciiTheme="majorHAnsi" w:hAnsiTheme="majorHAnsi" w:cstheme="majorHAnsi"/>
          <w:sz w:val="22"/>
          <w:szCs w:val="22"/>
          <w:lang w:val="en"/>
        </w:rPr>
      </w:pPr>
      <w:r w:rsidRPr="00D57076">
        <w:rPr>
          <w:rFonts w:asciiTheme="majorHAnsi" w:hAnsiTheme="majorHAnsi" w:cstheme="majorHAnsi"/>
          <w:sz w:val="22"/>
          <w:szCs w:val="22"/>
          <w:lang w:val="en"/>
        </w:rPr>
        <w:t>The HR webpage for EEA nationals</w:t>
      </w:r>
      <w:r w:rsidR="00275B52" w:rsidRPr="00D57076">
        <w:rPr>
          <w:rFonts w:asciiTheme="majorHAnsi" w:hAnsiTheme="majorHAnsi" w:cstheme="majorHAnsi"/>
          <w:sz w:val="22"/>
          <w:szCs w:val="22"/>
          <w:lang w:val="en"/>
        </w:rPr>
        <w:t xml:space="preserve"> </w:t>
      </w:r>
      <w:hyperlink r:id="rId9" w:history="1">
        <w:r w:rsidR="00275B52" w:rsidRPr="00D57076">
          <w:rPr>
            <w:rStyle w:val="Hyperlink"/>
            <w:rFonts w:asciiTheme="majorHAnsi" w:hAnsiTheme="majorHAnsi" w:cstheme="majorHAnsi"/>
            <w:color w:val="auto"/>
            <w:sz w:val="22"/>
            <w:szCs w:val="22"/>
            <w:lang w:val="en"/>
          </w:rPr>
          <w:t>here</w:t>
        </w:r>
      </w:hyperlink>
      <w:r w:rsidR="00275B52" w:rsidRPr="00D57076">
        <w:rPr>
          <w:rFonts w:asciiTheme="majorHAnsi" w:hAnsiTheme="majorHAnsi" w:cstheme="majorHAnsi"/>
          <w:sz w:val="22"/>
          <w:szCs w:val="22"/>
          <w:lang w:val="en"/>
        </w:rPr>
        <w:t xml:space="preserve"> </w:t>
      </w:r>
      <w:r w:rsidRPr="00D57076">
        <w:rPr>
          <w:rFonts w:asciiTheme="majorHAnsi" w:hAnsiTheme="majorHAnsi" w:cstheme="majorHAnsi"/>
          <w:sz w:val="22"/>
          <w:szCs w:val="22"/>
          <w:lang w:val="en"/>
        </w:rPr>
        <w:t>contains</w:t>
      </w:r>
      <w:r w:rsidR="00D820B5" w:rsidRPr="00D57076">
        <w:rPr>
          <w:rFonts w:asciiTheme="majorHAnsi" w:hAnsiTheme="majorHAnsi" w:cstheme="majorHAnsi"/>
          <w:sz w:val="22"/>
          <w:szCs w:val="22"/>
          <w:lang w:val="en"/>
        </w:rPr>
        <w:t xml:space="preserve"> a</w:t>
      </w:r>
      <w:r w:rsidRPr="00D57076">
        <w:rPr>
          <w:rFonts w:asciiTheme="majorHAnsi" w:hAnsiTheme="majorHAnsi" w:cstheme="majorHAnsi"/>
          <w:sz w:val="22"/>
          <w:szCs w:val="22"/>
          <w:lang w:val="en"/>
        </w:rPr>
        <w:t xml:space="preserve"> flowchart </w:t>
      </w:r>
      <w:r w:rsidR="00D820B5" w:rsidRPr="00D57076">
        <w:rPr>
          <w:rFonts w:asciiTheme="majorHAnsi" w:hAnsiTheme="majorHAnsi" w:cstheme="majorHAnsi"/>
          <w:sz w:val="22"/>
          <w:szCs w:val="22"/>
          <w:lang w:val="en"/>
        </w:rPr>
        <w:t>which summarises</w:t>
      </w:r>
      <w:r w:rsidRPr="00D57076">
        <w:rPr>
          <w:rFonts w:asciiTheme="majorHAnsi" w:hAnsiTheme="majorHAnsi" w:cstheme="majorHAnsi"/>
          <w:sz w:val="22"/>
          <w:szCs w:val="22"/>
          <w:lang w:val="en"/>
        </w:rPr>
        <w:t xml:space="preserve"> </w:t>
      </w:r>
      <w:r w:rsidR="005C067E" w:rsidRPr="00D57076">
        <w:rPr>
          <w:rFonts w:asciiTheme="majorHAnsi" w:hAnsiTheme="majorHAnsi" w:cstheme="majorHAnsi"/>
          <w:sz w:val="22"/>
          <w:szCs w:val="22"/>
          <w:lang w:val="en"/>
        </w:rPr>
        <w:t xml:space="preserve">on one page </w:t>
      </w:r>
      <w:r w:rsidR="00D820B5" w:rsidRPr="00D57076">
        <w:rPr>
          <w:rFonts w:asciiTheme="majorHAnsi" w:hAnsiTheme="majorHAnsi" w:cstheme="majorHAnsi"/>
          <w:sz w:val="22"/>
          <w:szCs w:val="22"/>
          <w:lang w:val="en"/>
        </w:rPr>
        <w:t xml:space="preserve">the </w:t>
      </w:r>
      <w:r w:rsidR="00E3343D" w:rsidRPr="00D57076">
        <w:rPr>
          <w:rFonts w:asciiTheme="majorHAnsi" w:hAnsiTheme="majorHAnsi" w:cstheme="majorHAnsi"/>
          <w:sz w:val="22"/>
          <w:szCs w:val="22"/>
          <w:lang w:val="en"/>
        </w:rPr>
        <w:t xml:space="preserve">key information </w:t>
      </w:r>
      <w:r w:rsidR="005C067E" w:rsidRPr="00D57076">
        <w:rPr>
          <w:rFonts w:asciiTheme="majorHAnsi" w:hAnsiTheme="majorHAnsi" w:cstheme="majorHAnsi"/>
          <w:sz w:val="22"/>
          <w:szCs w:val="22"/>
          <w:lang w:val="en"/>
        </w:rPr>
        <w:t xml:space="preserve">for </w:t>
      </w:r>
      <w:r w:rsidR="00E3343D" w:rsidRPr="00D57076">
        <w:rPr>
          <w:rFonts w:asciiTheme="majorHAnsi" w:hAnsiTheme="majorHAnsi" w:cstheme="majorHAnsi"/>
          <w:sz w:val="22"/>
          <w:szCs w:val="22"/>
          <w:lang w:val="en"/>
        </w:rPr>
        <w:t>current and prospective staff</w:t>
      </w:r>
      <w:r w:rsidR="00D820B5" w:rsidRPr="00D57076">
        <w:rPr>
          <w:rFonts w:asciiTheme="majorHAnsi" w:hAnsiTheme="majorHAnsi" w:cstheme="majorHAnsi"/>
          <w:sz w:val="22"/>
          <w:szCs w:val="22"/>
          <w:lang w:val="en"/>
        </w:rPr>
        <w:t xml:space="preserve"> </w:t>
      </w:r>
      <w:r w:rsidRPr="00D57076">
        <w:rPr>
          <w:rFonts w:asciiTheme="majorHAnsi" w:hAnsiTheme="majorHAnsi" w:cstheme="majorHAnsi"/>
          <w:sz w:val="22"/>
          <w:szCs w:val="22"/>
          <w:lang w:val="en"/>
        </w:rPr>
        <w:t>in the event of a deal or no deal</w:t>
      </w:r>
      <w:r w:rsidR="005C067E" w:rsidRPr="00D57076">
        <w:rPr>
          <w:rFonts w:asciiTheme="majorHAnsi" w:hAnsiTheme="majorHAnsi" w:cstheme="majorHAnsi"/>
          <w:sz w:val="22"/>
          <w:szCs w:val="22"/>
          <w:lang w:val="en"/>
        </w:rPr>
        <w:t>,</w:t>
      </w:r>
      <w:r w:rsidR="00E3343D" w:rsidRPr="00D57076">
        <w:rPr>
          <w:rFonts w:asciiTheme="majorHAnsi" w:hAnsiTheme="majorHAnsi" w:cstheme="majorHAnsi"/>
          <w:sz w:val="22"/>
          <w:szCs w:val="22"/>
          <w:lang w:val="en"/>
        </w:rPr>
        <w:t xml:space="preserve"> as well as further information and links to the gov.uk webpages</w:t>
      </w:r>
      <w:r w:rsidRPr="00D57076">
        <w:rPr>
          <w:rFonts w:asciiTheme="majorHAnsi" w:hAnsiTheme="majorHAnsi" w:cstheme="majorHAnsi"/>
          <w:sz w:val="22"/>
          <w:szCs w:val="22"/>
          <w:lang w:val="en"/>
        </w:rPr>
        <w:t xml:space="preserve">. </w:t>
      </w:r>
    </w:p>
    <w:p w14:paraId="7A063180" w14:textId="00B805B2" w:rsidR="00010D1B" w:rsidRPr="00D57076" w:rsidRDefault="007966C2" w:rsidP="00D820B5">
      <w:pPr>
        <w:rPr>
          <w:rFonts w:asciiTheme="majorHAnsi" w:hAnsiTheme="majorHAnsi" w:cstheme="majorHAnsi"/>
          <w:lang w:val="en"/>
        </w:rPr>
      </w:pPr>
      <w:r w:rsidRPr="00D57076">
        <w:rPr>
          <w:rFonts w:asciiTheme="majorHAnsi" w:hAnsiTheme="majorHAnsi" w:cstheme="majorHAnsi"/>
          <w:lang w:val="en"/>
        </w:rPr>
        <w:t xml:space="preserve"> </w:t>
      </w:r>
    </w:p>
    <w:p w14:paraId="114C5D7C" w14:textId="7DE854AA" w:rsidR="00D820B5" w:rsidRPr="00D57076" w:rsidRDefault="00D820B5" w:rsidP="006A403F">
      <w:pPr>
        <w:pStyle w:val="ListParagraph"/>
        <w:numPr>
          <w:ilvl w:val="0"/>
          <w:numId w:val="7"/>
        </w:numPr>
        <w:rPr>
          <w:rFonts w:asciiTheme="majorHAnsi" w:hAnsiTheme="majorHAnsi" w:cs="Arial"/>
          <w:b/>
          <w:sz w:val="22"/>
          <w:szCs w:val="22"/>
          <w:lang w:val="en"/>
        </w:rPr>
      </w:pPr>
      <w:r w:rsidRPr="00D57076">
        <w:rPr>
          <w:rFonts w:asciiTheme="majorHAnsi" w:hAnsiTheme="majorHAnsi" w:cs="Arial"/>
          <w:b/>
          <w:sz w:val="22"/>
          <w:szCs w:val="22"/>
          <w:u w:val="single"/>
          <w:lang w:val="en"/>
        </w:rPr>
        <w:t xml:space="preserve">EU Settlement Scheme for EEA nationals </w:t>
      </w:r>
      <w:r w:rsidR="00E3343D" w:rsidRPr="00D57076">
        <w:rPr>
          <w:rFonts w:asciiTheme="majorHAnsi" w:hAnsiTheme="majorHAnsi" w:cs="Arial"/>
          <w:b/>
          <w:sz w:val="22"/>
          <w:szCs w:val="22"/>
          <w:u w:val="single"/>
          <w:lang w:val="en"/>
        </w:rPr>
        <w:t xml:space="preserve">already </w:t>
      </w:r>
      <w:r w:rsidRPr="00D57076">
        <w:rPr>
          <w:rFonts w:asciiTheme="majorHAnsi" w:hAnsiTheme="majorHAnsi" w:cs="Arial"/>
          <w:b/>
          <w:sz w:val="22"/>
          <w:szCs w:val="22"/>
          <w:u w:val="single"/>
          <w:lang w:val="en"/>
        </w:rPr>
        <w:t xml:space="preserve">living in the UK </w:t>
      </w:r>
      <w:r w:rsidRPr="00D57076">
        <w:rPr>
          <w:rFonts w:asciiTheme="majorHAnsi" w:hAnsiTheme="majorHAnsi" w:cs="Arial"/>
          <w:b/>
          <w:sz w:val="22"/>
          <w:szCs w:val="22"/>
          <w:u w:val="single"/>
          <w:lang w:val="en"/>
        </w:rPr>
        <w:br/>
      </w:r>
    </w:p>
    <w:p w14:paraId="0AA33FE4" w14:textId="26483C76" w:rsidR="007470B1" w:rsidRPr="00D57076" w:rsidRDefault="00D820B5" w:rsidP="00C96542">
      <w:pPr>
        <w:pStyle w:val="ListParagraph"/>
        <w:ind w:left="1439"/>
        <w:rPr>
          <w:rFonts w:asciiTheme="majorHAnsi" w:hAnsiTheme="majorHAnsi" w:cs="Arial"/>
          <w:sz w:val="22"/>
          <w:szCs w:val="22"/>
          <w:lang w:val="en"/>
        </w:rPr>
      </w:pPr>
      <w:r w:rsidRPr="00D57076">
        <w:rPr>
          <w:rFonts w:asciiTheme="majorHAnsi" w:hAnsiTheme="majorHAnsi" w:cs="Arial"/>
          <w:sz w:val="22"/>
          <w:szCs w:val="22"/>
          <w:lang w:val="en"/>
        </w:rPr>
        <w:t xml:space="preserve">EEA nationals </w:t>
      </w:r>
      <w:r w:rsidR="00504408" w:rsidRPr="00D57076">
        <w:rPr>
          <w:rFonts w:asciiTheme="majorHAnsi" w:hAnsiTheme="majorHAnsi" w:cs="Arial"/>
          <w:sz w:val="22"/>
          <w:szCs w:val="22"/>
          <w:lang w:val="en"/>
        </w:rPr>
        <w:t xml:space="preserve">and their family members </w:t>
      </w:r>
      <w:r w:rsidRPr="00D57076">
        <w:rPr>
          <w:rFonts w:asciiTheme="majorHAnsi" w:hAnsiTheme="majorHAnsi" w:cs="Arial"/>
          <w:i/>
          <w:sz w:val="22"/>
          <w:szCs w:val="22"/>
          <w:lang w:val="en"/>
        </w:rPr>
        <w:t>already living in the UK</w:t>
      </w:r>
      <w:r w:rsidR="00E3343D" w:rsidRPr="00D57076">
        <w:rPr>
          <w:rFonts w:asciiTheme="majorHAnsi" w:hAnsiTheme="majorHAnsi" w:cs="Arial"/>
          <w:sz w:val="22"/>
          <w:szCs w:val="22"/>
          <w:lang w:val="en"/>
        </w:rPr>
        <w:t xml:space="preserve"> </w:t>
      </w:r>
      <w:r w:rsidRPr="00D57076">
        <w:rPr>
          <w:rFonts w:asciiTheme="majorHAnsi" w:hAnsiTheme="majorHAnsi" w:cs="Arial"/>
          <w:sz w:val="22"/>
          <w:szCs w:val="22"/>
          <w:lang w:val="en"/>
        </w:rPr>
        <w:t xml:space="preserve">will need to apply for settled or pre-settled status under the </w:t>
      </w:r>
      <w:r w:rsidR="00504408" w:rsidRPr="00D57076">
        <w:rPr>
          <w:rFonts w:asciiTheme="majorHAnsi" w:hAnsiTheme="majorHAnsi" w:cs="Arial"/>
          <w:sz w:val="22"/>
          <w:szCs w:val="22"/>
          <w:lang w:val="en"/>
        </w:rPr>
        <w:t xml:space="preserve">Home Office </w:t>
      </w:r>
      <w:r w:rsidRPr="00D57076">
        <w:rPr>
          <w:rFonts w:asciiTheme="majorHAnsi" w:hAnsiTheme="majorHAnsi" w:cs="Arial"/>
          <w:sz w:val="22"/>
          <w:szCs w:val="22"/>
          <w:lang w:val="en"/>
        </w:rPr>
        <w:t>EU Settlement Scheme in order to continue living in the UK</w:t>
      </w:r>
      <w:r w:rsidR="007B1DA9" w:rsidRPr="00D57076">
        <w:rPr>
          <w:rFonts w:asciiTheme="majorHAnsi" w:hAnsiTheme="majorHAnsi" w:cs="Arial"/>
          <w:sz w:val="22"/>
          <w:szCs w:val="22"/>
          <w:lang w:val="en"/>
        </w:rPr>
        <w:t xml:space="preserve"> following Brexit</w:t>
      </w:r>
      <w:r w:rsidRPr="00D57076">
        <w:rPr>
          <w:rFonts w:asciiTheme="majorHAnsi" w:hAnsiTheme="majorHAnsi" w:cs="Arial"/>
          <w:sz w:val="22"/>
          <w:szCs w:val="22"/>
          <w:lang w:val="en"/>
        </w:rPr>
        <w:t>. There is no requirement to do this immediately</w:t>
      </w:r>
      <w:r w:rsidR="00C96542" w:rsidRPr="00D57076">
        <w:rPr>
          <w:rFonts w:asciiTheme="majorHAnsi" w:hAnsiTheme="majorHAnsi" w:cs="Arial"/>
          <w:sz w:val="22"/>
          <w:szCs w:val="22"/>
          <w:lang w:val="en"/>
        </w:rPr>
        <w:t xml:space="preserve">, </w:t>
      </w:r>
      <w:r w:rsidR="00504408" w:rsidRPr="00D57076">
        <w:rPr>
          <w:rFonts w:asciiTheme="majorHAnsi" w:hAnsiTheme="majorHAnsi" w:cs="Arial"/>
          <w:sz w:val="22"/>
          <w:szCs w:val="22"/>
          <w:lang w:val="en"/>
        </w:rPr>
        <w:t xml:space="preserve">but </w:t>
      </w:r>
      <w:r w:rsidR="003D1ED5" w:rsidRPr="00D57076">
        <w:rPr>
          <w:rFonts w:asciiTheme="majorHAnsi" w:hAnsiTheme="majorHAnsi" w:cs="Arial"/>
          <w:b/>
          <w:sz w:val="22"/>
          <w:szCs w:val="22"/>
          <w:lang w:val="en"/>
        </w:rPr>
        <w:t xml:space="preserve">EEA nationals will need to be apply for </w:t>
      </w:r>
      <w:r w:rsidR="00504408" w:rsidRPr="00D57076">
        <w:rPr>
          <w:rFonts w:asciiTheme="majorHAnsi" w:hAnsiTheme="majorHAnsi" w:cs="Arial"/>
          <w:b/>
          <w:sz w:val="22"/>
          <w:szCs w:val="22"/>
          <w:lang w:val="en"/>
        </w:rPr>
        <w:t xml:space="preserve">and obtain </w:t>
      </w:r>
      <w:r w:rsidR="003D1ED5" w:rsidRPr="00D57076">
        <w:rPr>
          <w:rFonts w:asciiTheme="majorHAnsi" w:hAnsiTheme="majorHAnsi" w:cs="Arial"/>
          <w:b/>
          <w:sz w:val="22"/>
          <w:szCs w:val="22"/>
          <w:lang w:val="en"/>
        </w:rPr>
        <w:t>the UK</w:t>
      </w:r>
      <w:r w:rsidR="00504408" w:rsidRPr="00D57076">
        <w:rPr>
          <w:rFonts w:asciiTheme="majorHAnsi" w:hAnsiTheme="majorHAnsi" w:cs="Arial"/>
          <w:b/>
          <w:sz w:val="22"/>
          <w:szCs w:val="22"/>
          <w:lang w:val="en"/>
        </w:rPr>
        <w:t xml:space="preserve"> immigration</w:t>
      </w:r>
      <w:r w:rsidR="003D1ED5" w:rsidRPr="00D57076">
        <w:rPr>
          <w:rFonts w:asciiTheme="majorHAnsi" w:hAnsiTheme="majorHAnsi" w:cs="Arial"/>
          <w:b/>
          <w:sz w:val="22"/>
          <w:szCs w:val="22"/>
          <w:lang w:val="en"/>
        </w:rPr>
        <w:t xml:space="preserve"> status before the</w:t>
      </w:r>
      <w:r w:rsidRPr="00D57076">
        <w:rPr>
          <w:rFonts w:asciiTheme="majorHAnsi" w:hAnsiTheme="majorHAnsi" w:cs="Arial"/>
          <w:b/>
          <w:sz w:val="22"/>
          <w:szCs w:val="22"/>
          <w:lang w:val="en"/>
        </w:rPr>
        <w:t xml:space="preserve"> dea</w:t>
      </w:r>
      <w:r w:rsidR="003D1ED5" w:rsidRPr="00D57076">
        <w:rPr>
          <w:rFonts w:asciiTheme="majorHAnsi" w:hAnsiTheme="majorHAnsi" w:cs="Arial"/>
          <w:b/>
          <w:sz w:val="22"/>
          <w:szCs w:val="22"/>
          <w:lang w:val="en"/>
        </w:rPr>
        <w:t>d</w:t>
      </w:r>
      <w:r w:rsidRPr="00D57076">
        <w:rPr>
          <w:rFonts w:asciiTheme="majorHAnsi" w:hAnsiTheme="majorHAnsi" w:cs="Arial"/>
          <w:b/>
          <w:sz w:val="22"/>
          <w:szCs w:val="22"/>
          <w:lang w:val="en"/>
        </w:rPr>
        <w:t>line</w:t>
      </w:r>
      <w:r w:rsidR="003D1ED5" w:rsidRPr="00D57076">
        <w:rPr>
          <w:rFonts w:asciiTheme="majorHAnsi" w:hAnsiTheme="majorHAnsi" w:cs="Arial"/>
          <w:b/>
          <w:sz w:val="22"/>
          <w:szCs w:val="22"/>
          <w:lang w:val="en"/>
        </w:rPr>
        <w:t xml:space="preserve"> of 31 Dec 2020</w:t>
      </w:r>
      <w:r w:rsidR="003D1ED5" w:rsidRPr="00D57076">
        <w:rPr>
          <w:rFonts w:asciiTheme="majorHAnsi" w:hAnsiTheme="majorHAnsi" w:cs="Arial"/>
          <w:sz w:val="22"/>
          <w:szCs w:val="22"/>
          <w:lang w:val="en"/>
        </w:rPr>
        <w:t xml:space="preserve"> (or 30 June 2021 </w:t>
      </w:r>
      <w:r w:rsidR="00D57076">
        <w:rPr>
          <w:rFonts w:asciiTheme="majorHAnsi" w:hAnsiTheme="majorHAnsi" w:cs="Arial"/>
          <w:sz w:val="22"/>
          <w:szCs w:val="22"/>
          <w:lang w:val="en"/>
        </w:rPr>
        <w:t>i</w:t>
      </w:r>
      <w:r w:rsidR="003D1ED5" w:rsidRPr="00D57076">
        <w:rPr>
          <w:rFonts w:asciiTheme="majorHAnsi" w:hAnsiTheme="majorHAnsi" w:cs="Arial"/>
          <w:sz w:val="22"/>
          <w:szCs w:val="22"/>
          <w:lang w:val="en"/>
        </w:rPr>
        <w:t xml:space="preserve">f there is a deal). </w:t>
      </w:r>
      <w:r w:rsidR="00C96542" w:rsidRPr="00D57076">
        <w:rPr>
          <w:rFonts w:asciiTheme="majorHAnsi" w:hAnsiTheme="majorHAnsi" w:cs="Arial"/>
          <w:sz w:val="22"/>
          <w:szCs w:val="22"/>
          <w:lang w:val="en"/>
        </w:rPr>
        <w:t xml:space="preserve">It is free to apply. </w:t>
      </w:r>
      <w:r w:rsidR="003D1ED5" w:rsidRPr="00D57076">
        <w:rPr>
          <w:rFonts w:asciiTheme="majorHAnsi" w:hAnsiTheme="majorHAnsi" w:cs="Arial"/>
          <w:sz w:val="22"/>
          <w:szCs w:val="22"/>
          <w:lang w:val="en"/>
        </w:rPr>
        <w:t xml:space="preserve">The scheme is open fully from 30 March 2019 and the HR webpages </w:t>
      </w:r>
      <w:hyperlink r:id="rId10" w:history="1">
        <w:r w:rsidR="00504408" w:rsidRPr="00D57076">
          <w:rPr>
            <w:rStyle w:val="Hyperlink"/>
            <w:rFonts w:asciiTheme="majorHAnsi" w:hAnsiTheme="majorHAnsi" w:cs="Arial"/>
            <w:color w:val="auto"/>
            <w:sz w:val="22"/>
            <w:szCs w:val="22"/>
            <w:lang w:val="en"/>
          </w:rPr>
          <w:t>here</w:t>
        </w:r>
      </w:hyperlink>
      <w:r w:rsidR="00504408" w:rsidRPr="00D57076">
        <w:rPr>
          <w:rFonts w:asciiTheme="majorHAnsi" w:hAnsiTheme="majorHAnsi" w:cs="Arial"/>
          <w:sz w:val="22"/>
          <w:szCs w:val="22"/>
          <w:lang w:val="en"/>
        </w:rPr>
        <w:t xml:space="preserve"> </w:t>
      </w:r>
      <w:r w:rsidR="003D1ED5" w:rsidRPr="00D57076">
        <w:rPr>
          <w:rFonts w:asciiTheme="majorHAnsi" w:hAnsiTheme="majorHAnsi" w:cs="Arial"/>
          <w:sz w:val="22"/>
          <w:szCs w:val="22"/>
          <w:lang w:val="en"/>
        </w:rPr>
        <w:t>have details about the scheme and links to the Gov.uk webpages in order to apply.</w:t>
      </w:r>
      <w:r w:rsidR="007B1DA9" w:rsidRPr="00D57076">
        <w:rPr>
          <w:rFonts w:asciiTheme="majorHAnsi" w:hAnsiTheme="majorHAnsi" w:cs="Arial"/>
          <w:sz w:val="22"/>
          <w:szCs w:val="22"/>
          <w:lang w:val="en"/>
        </w:rPr>
        <w:t xml:space="preserve"> </w:t>
      </w:r>
      <w:r w:rsidR="00645796" w:rsidRPr="00D57076">
        <w:rPr>
          <w:rFonts w:asciiTheme="majorHAnsi" w:hAnsiTheme="majorHAnsi" w:cs="Arial"/>
          <w:sz w:val="22"/>
          <w:szCs w:val="22"/>
          <w:lang w:val="en"/>
        </w:rPr>
        <w:t xml:space="preserve">The Home </w:t>
      </w:r>
      <w:r w:rsidR="00C17EF6" w:rsidRPr="00D57076">
        <w:rPr>
          <w:rFonts w:asciiTheme="majorHAnsi" w:hAnsiTheme="majorHAnsi" w:cs="Arial"/>
          <w:sz w:val="22"/>
          <w:szCs w:val="22"/>
          <w:lang w:val="en"/>
        </w:rPr>
        <w:t>Of</w:t>
      </w:r>
      <w:r w:rsidR="00E02FD3" w:rsidRPr="00D57076">
        <w:rPr>
          <w:rFonts w:asciiTheme="majorHAnsi" w:hAnsiTheme="majorHAnsi" w:cs="Arial"/>
          <w:sz w:val="22"/>
          <w:szCs w:val="22"/>
          <w:lang w:val="en"/>
        </w:rPr>
        <w:t>fice is</w:t>
      </w:r>
      <w:r w:rsidR="00C17EF6" w:rsidRPr="00D57076">
        <w:rPr>
          <w:rFonts w:asciiTheme="majorHAnsi" w:hAnsiTheme="majorHAnsi" w:cs="Arial"/>
          <w:sz w:val="22"/>
          <w:szCs w:val="22"/>
          <w:lang w:val="en"/>
        </w:rPr>
        <w:t xml:space="preserve"> </w:t>
      </w:r>
      <w:r w:rsidR="00EF2EC0" w:rsidRPr="00D57076">
        <w:rPr>
          <w:rFonts w:asciiTheme="majorHAnsi" w:hAnsiTheme="majorHAnsi" w:cs="Arial"/>
          <w:sz w:val="22"/>
          <w:szCs w:val="22"/>
          <w:lang w:val="en"/>
        </w:rPr>
        <w:t>continuing to</w:t>
      </w:r>
      <w:r w:rsidR="00C96542" w:rsidRPr="00D57076">
        <w:rPr>
          <w:rFonts w:asciiTheme="majorHAnsi" w:hAnsiTheme="majorHAnsi" w:cs="Arial"/>
          <w:sz w:val="22"/>
          <w:szCs w:val="22"/>
          <w:lang w:val="en"/>
        </w:rPr>
        <w:t xml:space="preserve"> </w:t>
      </w:r>
      <w:r w:rsidR="00EF2EC0" w:rsidRPr="00D57076">
        <w:rPr>
          <w:rFonts w:asciiTheme="majorHAnsi" w:hAnsiTheme="majorHAnsi" w:cs="Arial"/>
          <w:sz w:val="22"/>
          <w:szCs w:val="22"/>
          <w:lang w:val="en"/>
        </w:rPr>
        <w:t>test</w:t>
      </w:r>
      <w:r w:rsidR="004A1519" w:rsidRPr="00D57076">
        <w:rPr>
          <w:rFonts w:asciiTheme="majorHAnsi" w:hAnsiTheme="majorHAnsi" w:cs="Arial"/>
          <w:sz w:val="22"/>
          <w:szCs w:val="22"/>
          <w:lang w:val="en"/>
        </w:rPr>
        <w:t xml:space="preserve"> </w:t>
      </w:r>
      <w:r w:rsidR="00C96542" w:rsidRPr="00D57076">
        <w:rPr>
          <w:rFonts w:asciiTheme="majorHAnsi" w:hAnsiTheme="majorHAnsi" w:cs="Arial"/>
          <w:sz w:val="22"/>
          <w:szCs w:val="22"/>
          <w:lang w:val="en"/>
        </w:rPr>
        <w:t xml:space="preserve">the </w:t>
      </w:r>
      <w:r w:rsidR="00504408" w:rsidRPr="00D57076">
        <w:rPr>
          <w:rFonts w:asciiTheme="majorHAnsi" w:hAnsiTheme="majorHAnsi" w:cs="Arial"/>
          <w:sz w:val="22"/>
          <w:szCs w:val="22"/>
          <w:lang w:val="en"/>
        </w:rPr>
        <w:t>digita</w:t>
      </w:r>
      <w:r w:rsidR="00EF2EC0" w:rsidRPr="00D57076">
        <w:rPr>
          <w:rFonts w:asciiTheme="majorHAnsi" w:hAnsiTheme="majorHAnsi" w:cs="Arial"/>
          <w:sz w:val="22"/>
          <w:szCs w:val="22"/>
          <w:lang w:val="en"/>
        </w:rPr>
        <w:t xml:space="preserve">l application </w:t>
      </w:r>
      <w:r w:rsidR="00C96542" w:rsidRPr="00D57076">
        <w:rPr>
          <w:rFonts w:asciiTheme="majorHAnsi" w:hAnsiTheme="majorHAnsi" w:cs="Arial"/>
          <w:sz w:val="22"/>
          <w:szCs w:val="22"/>
          <w:lang w:val="en"/>
        </w:rPr>
        <w:t xml:space="preserve">element of </w:t>
      </w:r>
      <w:r w:rsidR="00EF2EC0" w:rsidRPr="00D57076">
        <w:rPr>
          <w:rFonts w:asciiTheme="majorHAnsi" w:hAnsiTheme="majorHAnsi" w:cs="Arial"/>
          <w:sz w:val="22"/>
          <w:szCs w:val="22"/>
          <w:lang w:val="en"/>
        </w:rPr>
        <w:t xml:space="preserve">process </w:t>
      </w:r>
      <w:r w:rsidR="001C2A06" w:rsidRPr="00D57076">
        <w:rPr>
          <w:rFonts w:asciiTheme="majorHAnsi" w:hAnsiTheme="majorHAnsi" w:cs="Arial"/>
          <w:sz w:val="22"/>
          <w:szCs w:val="22"/>
          <w:lang w:val="en"/>
        </w:rPr>
        <w:t>before the scheme</w:t>
      </w:r>
      <w:r w:rsidR="00563919" w:rsidRPr="00D57076">
        <w:rPr>
          <w:rFonts w:asciiTheme="majorHAnsi" w:hAnsiTheme="majorHAnsi" w:cs="Arial"/>
          <w:sz w:val="22"/>
          <w:szCs w:val="22"/>
          <w:lang w:val="en"/>
        </w:rPr>
        <w:t xml:space="preserve"> is fully open</w:t>
      </w:r>
      <w:r w:rsidR="00504408" w:rsidRPr="00D57076">
        <w:rPr>
          <w:rFonts w:asciiTheme="majorHAnsi" w:hAnsiTheme="majorHAnsi" w:cs="Arial"/>
          <w:sz w:val="22"/>
          <w:szCs w:val="22"/>
          <w:lang w:val="en"/>
        </w:rPr>
        <w:t xml:space="preserve"> on 30</w:t>
      </w:r>
      <w:r w:rsidR="004A1519" w:rsidRPr="00D57076">
        <w:rPr>
          <w:rFonts w:asciiTheme="majorHAnsi" w:hAnsiTheme="majorHAnsi" w:cs="Arial"/>
          <w:sz w:val="22"/>
          <w:szCs w:val="22"/>
          <w:lang w:val="en"/>
        </w:rPr>
        <w:t xml:space="preserve"> March 2019</w:t>
      </w:r>
      <w:r w:rsidR="00C96542" w:rsidRPr="00D57076">
        <w:rPr>
          <w:rFonts w:asciiTheme="majorHAnsi" w:hAnsiTheme="majorHAnsi" w:cs="Arial"/>
          <w:sz w:val="22"/>
          <w:szCs w:val="22"/>
          <w:lang w:val="en"/>
        </w:rPr>
        <w:t xml:space="preserve"> and EEA nationals and family members can apply now</w:t>
      </w:r>
      <w:r w:rsidR="00504408" w:rsidRPr="00D57076">
        <w:rPr>
          <w:rFonts w:asciiTheme="majorHAnsi" w:hAnsiTheme="majorHAnsi" w:cs="Arial"/>
          <w:sz w:val="22"/>
          <w:szCs w:val="22"/>
          <w:lang w:val="en"/>
        </w:rPr>
        <w:t xml:space="preserve"> if </w:t>
      </w:r>
      <w:r w:rsidR="00C96542" w:rsidRPr="00D57076">
        <w:rPr>
          <w:rFonts w:asciiTheme="majorHAnsi" w:hAnsiTheme="majorHAnsi" w:cs="Arial"/>
          <w:sz w:val="22"/>
          <w:szCs w:val="22"/>
          <w:lang w:val="en"/>
        </w:rPr>
        <w:t>they</w:t>
      </w:r>
      <w:r w:rsidR="00504408" w:rsidRPr="00D57076">
        <w:rPr>
          <w:rFonts w:asciiTheme="majorHAnsi" w:hAnsiTheme="majorHAnsi" w:cs="Arial"/>
          <w:sz w:val="22"/>
          <w:szCs w:val="22"/>
          <w:lang w:val="en"/>
        </w:rPr>
        <w:t xml:space="preserve"> have a biometric chip in </w:t>
      </w:r>
      <w:r w:rsidR="00C96542" w:rsidRPr="00D57076">
        <w:rPr>
          <w:rFonts w:asciiTheme="majorHAnsi" w:hAnsiTheme="majorHAnsi" w:cs="Arial"/>
          <w:sz w:val="22"/>
          <w:szCs w:val="22"/>
          <w:lang w:val="en"/>
        </w:rPr>
        <w:t xml:space="preserve">their </w:t>
      </w:r>
      <w:r w:rsidR="00504408" w:rsidRPr="00D57076">
        <w:rPr>
          <w:rFonts w:asciiTheme="majorHAnsi" w:hAnsiTheme="majorHAnsi" w:cs="Arial"/>
          <w:sz w:val="22"/>
          <w:szCs w:val="22"/>
          <w:lang w:val="en"/>
        </w:rPr>
        <w:t>passport</w:t>
      </w:r>
      <w:r w:rsidR="00C96542" w:rsidRPr="00D57076">
        <w:rPr>
          <w:rFonts w:asciiTheme="majorHAnsi" w:hAnsiTheme="majorHAnsi" w:cs="Arial"/>
          <w:sz w:val="22"/>
          <w:szCs w:val="22"/>
          <w:lang w:val="en"/>
        </w:rPr>
        <w:t xml:space="preserve"> and can access an Android phone. The test phase may still be configured to charge a fee of £65 </w:t>
      </w:r>
      <w:r w:rsidR="007470B1" w:rsidRPr="00D57076">
        <w:rPr>
          <w:rFonts w:asciiTheme="majorHAnsi" w:hAnsiTheme="majorHAnsi" w:cs="Arial"/>
          <w:sz w:val="22"/>
          <w:szCs w:val="22"/>
          <w:lang w:val="en"/>
        </w:rPr>
        <w:t>when</w:t>
      </w:r>
      <w:r w:rsidR="00C96542" w:rsidRPr="00D57076">
        <w:rPr>
          <w:rFonts w:asciiTheme="majorHAnsi" w:hAnsiTheme="majorHAnsi" w:cs="Arial"/>
          <w:sz w:val="22"/>
          <w:szCs w:val="22"/>
          <w:lang w:val="en"/>
        </w:rPr>
        <w:t xml:space="preserve"> applying</w:t>
      </w:r>
      <w:r w:rsidR="00504408" w:rsidRPr="00D57076">
        <w:rPr>
          <w:rFonts w:asciiTheme="majorHAnsi" w:hAnsiTheme="majorHAnsi" w:cs="Arial"/>
          <w:sz w:val="22"/>
          <w:szCs w:val="22"/>
          <w:lang w:val="en"/>
        </w:rPr>
        <w:t>,</w:t>
      </w:r>
      <w:r w:rsidR="00C96542" w:rsidRPr="00D57076">
        <w:rPr>
          <w:rFonts w:asciiTheme="majorHAnsi" w:hAnsiTheme="majorHAnsi" w:cs="Arial"/>
          <w:sz w:val="22"/>
          <w:szCs w:val="22"/>
          <w:lang w:val="en"/>
        </w:rPr>
        <w:t xml:space="preserve"> but as this fee was recently </w:t>
      </w:r>
      <w:r w:rsidR="007470B1" w:rsidRPr="00D57076">
        <w:rPr>
          <w:rFonts w:asciiTheme="majorHAnsi" w:hAnsiTheme="majorHAnsi" w:cs="Arial"/>
          <w:sz w:val="22"/>
          <w:szCs w:val="22"/>
          <w:lang w:val="en"/>
        </w:rPr>
        <w:t>scrapped</w:t>
      </w:r>
      <w:r w:rsidR="00C96542" w:rsidRPr="00D57076">
        <w:rPr>
          <w:rFonts w:asciiTheme="majorHAnsi" w:hAnsiTheme="majorHAnsi" w:cs="Arial"/>
          <w:sz w:val="22"/>
          <w:szCs w:val="22"/>
          <w:lang w:val="en"/>
        </w:rPr>
        <w:t>, i</w:t>
      </w:r>
      <w:r w:rsidR="00037A4C">
        <w:rPr>
          <w:rFonts w:asciiTheme="majorHAnsi" w:hAnsiTheme="majorHAnsi" w:cs="Arial"/>
          <w:sz w:val="22"/>
          <w:szCs w:val="22"/>
          <w:lang w:val="en"/>
        </w:rPr>
        <w:t>t will be refunded by the Home O</w:t>
      </w:r>
      <w:r w:rsidR="00C96542" w:rsidRPr="00D57076">
        <w:rPr>
          <w:rFonts w:asciiTheme="majorHAnsi" w:hAnsiTheme="majorHAnsi" w:cs="Arial"/>
          <w:sz w:val="22"/>
          <w:szCs w:val="22"/>
          <w:lang w:val="en"/>
        </w:rPr>
        <w:t>ffice in due course. The main sch</w:t>
      </w:r>
      <w:r w:rsidR="00037A4C">
        <w:rPr>
          <w:rFonts w:asciiTheme="majorHAnsi" w:hAnsiTheme="majorHAnsi" w:cs="Arial"/>
          <w:sz w:val="22"/>
          <w:szCs w:val="22"/>
          <w:lang w:val="en"/>
        </w:rPr>
        <w:t xml:space="preserve">eme which opens on 30 March should not request </w:t>
      </w:r>
      <w:r w:rsidR="00C96542" w:rsidRPr="00D57076">
        <w:rPr>
          <w:rFonts w:asciiTheme="majorHAnsi" w:hAnsiTheme="majorHAnsi" w:cs="Arial"/>
          <w:sz w:val="22"/>
          <w:szCs w:val="22"/>
          <w:lang w:val="en"/>
        </w:rPr>
        <w:t>a</w:t>
      </w:r>
      <w:r w:rsidR="00037A4C">
        <w:rPr>
          <w:rFonts w:asciiTheme="majorHAnsi" w:hAnsiTheme="majorHAnsi" w:cs="Arial"/>
          <w:sz w:val="22"/>
          <w:szCs w:val="22"/>
          <w:lang w:val="en"/>
        </w:rPr>
        <w:t>ny</w:t>
      </w:r>
      <w:r w:rsidR="00C96542" w:rsidRPr="00D57076">
        <w:rPr>
          <w:rFonts w:asciiTheme="majorHAnsi" w:hAnsiTheme="majorHAnsi" w:cs="Arial"/>
          <w:sz w:val="22"/>
          <w:szCs w:val="22"/>
          <w:lang w:val="en"/>
        </w:rPr>
        <w:t xml:space="preserve"> fee</w:t>
      </w:r>
      <w:r w:rsidR="007470B1" w:rsidRPr="00D57076">
        <w:rPr>
          <w:rFonts w:asciiTheme="majorHAnsi" w:hAnsiTheme="majorHAnsi" w:cs="Arial"/>
          <w:sz w:val="22"/>
          <w:szCs w:val="22"/>
          <w:lang w:val="en"/>
        </w:rPr>
        <w:t xml:space="preserve"> when applying</w:t>
      </w:r>
      <w:r w:rsidR="00C96542" w:rsidRPr="00D57076">
        <w:rPr>
          <w:rFonts w:asciiTheme="majorHAnsi" w:hAnsiTheme="majorHAnsi" w:cs="Arial"/>
          <w:sz w:val="22"/>
          <w:szCs w:val="22"/>
          <w:lang w:val="en"/>
        </w:rPr>
        <w:t xml:space="preserve">. </w:t>
      </w:r>
      <w:r w:rsidR="00504408" w:rsidRPr="00D57076">
        <w:rPr>
          <w:rFonts w:asciiTheme="majorHAnsi" w:hAnsiTheme="majorHAnsi" w:cs="Arial"/>
          <w:sz w:val="22"/>
          <w:szCs w:val="22"/>
          <w:lang w:val="en"/>
        </w:rPr>
        <w:t xml:space="preserve"> </w:t>
      </w:r>
      <w:r w:rsidR="00C96542" w:rsidRPr="00D57076">
        <w:rPr>
          <w:rFonts w:asciiTheme="majorHAnsi" w:hAnsiTheme="majorHAnsi" w:cs="Arial"/>
          <w:sz w:val="22"/>
          <w:szCs w:val="22"/>
          <w:lang w:val="en"/>
        </w:rPr>
        <w:t xml:space="preserve"> </w:t>
      </w:r>
    </w:p>
    <w:p w14:paraId="77AE9BAE" w14:textId="46642319" w:rsidR="00610F28" w:rsidRPr="00D57076" w:rsidRDefault="00C96542" w:rsidP="00C96542">
      <w:pPr>
        <w:pStyle w:val="ListParagraph"/>
        <w:ind w:left="1439"/>
        <w:rPr>
          <w:rFonts w:asciiTheme="majorHAnsi" w:hAnsiTheme="majorHAnsi" w:cstheme="majorHAnsi"/>
          <w:sz w:val="22"/>
          <w:szCs w:val="22"/>
        </w:rPr>
      </w:pPr>
      <w:r w:rsidRPr="00D57076">
        <w:rPr>
          <w:rFonts w:asciiTheme="majorHAnsi" w:hAnsiTheme="majorHAnsi" w:cs="Arial"/>
          <w:sz w:val="22"/>
          <w:szCs w:val="22"/>
          <w:lang w:val="en"/>
        </w:rPr>
        <w:br/>
      </w:r>
    </w:p>
    <w:p w14:paraId="4A36BC28" w14:textId="760E5EA0" w:rsidR="007B1DA9" w:rsidRPr="00D57076" w:rsidRDefault="007B5EB7" w:rsidP="0063148B">
      <w:pPr>
        <w:pStyle w:val="ListParagraph"/>
        <w:numPr>
          <w:ilvl w:val="0"/>
          <w:numId w:val="7"/>
        </w:numPr>
        <w:rPr>
          <w:rFonts w:asciiTheme="majorHAnsi" w:hAnsiTheme="majorHAnsi" w:cs="Arial"/>
          <w:b/>
          <w:sz w:val="22"/>
          <w:szCs w:val="22"/>
          <w:lang w:val="en"/>
        </w:rPr>
      </w:pPr>
      <w:r>
        <w:rPr>
          <w:rFonts w:asciiTheme="majorHAnsi" w:hAnsiTheme="majorHAnsi" w:cs="Arial"/>
          <w:b/>
          <w:sz w:val="22"/>
          <w:szCs w:val="22"/>
          <w:u w:val="single"/>
          <w:lang w:val="en"/>
        </w:rPr>
        <w:t>A</w:t>
      </w:r>
      <w:r w:rsidR="007B1DA9" w:rsidRPr="00D57076">
        <w:rPr>
          <w:rFonts w:asciiTheme="majorHAnsi" w:hAnsiTheme="majorHAnsi" w:cs="Arial"/>
          <w:b/>
          <w:sz w:val="22"/>
          <w:szCs w:val="22"/>
          <w:u w:val="single"/>
          <w:lang w:val="en"/>
        </w:rPr>
        <w:t xml:space="preserve">ndroid phone </w:t>
      </w:r>
      <w:r w:rsidR="00AF41E9" w:rsidRPr="00D57076">
        <w:rPr>
          <w:rFonts w:asciiTheme="majorHAnsi" w:hAnsiTheme="majorHAnsi" w:cs="Arial"/>
          <w:b/>
          <w:sz w:val="22"/>
          <w:szCs w:val="22"/>
          <w:u w:val="single"/>
          <w:lang w:val="en"/>
        </w:rPr>
        <w:t xml:space="preserve">now </w:t>
      </w:r>
      <w:r w:rsidR="007B1DA9" w:rsidRPr="00D57076">
        <w:rPr>
          <w:rFonts w:asciiTheme="majorHAnsi" w:hAnsiTheme="majorHAnsi" w:cs="Arial"/>
          <w:b/>
          <w:sz w:val="22"/>
          <w:szCs w:val="22"/>
          <w:u w:val="single"/>
          <w:lang w:val="en"/>
        </w:rPr>
        <w:t xml:space="preserve">available </w:t>
      </w:r>
      <w:r w:rsidR="003B275B">
        <w:rPr>
          <w:rFonts w:asciiTheme="majorHAnsi" w:hAnsiTheme="majorHAnsi" w:cs="Arial"/>
          <w:b/>
          <w:sz w:val="22"/>
          <w:szCs w:val="22"/>
          <w:u w:val="single"/>
          <w:lang w:val="en"/>
        </w:rPr>
        <w:t>for staff to use</w:t>
      </w:r>
      <w:r w:rsidR="007470B1" w:rsidRPr="00D57076">
        <w:rPr>
          <w:rFonts w:asciiTheme="majorHAnsi" w:hAnsiTheme="majorHAnsi" w:cs="Arial"/>
          <w:b/>
          <w:sz w:val="22"/>
          <w:szCs w:val="22"/>
          <w:u w:val="single"/>
          <w:lang w:val="en"/>
        </w:rPr>
        <w:t xml:space="preserve"> </w:t>
      </w:r>
      <w:r w:rsidR="003B275B">
        <w:rPr>
          <w:rFonts w:asciiTheme="majorHAnsi" w:hAnsiTheme="majorHAnsi" w:cs="Arial"/>
          <w:b/>
          <w:sz w:val="22"/>
          <w:szCs w:val="22"/>
          <w:u w:val="single"/>
          <w:lang w:val="en"/>
        </w:rPr>
        <w:t xml:space="preserve">if needed </w:t>
      </w:r>
      <w:r w:rsidR="007470B1" w:rsidRPr="00D57076">
        <w:rPr>
          <w:rFonts w:asciiTheme="majorHAnsi" w:hAnsiTheme="majorHAnsi" w:cs="Arial"/>
          <w:b/>
          <w:sz w:val="22"/>
          <w:szCs w:val="22"/>
          <w:u w:val="single"/>
          <w:lang w:val="en"/>
        </w:rPr>
        <w:t xml:space="preserve">when </w:t>
      </w:r>
      <w:r w:rsidR="004B6293">
        <w:rPr>
          <w:rFonts w:asciiTheme="majorHAnsi" w:hAnsiTheme="majorHAnsi" w:cs="Arial"/>
          <w:b/>
          <w:sz w:val="22"/>
          <w:szCs w:val="22"/>
          <w:u w:val="single"/>
          <w:lang w:val="en"/>
        </w:rPr>
        <w:t>applying</w:t>
      </w:r>
      <w:r w:rsidR="007B1DA9" w:rsidRPr="00D57076">
        <w:rPr>
          <w:rFonts w:asciiTheme="majorHAnsi" w:hAnsiTheme="majorHAnsi" w:cs="Arial"/>
          <w:b/>
          <w:sz w:val="22"/>
          <w:szCs w:val="22"/>
          <w:u w:val="single"/>
          <w:lang w:val="en"/>
        </w:rPr>
        <w:t xml:space="preserve"> for the EU Settlement Scheme </w:t>
      </w:r>
      <w:r w:rsidR="007B1DA9" w:rsidRPr="00D57076">
        <w:rPr>
          <w:rFonts w:asciiTheme="majorHAnsi" w:hAnsiTheme="majorHAnsi" w:cs="Arial"/>
          <w:b/>
          <w:sz w:val="22"/>
          <w:szCs w:val="22"/>
          <w:u w:val="single"/>
          <w:lang w:val="en"/>
        </w:rPr>
        <w:br/>
        <w:t xml:space="preserve"> </w:t>
      </w:r>
    </w:p>
    <w:p w14:paraId="38D3D76B" w14:textId="481CCAF8" w:rsidR="007B1DA9" w:rsidRPr="00D57076" w:rsidRDefault="007B1DA9" w:rsidP="007B1DA9">
      <w:pPr>
        <w:pStyle w:val="PlainText"/>
        <w:ind w:left="1439"/>
        <w:rPr>
          <w:rFonts w:asciiTheme="majorHAnsi" w:hAnsiTheme="majorHAnsi" w:cstheme="majorHAnsi"/>
        </w:rPr>
      </w:pPr>
      <w:r w:rsidRPr="00D57076">
        <w:rPr>
          <w:rFonts w:asciiTheme="majorHAnsi" w:hAnsiTheme="majorHAnsi" w:cstheme="majorHAnsi"/>
          <w:lang w:val="en"/>
        </w:rPr>
        <w:t xml:space="preserve">Part of the </w:t>
      </w:r>
      <w:r w:rsidR="00AF41E9" w:rsidRPr="00D57076">
        <w:rPr>
          <w:rFonts w:asciiTheme="majorHAnsi" w:hAnsiTheme="majorHAnsi" w:cstheme="majorHAnsi"/>
          <w:lang w:val="en"/>
        </w:rPr>
        <w:t>a</w:t>
      </w:r>
      <w:r w:rsidRPr="00D57076">
        <w:rPr>
          <w:rFonts w:asciiTheme="majorHAnsi" w:hAnsiTheme="majorHAnsi" w:cstheme="majorHAnsi"/>
          <w:lang w:val="en"/>
        </w:rPr>
        <w:t>pplication process for the EU Settlement Scheme requires the applicant to use a Home Office app to verify their identity</w:t>
      </w:r>
      <w:r w:rsidR="00AF41E9" w:rsidRPr="00D57076">
        <w:rPr>
          <w:rFonts w:asciiTheme="majorHAnsi" w:hAnsiTheme="majorHAnsi" w:cstheme="majorHAnsi"/>
          <w:lang w:val="en"/>
        </w:rPr>
        <w:t xml:space="preserve"> using the chip in the applicant</w:t>
      </w:r>
      <w:r w:rsidR="00D57076">
        <w:rPr>
          <w:rFonts w:asciiTheme="majorHAnsi" w:hAnsiTheme="majorHAnsi" w:cstheme="majorHAnsi"/>
          <w:lang w:val="en"/>
        </w:rPr>
        <w:t>’</w:t>
      </w:r>
      <w:r w:rsidR="00AF41E9" w:rsidRPr="00D57076">
        <w:rPr>
          <w:rFonts w:asciiTheme="majorHAnsi" w:hAnsiTheme="majorHAnsi" w:cstheme="majorHAnsi"/>
          <w:lang w:val="en"/>
        </w:rPr>
        <w:t xml:space="preserve">s passport (for those without a chip in their passport, there are alternative non-digital ways to verify identity when the scheme fully opens on 30 March 2019). </w:t>
      </w:r>
      <w:r w:rsidRPr="00D57076">
        <w:rPr>
          <w:rFonts w:asciiTheme="majorHAnsi" w:hAnsiTheme="majorHAnsi" w:cstheme="majorHAnsi"/>
          <w:lang w:val="en"/>
        </w:rPr>
        <w:t xml:space="preserve"> </w:t>
      </w:r>
      <w:r w:rsidR="00AF41E9" w:rsidRPr="00D57076">
        <w:rPr>
          <w:rFonts w:asciiTheme="majorHAnsi" w:hAnsiTheme="majorHAnsi" w:cstheme="majorHAnsi"/>
          <w:lang w:val="en"/>
        </w:rPr>
        <w:t xml:space="preserve">This is currently only </w:t>
      </w:r>
      <w:r w:rsidRPr="00D57076">
        <w:rPr>
          <w:rFonts w:asciiTheme="majorHAnsi" w:hAnsiTheme="majorHAnsi" w:cstheme="majorHAnsi"/>
          <w:lang w:val="en"/>
        </w:rPr>
        <w:t>available to download on an Android phone and not Apple devices such as i</w:t>
      </w:r>
      <w:r w:rsidR="00C25E7C">
        <w:rPr>
          <w:rFonts w:asciiTheme="majorHAnsi" w:hAnsiTheme="majorHAnsi" w:cstheme="majorHAnsi"/>
          <w:lang w:val="en"/>
        </w:rPr>
        <w:t>P</w:t>
      </w:r>
      <w:r w:rsidRPr="00D57076">
        <w:rPr>
          <w:rFonts w:asciiTheme="majorHAnsi" w:hAnsiTheme="majorHAnsi" w:cstheme="majorHAnsi"/>
          <w:lang w:val="en"/>
        </w:rPr>
        <w:t xml:space="preserve">hones. </w:t>
      </w:r>
      <w:r w:rsidRPr="00D57076">
        <w:rPr>
          <w:rFonts w:asciiTheme="majorHAnsi" w:hAnsiTheme="majorHAnsi" w:cstheme="majorHAnsi"/>
        </w:rPr>
        <w:t xml:space="preserve">The Home Office have advised that as no data is stored on the device, there are no security risks in using a family or friend’s android phone for this element to verify your identity using the app. The remainder of the application can be completed on any device including Apple devices. </w:t>
      </w:r>
    </w:p>
    <w:p w14:paraId="31FBFC66" w14:textId="77777777" w:rsidR="007B1DA9" w:rsidRPr="00D57076" w:rsidRDefault="007B1DA9" w:rsidP="00AF41E9">
      <w:pPr>
        <w:pStyle w:val="PlainText"/>
        <w:ind w:left="1439"/>
        <w:rPr>
          <w:rFonts w:asciiTheme="majorHAnsi" w:hAnsiTheme="majorHAnsi" w:cstheme="majorHAnsi"/>
        </w:rPr>
      </w:pPr>
    </w:p>
    <w:p w14:paraId="19F6F311" w14:textId="294ED344" w:rsidR="007B1DA9" w:rsidRPr="00D57076" w:rsidRDefault="00AF41E9" w:rsidP="00AF41E9">
      <w:pPr>
        <w:pStyle w:val="ListParagraph"/>
        <w:ind w:left="1439"/>
        <w:rPr>
          <w:rFonts w:asciiTheme="majorHAnsi" w:hAnsiTheme="majorHAnsi" w:cs="Arial"/>
          <w:b/>
          <w:sz w:val="22"/>
          <w:szCs w:val="22"/>
          <w:lang w:val="en"/>
        </w:rPr>
      </w:pPr>
      <w:r w:rsidRPr="00D57076">
        <w:rPr>
          <w:rFonts w:asciiTheme="majorHAnsi" w:hAnsiTheme="majorHAnsi" w:cstheme="majorHAnsi"/>
          <w:b/>
          <w:sz w:val="22"/>
          <w:szCs w:val="22"/>
          <w:lang w:val="en"/>
        </w:rPr>
        <w:t>To assist staff who may not have access to an Android device for this element of the application process, a</w:t>
      </w:r>
      <w:r w:rsidR="007B5EB7">
        <w:rPr>
          <w:rFonts w:asciiTheme="majorHAnsi" w:hAnsiTheme="majorHAnsi" w:cstheme="majorHAnsi"/>
          <w:b/>
          <w:sz w:val="22"/>
          <w:szCs w:val="22"/>
          <w:lang w:val="en"/>
        </w:rPr>
        <w:t xml:space="preserve">n </w:t>
      </w:r>
      <w:r w:rsidR="007B1DA9" w:rsidRPr="00D57076">
        <w:rPr>
          <w:rFonts w:asciiTheme="majorHAnsi" w:hAnsiTheme="majorHAnsi" w:cstheme="majorHAnsi"/>
          <w:b/>
          <w:sz w:val="22"/>
          <w:szCs w:val="22"/>
          <w:lang w:val="en"/>
        </w:rPr>
        <w:t xml:space="preserve">android phone is </w:t>
      </w:r>
      <w:r w:rsidRPr="00D57076">
        <w:rPr>
          <w:rFonts w:asciiTheme="majorHAnsi" w:hAnsiTheme="majorHAnsi" w:cstheme="majorHAnsi"/>
          <w:b/>
          <w:sz w:val="22"/>
          <w:szCs w:val="22"/>
          <w:lang w:val="en"/>
        </w:rPr>
        <w:t>now</w:t>
      </w:r>
      <w:r w:rsidR="007B1DA9" w:rsidRPr="00D57076">
        <w:rPr>
          <w:rFonts w:asciiTheme="majorHAnsi" w:hAnsiTheme="majorHAnsi" w:cstheme="majorHAnsi"/>
          <w:b/>
          <w:sz w:val="22"/>
          <w:szCs w:val="22"/>
          <w:lang w:val="en"/>
        </w:rPr>
        <w:t xml:space="preserve"> available to use</w:t>
      </w:r>
      <w:r w:rsidRPr="00D57076">
        <w:rPr>
          <w:rFonts w:asciiTheme="majorHAnsi" w:hAnsiTheme="majorHAnsi" w:cstheme="majorHAnsi"/>
          <w:sz w:val="22"/>
          <w:szCs w:val="22"/>
          <w:lang w:val="en"/>
        </w:rPr>
        <w:t>.</w:t>
      </w:r>
      <w:r w:rsidR="007B1DA9" w:rsidRPr="00D57076">
        <w:rPr>
          <w:rFonts w:asciiTheme="majorHAnsi" w:hAnsiTheme="majorHAnsi" w:cstheme="majorHAnsi"/>
          <w:sz w:val="22"/>
          <w:szCs w:val="22"/>
          <w:lang w:val="en"/>
        </w:rPr>
        <w:t xml:space="preserve"> To use the phone, please visit HR reception on the 2</w:t>
      </w:r>
      <w:r w:rsidR="007B1DA9" w:rsidRPr="00D57076">
        <w:rPr>
          <w:rFonts w:asciiTheme="majorHAnsi" w:hAnsiTheme="majorHAnsi" w:cstheme="majorHAnsi"/>
          <w:sz w:val="22"/>
          <w:szCs w:val="22"/>
          <w:vertAlign w:val="superscript"/>
          <w:lang w:val="en"/>
        </w:rPr>
        <w:t>nd</w:t>
      </w:r>
      <w:r w:rsidR="007B1DA9" w:rsidRPr="00D57076">
        <w:rPr>
          <w:rFonts w:asciiTheme="majorHAnsi" w:hAnsiTheme="majorHAnsi" w:cstheme="majorHAnsi"/>
          <w:sz w:val="22"/>
          <w:szCs w:val="22"/>
          <w:lang w:val="en"/>
        </w:rPr>
        <w:t xml:space="preserve"> Floor at University House, who will book out the phone for you to use whilst in HR (you will not be able to take the phone away). Please remember to bring your application instructions for this part of the application process with you as the HR receptionist will not have access to this information</w:t>
      </w:r>
      <w:r w:rsidRPr="00D57076">
        <w:rPr>
          <w:rFonts w:asciiTheme="majorHAnsi" w:hAnsiTheme="majorHAnsi" w:cstheme="majorHAnsi"/>
          <w:sz w:val="22"/>
          <w:szCs w:val="22"/>
          <w:lang w:val="en"/>
        </w:rPr>
        <w:t>.</w:t>
      </w:r>
      <w:r w:rsidRPr="00D57076">
        <w:rPr>
          <w:rFonts w:asciiTheme="majorHAnsi" w:hAnsiTheme="majorHAnsi" w:cstheme="majorHAnsi"/>
          <w:sz w:val="22"/>
          <w:szCs w:val="22"/>
          <w:lang w:val="en"/>
        </w:rPr>
        <w:br/>
      </w:r>
    </w:p>
    <w:p w14:paraId="0639D057" w14:textId="77777777" w:rsidR="00EE2472" w:rsidRPr="00D57076" w:rsidRDefault="00EE2472" w:rsidP="00AF41E9">
      <w:pPr>
        <w:pStyle w:val="ListParagraph"/>
        <w:ind w:left="1439"/>
        <w:rPr>
          <w:rFonts w:asciiTheme="majorHAnsi" w:hAnsiTheme="majorHAnsi" w:cs="Arial"/>
          <w:b/>
          <w:sz w:val="22"/>
          <w:szCs w:val="22"/>
          <w:lang w:val="en"/>
        </w:rPr>
      </w:pPr>
    </w:p>
    <w:p w14:paraId="7C8A804C" w14:textId="7D8B3CC1" w:rsidR="00A92319" w:rsidRPr="00D57076" w:rsidRDefault="00A66B93" w:rsidP="00A92319">
      <w:pPr>
        <w:pStyle w:val="ListParagraph"/>
        <w:ind w:left="1439"/>
        <w:rPr>
          <w:rFonts w:asciiTheme="majorHAnsi" w:hAnsiTheme="majorHAnsi" w:cs="Arial"/>
          <w:sz w:val="22"/>
          <w:szCs w:val="22"/>
          <w:lang w:val="en"/>
        </w:rPr>
      </w:pPr>
      <w:r>
        <w:rPr>
          <w:rFonts w:asciiTheme="majorHAnsi" w:hAnsiTheme="majorHAnsi" w:cs="Arial"/>
          <w:b/>
          <w:sz w:val="22"/>
          <w:szCs w:val="22"/>
          <w:u w:val="single"/>
          <w:lang w:val="en"/>
        </w:rPr>
        <w:lastRenderedPageBreak/>
        <w:t xml:space="preserve"> </w:t>
      </w:r>
    </w:p>
    <w:p w14:paraId="017F2A7D" w14:textId="0BDF567C" w:rsidR="00CC7352" w:rsidRDefault="00A92319" w:rsidP="00EE2472">
      <w:pPr>
        <w:pStyle w:val="ListParagraph"/>
        <w:ind w:left="1439"/>
        <w:rPr>
          <w:rFonts w:asciiTheme="majorHAnsi" w:hAnsiTheme="majorHAnsi" w:cs="Arial"/>
          <w:sz w:val="22"/>
          <w:szCs w:val="22"/>
          <w:lang w:val="en"/>
        </w:rPr>
      </w:pPr>
      <w:r w:rsidRPr="00D57076">
        <w:rPr>
          <w:rFonts w:asciiTheme="majorHAnsi" w:hAnsiTheme="majorHAnsi" w:cs="Arial"/>
          <w:sz w:val="22"/>
          <w:szCs w:val="22"/>
          <w:lang w:val="en"/>
        </w:rPr>
        <w:t xml:space="preserve">  </w:t>
      </w:r>
    </w:p>
    <w:p w14:paraId="120588EC" w14:textId="77777777" w:rsidR="00C25E7C" w:rsidRPr="00D57076" w:rsidRDefault="00C25E7C" w:rsidP="00EE2472">
      <w:pPr>
        <w:pStyle w:val="ListParagraph"/>
        <w:ind w:left="1439"/>
        <w:rPr>
          <w:rFonts w:asciiTheme="majorHAnsi" w:hAnsiTheme="majorHAnsi" w:cs="Arial"/>
          <w:sz w:val="22"/>
          <w:szCs w:val="22"/>
          <w:lang w:val="en"/>
        </w:rPr>
      </w:pPr>
    </w:p>
    <w:p w14:paraId="7D2C9F7A" w14:textId="02A45D58" w:rsidR="009F1F66" w:rsidRPr="00A66B93" w:rsidRDefault="003B275B" w:rsidP="00A66B93">
      <w:pPr>
        <w:pStyle w:val="ListParagraph"/>
        <w:numPr>
          <w:ilvl w:val="0"/>
          <w:numId w:val="7"/>
        </w:numPr>
        <w:rPr>
          <w:rFonts w:asciiTheme="majorHAnsi" w:hAnsiTheme="majorHAnsi" w:cstheme="majorHAnsi"/>
          <w:b/>
          <w:sz w:val="22"/>
          <w:szCs w:val="22"/>
          <w:lang w:val="en"/>
        </w:rPr>
      </w:pPr>
      <w:r>
        <w:rPr>
          <w:rFonts w:asciiTheme="majorHAnsi" w:hAnsiTheme="majorHAnsi" w:cstheme="majorHAnsi"/>
          <w:b/>
          <w:sz w:val="22"/>
          <w:szCs w:val="22"/>
          <w:u w:val="single"/>
          <w:lang w:val="en"/>
        </w:rPr>
        <w:t>Changes</w:t>
      </w:r>
      <w:r w:rsidR="00A66B93">
        <w:rPr>
          <w:rFonts w:asciiTheme="majorHAnsi" w:hAnsiTheme="majorHAnsi" w:cstheme="majorHAnsi"/>
          <w:b/>
          <w:sz w:val="22"/>
          <w:szCs w:val="22"/>
          <w:u w:val="single"/>
          <w:lang w:val="en"/>
        </w:rPr>
        <w:t xml:space="preserve"> to Tier 2 salary minimums for certain job types</w:t>
      </w:r>
      <w:r>
        <w:rPr>
          <w:rFonts w:asciiTheme="majorHAnsi" w:hAnsiTheme="majorHAnsi" w:cstheme="majorHAnsi"/>
          <w:b/>
          <w:sz w:val="22"/>
          <w:szCs w:val="22"/>
          <w:u w:val="single"/>
          <w:lang w:val="en"/>
        </w:rPr>
        <w:t xml:space="preserve"> from 30 March 2019</w:t>
      </w:r>
    </w:p>
    <w:p w14:paraId="4A34BDD5" w14:textId="77777777" w:rsidR="009F1F66" w:rsidRPr="00D57076" w:rsidRDefault="009F1F66" w:rsidP="009F1F66">
      <w:pPr>
        <w:pStyle w:val="ListParagraph"/>
        <w:ind w:left="1439"/>
        <w:rPr>
          <w:rFonts w:asciiTheme="majorHAnsi" w:hAnsiTheme="majorHAnsi" w:cstheme="majorHAnsi"/>
          <w:b/>
          <w:sz w:val="22"/>
          <w:szCs w:val="22"/>
          <w:u w:val="single"/>
          <w:lang w:val="en"/>
        </w:rPr>
      </w:pPr>
    </w:p>
    <w:p w14:paraId="29C5C7AD" w14:textId="733B47B2" w:rsidR="00536C64" w:rsidRPr="00536C64" w:rsidRDefault="00A66B93" w:rsidP="00536C64">
      <w:pPr>
        <w:pStyle w:val="ListParagraph"/>
        <w:ind w:left="1439"/>
        <w:rPr>
          <w:rFonts w:asciiTheme="majorHAnsi" w:hAnsiTheme="majorHAnsi" w:cstheme="majorHAnsi"/>
          <w:sz w:val="22"/>
          <w:szCs w:val="22"/>
          <w:lang w:val="en"/>
        </w:rPr>
      </w:pPr>
      <w:r w:rsidRPr="00164002">
        <w:rPr>
          <w:rFonts w:asciiTheme="majorHAnsi" w:hAnsiTheme="majorHAnsi" w:cstheme="majorHAnsi"/>
          <w:sz w:val="22"/>
          <w:szCs w:val="22"/>
          <w:lang w:val="en"/>
        </w:rPr>
        <w:t xml:space="preserve">The latest changes to the </w:t>
      </w:r>
      <w:r>
        <w:rPr>
          <w:rFonts w:asciiTheme="majorHAnsi" w:hAnsiTheme="majorHAnsi" w:cstheme="majorHAnsi"/>
          <w:sz w:val="22"/>
          <w:szCs w:val="22"/>
          <w:lang w:val="en"/>
        </w:rPr>
        <w:t>I</w:t>
      </w:r>
      <w:r w:rsidR="00A07B3F">
        <w:rPr>
          <w:rFonts w:asciiTheme="majorHAnsi" w:hAnsiTheme="majorHAnsi" w:cstheme="majorHAnsi"/>
          <w:sz w:val="22"/>
          <w:szCs w:val="22"/>
          <w:lang w:val="en"/>
        </w:rPr>
        <w:t>mmigration R</w:t>
      </w:r>
      <w:r w:rsidRPr="00164002">
        <w:rPr>
          <w:rFonts w:asciiTheme="majorHAnsi" w:hAnsiTheme="majorHAnsi" w:cstheme="majorHAnsi"/>
          <w:sz w:val="22"/>
          <w:szCs w:val="22"/>
          <w:lang w:val="en"/>
        </w:rPr>
        <w:t xml:space="preserve">ules </w:t>
      </w:r>
      <w:r w:rsidR="00536C64">
        <w:rPr>
          <w:rFonts w:asciiTheme="majorHAnsi" w:hAnsiTheme="majorHAnsi" w:cstheme="majorHAnsi"/>
          <w:sz w:val="22"/>
          <w:szCs w:val="22"/>
          <w:lang w:val="en"/>
        </w:rPr>
        <w:t xml:space="preserve">published </w:t>
      </w:r>
      <w:r>
        <w:rPr>
          <w:rFonts w:asciiTheme="majorHAnsi" w:hAnsiTheme="majorHAnsi" w:cstheme="majorHAnsi"/>
          <w:sz w:val="22"/>
          <w:szCs w:val="22"/>
          <w:lang w:val="en"/>
        </w:rPr>
        <w:t>on</w:t>
      </w:r>
      <w:r w:rsidRPr="00164002">
        <w:rPr>
          <w:rFonts w:asciiTheme="majorHAnsi" w:hAnsiTheme="majorHAnsi" w:cstheme="majorHAnsi"/>
          <w:sz w:val="22"/>
          <w:szCs w:val="22"/>
          <w:lang w:val="en"/>
        </w:rPr>
        <w:t xml:space="preserve"> 7 March have</w:t>
      </w:r>
      <w:r>
        <w:rPr>
          <w:rFonts w:asciiTheme="majorHAnsi" w:hAnsiTheme="majorHAnsi" w:cstheme="majorHAnsi"/>
          <w:sz w:val="22"/>
          <w:szCs w:val="22"/>
          <w:lang w:val="en"/>
        </w:rPr>
        <w:t xml:space="preserve"> stated that several occupations salary minimums will increase from 30 March 2019.  Any CoS that is assigned on or after 30 March 2019 (for extensions as well as new starters) will need to meet the relevant salary requirement for the role.</w:t>
      </w:r>
      <w:r w:rsidR="005E0B9C">
        <w:rPr>
          <w:rFonts w:asciiTheme="majorHAnsi" w:hAnsiTheme="majorHAnsi" w:cstheme="majorHAnsi"/>
          <w:sz w:val="22"/>
          <w:szCs w:val="22"/>
          <w:lang w:val="en"/>
        </w:rPr>
        <w:t xml:space="preserve"> This is either the minimum salary threshold or the SOC Code rate, </w:t>
      </w:r>
      <w:r w:rsidR="005E0B9C" w:rsidRPr="00E96BC9">
        <w:rPr>
          <w:rFonts w:asciiTheme="majorHAnsi" w:hAnsiTheme="majorHAnsi" w:cstheme="majorHAnsi"/>
          <w:i/>
          <w:sz w:val="22"/>
          <w:szCs w:val="22"/>
          <w:lang w:val="en"/>
        </w:rPr>
        <w:t>whichever is the higher</w:t>
      </w:r>
      <w:r w:rsidR="005E0B9C">
        <w:rPr>
          <w:rFonts w:asciiTheme="majorHAnsi" w:hAnsiTheme="majorHAnsi" w:cstheme="majorHAnsi"/>
          <w:sz w:val="22"/>
          <w:szCs w:val="22"/>
          <w:lang w:val="en"/>
        </w:rPr>
        <w:t xml:space="preserve">. </w:t>
      </w:r>
      <w:r w:rsidR="00E96BC9">
        <w:rPr>
          <w:rFonts w:asciiTheme="majorHAnsi" w:hAnsiTheme="majorHAnsi" w:cstheme="majorHAnsi"/>
          <w:sz w:val="22"/>
          <w:szCs w:val="22"/>
          <w:lang w:val="en"/>
        </w:rPr>
        <w:t>The m</w:t>
      </w:r>
      <w:r w:rsidR="005E0B9C">
        <w:rPr>
          <w:rFonts w:asciiTheme="majorHAnsi" w:hAnsiTheme="majorHAnsi" w:cstheme="majorHAnsi"/>
          <w:sz w:val="22"/>
          <w:szCs w:val="22"/>
          <w:lang w:val="en"/>
        </w:rPr>
        <w:t>in</w:t>
      </w:r>
      <w:r w:rsidR="00E96BC9">
        <w:rPr>
          <w:rFonts w:asciiTheme="majorHAnsi" w:hAnsiTheme="majorHAnsi" w:cstheme="majorHAnsi"/>
          <w:sz w:val="22"/>
          <w:szCs w:val="22"/>
          <w:lang w:val="en"/>
        </w:rPr>
        <w:t>imum</w:t>
      </w:r>
      <w:r w:rsidR="005E0B9C">
        <w:rPr>
          <w:rFonts w:asciiTheme="majorHAnsi" w:hAnsiTheme="majorHAnsi" w:cstheme="majorHAnsi"/>
          <w:sz w:val="22"/>
          <w:szCs w:val="22"/>
          <w:lang w:val="en"/>
        </w:rPr>
        <w:t xml:space="preserve"> salary threshold rates are New Entrant = £20,800 and Experienced rate = £30,000 per annum.</w:t>
      </w:r>
      <w:r w:rsidR="00536C64">
        <w:rPr>
          <w:rFonts w:asciiTheme="majorHAnsi" w:hAnsiTheme="majorHAnsi" w:cstheme="majorHAnsi"/>
          <w:sz w:val="22"/>
          <w:szCs w:val="22"/>
          <w:lang w:val="en"/>
        </w:rPr>
        <w:t xml:space="preserve"> SOC code rates are based on the source data number of working hours a week so are re-calculated to reflect the 36.5 hour</w:t>
      </w:r>
      <w:r w:rsidR="0012097F">
        <w:rPr>
          <w:rFonts w:asciiTheme="majorHAnsi" w:hAnsiTheme="majorHAnsi" w:cstheme="majorHAnsi"/>
          <w:sz w:val="22"/>
          <w:szCs w:val="22"/>
          <w:lang w:val="en"/>
        </w:rPr>
        <w:t>s</w:t>
      </w:r>
      <w:r w:rsidR="00536C64">
        <w:rPr>
          <w:rFonts w:asciiTheme="majorHAnsi" w:hAnsiTheme="majorHAnsi" w:cstheme="majorHAnsi"/>
          <w:sz w:val="22"/>
          <w:szCs w:val="22"/>
          <w:lang w:val="en"/>
        </w:rPr>
        <w:t xml:space="preserve"> week at Warwick</w:t>
      </w:r>
      <w:r w:rsidR="0012097F">
        <w:rPr>
          <w:rFonts w:asciiTheme="majorHAnsi" w:hAnsiTheme="majorHAnsi" w:cstheme="majorHAnsi"/>
          <w:sz w:val="22"/>
          <w:szCs w:val="22"/>
          <w:lang w:val="en"/>
        </w:rPr>
        <w:t>.</w:t>
      </w:r>
      <w:r w:rsidR="00536C64">
        <w:rPr>
          <w:rFonts w:asciiTheme="majorHAnsi" w:hAnsiTheme="majorHAnsi" w:cstheme="majorHAnsi"/>
          <w:sz w:val="22"/>
          <w:szCs w:val="22"/>
          <w:lang w:val="en"/>
        </w:rPr>
        <w:t xml:space="preserve"> The source data for SOC codes 2119 and 2311 will change from 40 to 39 hours</w:t>
      </w:r>
      <w:r w:rsidR="00037A4C">
        <w:rPr>
          <w:rFonts w:asciiTheme="majorHAnsi" w:hAnsiTheme="majorHAnsi" w:cstheme="majorHAnsi"/>
          <w:sz w:val="22"/>
          <w:szCs w:val="22"/>
          <w:lang w:val="en"/>
        </w:rPr>
        <w:t xml:space="preserve"> on 30 March 2019</w:t>
      </w:r>
      <w:r w:rsidR="00536C64">
        <w:rPr>
          <w:rFonts w:asciiTheme="majorHAnsi" w:hAnsiTheme="majorHAnsi" w:cstheme="majorHAnsi"/>
          <w:sz w:val="22"/>
          <w:szCs w:val="22"/>
          <w:lang w:val="en"/>
        </w:rPr>
        <w:t>.</w:t>
      </w:r>
      <w:r w:rsidR="00536C64">
        <w:rPr>
          <w:rFonts w:asciiTheme="majorHAnsi" w:hAnsiTheme="majorHAnsi" w:cstheme="majorHAnsi"/>
          <w:sz w:val="22"/>
          <w:szCs w:val="22"/>
          <w:lang w:val="en"/>
        </w:rPr>
        <w:br/>
      </w:r>
    </w:p>
    <w:p w14:paraId="09B989A8" w14:textId="57C346EB" w:rsidR="0012097F" w:rsidRPr="00536C64" w:rsidRDefault="00A66B93" w:rsidP="0012097F">
      <w:pPr>
        <w:ind w:left="1439" w:firstLine="1"/>
        <w:rPr>
          <w:rFonts w:asciiTheme="majorHAnsi" w:hAnsiTheme="majorHAnsi" w:cstheme="majorHAnsi"/>
          <w:lang w:val="en"/>
        </w:rPr>
      </w:pPr>
      <w:r w:rsidRPr="00536C64">
        <w:rPr>
          <w:rFonts w:asciiTheme="majorHAnsi" w:hAnsiTheme="majorHAnsi" w:cstheme="majorHAnsi"/>
          <w:lang w:val="en"/>
        </w:rPr>
        <w:t>HR Immigration are assessing the l</w:t>
      </w:r>
      <w:r w:rsidR="00A07B3F">
        <w:rPr>
          <w:rFonts w:asciiTheme="majorHAnsi" w:hAnsiTheme="majorHAnsi" w:cstheme="majorHAnsi"/>
          <w:lang w:val="en"/>
        </w:rPr>
        <w:t xml:space="preserve">evel of impact this may have on </w:t>
      </w:r>
      <w:r w:rsidRPr="00536C64">
        <w:rPr>
          <w:rFonts w:asciiTheme="majorHAnsi" w:hAnsiTheme="majorHAnsi" w:cstheme="majorHAnsi"/>
          <w:lang w:val="en"/>
        </w:rPr>
        <w:t>sponsored roles at the University</w:t>
      </w:r>
      <w:r w:rsidR="00A07B3F">
        <w:rPr>
          <w:rFonts w:asciiTheme="majorHAnsi" w:hAnsiTheme="majorHAnsi" w:cstheme="majorHAnsi"/>
          <w:lang w:val="en"/>
        </w:rPr>
        <w:t xml:space="preserve">. </w:t>
      </w:r>
      <w:r w:rsidR="00A328EC">
        <w:rPr>
          <w:rFonts w:asciiTheme="majorHAnsi" w:hAnsiTheme="majorHAnsi" w:cstheme="majorHAnsi"/>
          <w:lang w:val="en"/>
        </w:rPr>
        <w:t xml:space="preserve">The role that may be </w:t>
      </w:r>
      <w:r w:rsidR="00037A4C">
        <w:rPr>
          <w:rFonts w:asciiTheme="majorHAnsi" w:hAnsiTheme="majorHAnsi" w:cstheme="majorHAnsi"/>
          <w:lang w:val="en"/>
        </w:rPr>
        <w:t xml:space="preserve">most </w:t>
      </w:r>
      <w:r w:rsidR="00A328EC">
        <w:rPr>
          <w:rFonts w:asciiTheme="majorHAnsi" w:hAnsiTheme="majorHAnsi" w:cstheme="majorHAnsi"/>
          <w:lang w:val="en"/>
        </w:rPr>
        <w:t>affecte</w:t>
      </w:r>
      <w:r w:rsidR="00037A4C">
        <w:rPr>
          <w:rFonts w:asciiTheme="majorHAnsi" w:hAnsiTheme="majorHAnsi" w:cstheme="majorHAnsi"/>
          <w:lang w:val="en"/>
        </w:rPr>
        <w:t>d</w:t>
      </w:r>
      <w:r w:rsidR="00A07B3F">
        <w:rPr>
          <w:rFonts w:asciiTheme="majorHAnsi" w:hAnsiTheme="majorHAnsi" w:cstheme="majorHAnsi"/>
          <w:lang w:val="en"/>
        </w:rPr>
        <w:t xml:space="preserve"> </w:t>
      </w:r>
      <w:r w:rsidR="00A328EC">
        <w:rPr>
          <w:rFonts w:asciiTheme="majorHAnsi" w:hAnsiTheme="majorHAnsi" w:cstheme="majorHAnsi"/>
          <w:lang w:val="en"/>
        </w:rPr>
        <w:t>is</w:t>
      </w:r>
      <w:r w:rsidR="00A07B3F">
        <w:rPr>
          <w:rFonts w:asciiTheme="majorHAnsi" w:hAnsiTheme="majorHAnsi" w:cstheme="majorHAnsi"/>
          <w:lang w:val="en"/>
        </w:rPr>
        <w:t xml:space="preserve"> </w:t>
      </w:r>
      <w:r w:rsidR="00A328EC">
        <w:rPr>
          <w:rFonts w:asciiTheme="majorHAnsi" w:hAnsiTheme="majorHAnsi" w:cstheme="majorHAnsi"/>
          <w:lang w:val="en"/>
        </w:rPr>
        <w:t>Teaching Fellow (Grade FA6 £30,395 - £39,609 p.a.).</w:t>
      </w:r>
      <w:r w:rsidR="0012097F">
        <w:rPr>
          <w:rFonts w:asciiTheme="majorHAnsi" w:hAnsiTheme="majorHAnsi" w:cstheme="majorHAnsi"/>
          <w:lang w:val="en"/>
        </w:rPr>
        <w:t xml:space="preserve"> If</w:t>
      </w:r>
      <w:r w:rsidR="00950FD7">
        <w:rPr>
          <w:rFonts w:asciiTheme="majorHAnsi" w:hAnsiTheme="majorHAnsi" w:cstheme="majorHAnsi"/>
          <w:lang w:val="en"/>
        </w:rPr>
        <w:t xml:space="preserve"> the University</w:t>
      </w:r>
      <w:r w:rsidR="0012097F">
        <w:rPr>
          <w:rFonts w:asciiTheme="majorHAnsi" w:hAnsiTheme="majorHAnsi" w:cstheme="majorHAnsi"/>
          <w:lang w:val="en"/>
        </w:rPr>
        <w:t xml:space="preserve"> salary </w:t>
      </w:r>
      <w:r w:rsidR="00A07B3F">
        <w:rPr>
          <w:rFonts w:asciiTheme="majorHAnsi" w:hAnsiTheme="majorHAnsi" w:cstheme="majorHAnsi"/>
          <w:lang w:val="en"/>
        </w:rPr>
        <w:t xml:space="preserve">to be paid </w:t>
      </w:r>
      <w:r w:rsidR="0012097F">
        <w:rPr>
          <w:rFonts w:asciiTheme="majorHAnsi" w:hAnsiTheme="majorHAnsi" w:cstheme="majorHAnsi"/>
          <w:lang w:val="en"/>
        </w:rPr>
        <w:t>does not meet the minimum salary required</w:t>
      </w:r>
      <w:r w:rsidR="00A07B3F">
        <w:rPr>
          <w:rFonts w:asciiTheme="majorHAnsi" w:hAnsiTheme="majorHAnsi" w:cstheme="majorHAnsi"/>
          <w:lang w:val="en"/>
        </w:rPr>
        <w:t xml:space="preserve"> at the point of offer or visa extension</w:t>
      </w:r>
      <w:r w:rsidR="0012097F">
        <w:rPr>
          <w:rFonts w:asciiTheme="majorHAnsi" w:hAnsiTheme="majorHAnsi" w:cstheme="majorHAnsi"/>
          <w:lang w:val="en"/>
        </w:rPr>
        <w:t xml:space="preserve">, sponsorship </w:t>
      </w:r>
      <w:r w:rsidR="00A07B3F">
        <w:rPr>
          <w:rFonts w:asciiTheme="majorHAnsi" w:hAnsiTheme="majorHAnsi" w:cstheme="majorHAnsi"/>
          <w:lang w:val="en"/>
        </w:rPr>
        <w:t xml:space="preserve">under Tier 2 </w:t>
      </w:r>
      <w:r w:rsidR="0012097F">
        <w:rPr>
          <w:rFonts w:asciiTheme="majorHAnsi" w:hAnsiTheme="majorHAnsi" w:cstheme="majorHAnsi"/>
          <w:lang w:val="en"/>
        </w:rPr>
        <w:t>will not be possible</w:t>
      </w:r>
      <w:r w:rsidR="00950FD7">
        <w:rPr>
          <w:rFonts w:asciiTheme="majorHAnsi" w:hAnsiTheme="majorHAnsi" w:cstheme="majorHAnsi"/>
          <w:lang w:val="en"/>
        </w:rPr>
        <w:t xml:space="preserve">. </w:t>
      </w:r>
      <w:r w:rsidR="00A07B3F">
        <w:rPr>
          <w:rFonts w:asciiTheme="majorHAnsi" w:hAnsiTheme="majorHAnsi" w:cstheme="majorHAnsi"/>
          <w:lang w:val="en"/>
        </w:rPr>
        <w:t>HR</w:t>
      </w:r>
      <w:r w:rsidR="00A07B3F" w:rsidRPr="00536C64">
        <w:rPr>
          <w:rFonts w:asciiTheme="majorHAnsi" w:hAnsiTheme="majorHAnsi" w:cstheme="majorHAnsi"/>
          <w:lang w:val="en"/>
        </w:rPr>
        <w:t xml:space="preserve"> will advise departments on a case by case basis</w:t>
      </w:r>
      <w:r w:rsidR="00A07B3F">
        <w:rPr>
          <w:rFonts w:asciiTheme="majorHAnsi" w:hAnsiTheme="majorHAnsi" w:cstheme="majorHAnsi"/>
          <w:lang w:val="en"/>
        </w:rPr>
        <w:t xml:space="preserve"> where this is </w:t>
      </w:r>
      <w:r w:rsidR="00037A4C">
        <w:rPr>
          <w:rFonts w:asciiTheme="majorHAnsi" w:hAnsiTheme="majorHAnsi" w:cstheme="majorHAnsi"/>
          <w:lang w:val="en"/>
        </w:rPr>
        <w:t>identified</w:t>
      </w:r>
      <w:r w:rsidR="00A07B3F" w:rsidRPr="00536C64">
        <w:rPr>
          <w:rFonts w:asciiTheme="majorHAnsi" w:hAnsiTheme="majorHAnsi" w:cstheme="majorHAnsi"/>
          <w:lang w:val="en"/>
        </w:rPr>
        <w:t>.</w:t>
      </w:r>
      <w:r w:rsidR="00A07B3F">
        <w:rPr>
          <w:rFonts w:asciiTheme="majorHAnsi" w:hAnsiTheme="majorHAnsi" w:cstheme="majorHAnsi"/>
          <w:lang w:val="en"/>
        </w:rPr>
        <w:t xml:space="preserve"> </w:t>
      </w:r>
      <w:r w:rsidRPr="00536C64">
        <w:rPr>
          <w:rFonts w:asciiTheme="majorHAnsi" w:hAnsiTheme="majorHAnsi" w:cstheme="majorHAnsi"/>
          <w:lang w:val="en"/>
        </w:rPr>
        <w:t>The table below l</w:t>
      </w:r>
      <w:bookmarkStart w:id="0" w:name="_GoBack"/>
      <w:bookmarkEnd w:id="0"/>
      <w:r w:rsidRPr="00536C64">
        <w:rPr>
          <w:rFonts w:asciiTheme="majorHAnsi" w:hAnsiTheme="majorHAnsi" w:cstheme="majorHAnsi"/>
          <w:lang w:val="en"/>
        </w:rPr>
        <w:t>ists the most commonly used SOC Codes for roles sponsored at Warwick</w:t>
      </w:r>
      <w:r w:rsidR="00957CCB">
        <w:rPr>
          <w:rFonts w:asciiTheme="majorHAnsi" w:hAnsiTheme="majorHAnsi" w:cstheme="majorHAnsi"/>
          <w:lang w:val="en"/>
        </w:rPr>
        <w:t xml:space="preserve"> and the new</w:t>
      </w:r>
      <w:r w:rsidR="00D10FFE">
        <w:rPr>
          <w:rFonts w:asciiTheme="majorHAnsi" w:hAnsiTheme="majorHAnsi" w:cstheme="majorHAnsi"/>
          <w:lang w:val="en"/>
        </w:rPr>
        <w:t xml:space="preserve"> </w:t>
      </w:r>
      <w:r w:rsidR="00957CCB">
        <w:rPr>
          <w:rFonts w:asciiTheme="majorHAnsi" w:hAnsiTheme="majorHAnsi" w:cstheme="majorHAnsi"/>
          <w:lang w:val="en"/>
        </w:rPr>
        <w:t xml:space="preserve">SOC code </w:t>
      </w:r>
      <w:r w:rsidR="00D10FFE">
        <w:rPr>
          <w:rFonts w:asciiTheme="majorHAnsi" w:hAnsiTheme="majorHAnsi" w:cstheme="majorHAnsi"/>
          <w:lang w:val="en"/>
        </w:rPr>
        <w:t>minimum salary rates from 30 March 2019</w:t>
      </w:r>
      <w:r w:rsidR="00957CCB">
        <w:rPr>
          <w:rFonts w:asciiTheme="majorHAnsi" w:hAnsiTheme="majorHAnsi" w:cstheme="majorHAnsi"/>
          <w:lang w:val="en"/>
        </w:rPr>
        <w:t xml:space="preserve"> are in bold</w:t>
      </w:r>
      <w:r w:rsidRPr="00536C64">
        <w:rPr>
          <w:rFonts w:asciiTheme="majorHAnsi" w:hAnsiTheme="majorHAnsi" w:cstheme="majorHAnsi"/>
          <w:lang w:val="en"/>
        </w:rPr>
        <w:t>.</w:t>
      </w:r>
      <w:r w:rsidR="0012097F">
        <w:rPr>
          <w:rFonts w:asciiTheme="majorHAnsi" w:hAnsiTheme="majorHAnsi" w:cstheme="majorHAnsi"/>
          <w:lang w:val="en"/>
        </w:rPr>
        <w:t xml:space="preserve">  </w:t>
      </w:r>
    </w:p>
    <w:p w14:paraId="3171A9A5" w14:textId="77777777" w:rsidR="00A66B93" w:rsidRDefault="00A66B93" w:rsidP="00A66B93">
      <w:pPr>
        <w:pStyle w:val="ListParagraph"/>
        <w:ind w:left="1439"/>
        <w:rPr>
          <w:rFonts w:asciiTheme="majorHAnsi" w:hAnsiTheme="majorHAnsi" w:cstheme="majorHAnsi"/>
          <w:sz w:val="22"/>
          <w:szCs w:val="22"/>
          <w:lang w:val="en"/>
        </w:rPr>
      </w:pPr>
    </w:p>
    <w:tbl>
      <w:tblPr>
        <w:tblStyle w:val="TableGrid"/>
        <w:tblW w:w="0" w:type="auto"/>
        <w:tblInd w:w="1413" w:type="dxa"/>
        <w:tblLayout w:type="fixed"/>
        <w:tblLook w:val="04A0" w:firstRow="1" w:lastRow="0" w:firstColumn="1" w:lastColumn="0" w:noHBand="0" w:noVBand="1"/>
      </w:tblPr>
      <w:tblGrid>
        <w:gridCol w:w="1559"/>
        <w:gridCol w:w="709"/>
        <w:gridCol w:w="1701"/>
        <w:gridCol w:w="1701"/>
        <w:gridCol w:w="1701"/>
        <w:gridCol w:w="1701"/>
      </w:tblGrid>
      <w:tr w:rsidR="00A66B93" w:rsidRPr="004C7832" w14:paraId="673E3E56" w14:textId="77777777" w:rsidTr="00E96BC9">
        <w:trPr>
          <w:trHeight w:val="1545"/>
        </w:trPr>
        <w:tc>
          <w:tcPr>
            <w:tcW w:w="1559" w:type="dxa"/>
          </w:tcPr>
          <w:p w14:paraId="46066FA9" w14:textId="5B84FDDA" w:rsidR="00A66B93" w:rsidRPr="004C7832" w:rsidRDefault="00A66B93" w:rsidP="00BF2E09">
            <w:pPr>
              <w:spacing w:after="0" w:line="240" w:lineRule="auto"/>
              <w:rPr>
                <w:rFonts w:asciiTheme="majorHAnsi" w:hAnsiTheme="majorHAnsi"/>
                <w:b/>
              </w:rPr>
            </w:pPr>
            <w:r w:rsidRPr="004C7832">
              <w:rPr>
                <w:rFonts w:asciiTheme="majorHAnsi" w:hAnsiTheme="majorHAnsi"/>
                <w:b/>
              </w:rPr>
              <w:t>Role</w:t>
            </w:r>
            <w:r>
              <w:rPr>
                <w:rFonts w:asciiTheme="majorHAnsi" w:hAnsiTheme="majorHAnsi"/>
                <w:b/>
              </w:rPr>
              <w:t xml:space="preserve">s commonly sponsored under </w:t>
            </w:r>
            <w:r>
              <w:rPr>
                <w:rFonts w:asciiTheme="majorHAnsi" w:hAnsiTheme="majorHAnsi"/>
                <w:b/>
              </w:rPr>
              <w:br/>
              <w:t xml:space="preserve">Tier 2 </w:t>
            </w:r>
            <w:r w:rsidR="00950FD7">
              <w:rPr>
                <w:rFonts w:asciiTheme="majorHAnsi" w:hAnsiTheme="majorHAnsi"/>
                <w:b/>
              </w:rPr>
              <w:t>at UoW</w:t>
            </w:r>
          </w:p>
        </w:tc>
        <w:tc>
          <w:tcPr>
            <w:tcW w:w="709" w:type="dxa"/>
          </w:tcPr>
          <w:p w14:paraId="7FF67C8F" w14:textId="77777777" w:rsidR="00A66B93" w:rsidRPr="004C7832" w:rsidRDefault="00A66B93" w:rsidP="00BF2E09">
            <w:pPr>
              <w:spacing w:after="0" w:line="240" w:lineRule="auto"/>
              <w:rPr>
                <w:rFonts w:asciiTheme="majorHAnsi" w:hAnsiTheme="majorHAnsi"/>
                <w:b/>
              </w:rPr>
            </w:pPr>
            <w:r w:rsidRPr="004C7832">
              <w:rPr>
                <w:rFonts w:asciiTheme="majorHAnsi" w:hAnsiTheme="majorHAnsi"/>
                <w:b/>
              </w:rPr>
              <w:t>SOC Code</w:t>
            </w:r>
          </w:p>
        </w:tc>
        <w:tc>
          <w:tcPr>
            <w:tcW w:w="1701" w:type="dxa"/>
            <w:shd w:val="clear" w:color="auto" w:fill="D6E3BC" w:themeFill="accent3" w:themeFillTint="66"/>
          </w:tcPr>
          <w:p w14:paraId="2E1575CF" w14:textId="77777777" w:rsidR="00A66B93" w:rsidRPr="00E96BC9" w:rsidRDefault="00A66B93" w:rsidP="00BF2E09">
            <w:pPr>
              <w:spacing w:after="0" w:line="240" w:lineRule="auto"/>
              <w:rPr>
                <w:rFonts w:asciiTheme="majorHAnsi" w:hAnsiTheme="majorHAnsi"/>
                <w:b/>
              </w:rPr>
            </w:pPr>
            <w:r w:rsidRPr="00E96BC9">
              <w:rPr>
                <w:rFonts w:asciiTheme="majorHAnsi" w:hAnsiTheme="majorHAnsi"/>
                <w:b/>
              </w:rPr>
              <w:t xml:space="preserve">Pre 30 Mar 19 </w:t>
            </w:r>
            <w:r w:rsidRPr="00957CCB">
              <w:rPr>
                <w:rFonts w:asciiTheme="majorHAnsi" w:hAnsiTheme="majorHAnsi"/>
                <w:b/>
                <w:i/>
              </w:rPr>
              <w:t>New Entrant</w:t>
            </w:r>
            <w:r w:rsidRPr="00E96BC9">
              <w:rPr>
                <w:rFonts w:asciiTheme="majorHAnsi" w:hAnsiTheme="majorHAnsi"/>
                <w:b/>
              </w:rPr>
              <w:t xml:space="preserve"> rate salary min. (re-calculated to 36.5 hours) </w:t>
            </w:r>
          </w:p>
        </w:tc>
        <w:tc>
          <w:tcPr>
            <w:tcW w:w="1701" w:type="dxa"/>
            <w:shd w:val="clear" w:color="auto" w:fill="E5B8B7" w:themeFill="accent2" w:themeFillTint="66"/>
          </w:tcPr>
          <w:p w14:paraId="0855436B" w14:textId="77777777" w:rsidR="00A66B93" w:rsidRPr="00E96BC9" w:rsidRDefault="00A66B93" w:rsidP="00BF2E09">
            <w:pPr>
              <w:spacing w:after="0" w:line="240" w:lineRule="auto"/>
              <w:rPr>
                <w:rFonts w:asciiTheme="majorHAnsi" w:hAnsiTheme="majorHAnsi"/>
                <w:b/>
              </w:rPr>
            </w:pPr>
            <w:r w:rsidRPr="00E96BC9">
              <w:rPr>
                <w:rFonts w:asciiTheme="majorHAnsi" w:hAnsiTheme="majorHAnsi"/>
                <w:b/>
              </w:rPr>
              <w:t xml:space="preserve">Post 30 Mar 19 </w:t>
            </w:r>
            <w:r w:rsidRPr="00957CCB">
              <w:rPr>
                <w:rFonts w:asciiTheme="majorHAnsi" w:hAnsiTheme="majorHAnsi"/>
                <w:b/>
                <w:i/>
              </w:rPr>
              <w:t>New Entrant</w:t>
            </w:r>
            <w:r w:rsidRPr="00E96BC9">
              <w:rPr>
                <w:rFonts w:asciiTheme="majorHAnsi" w:hAnsiTheme="majorHAnsi"/>
                <w:b/>
              </w:rPr>
              <w:t xml:space="preserve">  rate salary min. (re-calculated to 36.5 hours)</w:t>
            </w:r>
          </w:p>
        </w:tc>
        <w:tc>
          <w:tcPr>
            <w:tcW w:w="1701" w:type="dxa"/>
            <w:shd w:val="clear" w:color="auto" w:fill="D6E3BC" w:themeFill="accent3" w:themeFillTint="66"/>
          </w:tcPr>
          <w:p w14:paraId="4A0822B5" w14:textId="77777777" w:rsidR="00A66B93" w:rsidRPr="004C7832" w:rsidRDefault="00A66B93" w:rsidP="00BF2E09">
            <w:pPr>
              <w:spacing w:after="0" w:line="240" w:lineRule="auto"/>
              <w:rPr>
                <w:rFonts w:asciiTheme="majorHAnsi" w:hAnsiTheme="majorHAnsi"/>
                <w:b/>
              </w:rPr>
            </w:pPr>
            <w:r w:rsidRPr="004C7832">
              <w:rPr>
                <w:rFonts w:asciiTheme="majorHAnsi" w:hAnsiTheme="majorHAnsi"/>
                <w:b/>
              </w:rPr>
              <w:t xml:space="preserve">Pre 30 Mar 19 </w:t>
            </w:r>
            <w:r w:rsidRPr="00957CCB">
              <w:rPr>
                <w:rFonts w:asciiTheme="majorHAnsi" w:hAnsiTheme="majorHAnsi"/>
                <w:b/>
                <w:i/>
              </w:rPr>
              <w:t>Experienced</w:t>
            </w:r>
            <w:r w:rsidRPr="004C7832">
              <w:rPr>
                <w:rFonts w:asciiTheme="majorHAnsi" w:hAnsiTheme="majorHAnsi"/>
                <w:b/>
              </w:rPr>
              <w:t xml:space="preserve"> </w:t>
            </w:r>
            <w:r>
              <w:rPr>
                <w:rFonts w:asciiTheme="majorHAnsi" w:hAnsiTheme="majorHAnsi"/>
                <w:b/>
              </w:rPr>
              <w:t xml:space="preserve">rate </w:t>
            </w:r>
            <w:r w:rsidRPr="004C7832">
              <w:rPr>
                <w:rFonts w:asciiTheme="majorHAnsi" w:hAnsiTheme="majorHAnsi"/>
                <w:b/>
              </w:rPr>
              <w:t>salary</w:t>
            </w:r>
            <w:r>
              <w:rPr>
                <w:rFonts w:asciiTheme="majorHAnsi" w:hAnsiTheme="majorHAnsi"/>
                <w:b/>
              </w:rPr>
              <w:t xml:space="preserve"> min.</w:t>
            </w:r>
            <w:r w:rsidRPr="004C7832">
              <w:rPr>
                <w:rFonts w:asciiTheme="majorHAnsi" w:hAnsiTheme="majorHAnsi"/>
                <w:b/>
              </w:rPr>
              <w:t xml:space="preserve"> </w:t>
            </w:r>
            <w:r>
              <w:rPr>
                <w:rFonts w:asciiTheme="majorHAnsi" w:hAnsiTheme="majorHAnsi"/>
                <w:b/>
              </w:rPr>
              <w:br/>
              <w:t xml:space="preserve">(re-calculated </w:t>
            </w:r>
            <w:r w:rsidRPr="004C7832">
              <w:rPr>
                <w:rFonts w:asciiTheme="majorHAnsi" w:hAnsiTheme="majorHAnsi"/>
                <w:b/>
              </w:rPr>
              <w:t>to 36.5 hours)</w:t>
            </w:r>
          </w:p>
        </w:tc>
        <w:tc>
          <w:tcPr>
            <w:tcW w:w="1701" w:type="dxa"/>
            <w:shd w:val="clear" w:color="auto" w:fill="E5B8B7" w:themeFill="accent2" w:themeFillTint="66"/>
          </w:tcPr>
          <w:p w14:paraId="3528547E" w14:textId="77777777" w:rsidR="00A66B93" w:rsidRPr="004C7832" w:rsidRDefault="00A66B93" w:rsidP="00BF2E09">
            <w:pPr>
              <w:spacing w:after="0" w:line="240" w:lineRule="auto"/>
              <w:rPr>
                <w:rFonts w:asciiTheme="majorHAnsi" w:hAnsiTheme="majorHAnsi"/>
                <w:b/>
              </w:rPr>
            </w:pPr>
            <w:r w:rsidRPr="004C7832">
              <w:rPr>
                <w:rFonts w:asciiTheme="majorHAnsi" w:hAnsiTheme="majorHAnsi"/>
                <w:b/>
              </w:rPr>
              <w:t xml:space="preserve">Post 30 Mar 19 </w:t>
            </w:r>
            <w:r w:rsidRPr="00957CCB">
              <w:rPr>
                <w:rFonts w:asciiTheme="majorHAnsi" w:hAnsiTheme="majorHAnsi"/>
                <w:b/>
                <w:i/>
              </w:rPr>
              <w:t xml:space="preserve">Experienced </w:t>
            </w:r>
            <w:r>
              <w:rPr>
                <w:rFonts w:asciiTheme="majorHAnsi" w:hAnsiTheme="majorHAnsi"/>
                <w:b/>
              </w:rPr>
              <w:t xml:space="preserve"> rate </w:t>
            </w:r>
            <w:r w:rsidRPr="004C7832">
              <w:rPr>
                <w:rFonts w:asciiTheme="majorHAnsi" w:hAnsiTheme="majorHAnsi"/>
                <w:b/>
              </w:rPr>
              <w:t>salary</w:t>
            </w:r>
            <w:r>
              <w:rPr>
                <w:rFonts w:asciiTheme="majorHAnsi" w:hAnsiTheme="majorHAnsi"/>
                <w:b/>
              </w:rPr>
              <w:t xml:space="preserve"> min.</w:t>
            </w:r>
            <w:r w:rsidRPr="004C7832">
              <w:rPr>
                <w:rFonts w:asciiTheme="majorHAnsi" w:hAnsiTheme="majorHAnsi"/>
                <w:b/>
              </w:rPr>
              <w:t xml:space="preserve"> </w:t>
            </w:r>
            <w:r>
              <w:rPr>
                <w:rFonts w:asciiTheme="majorHAnsi" w:hAnsiTheme="majorHAnsi"/>
                <w:b/>
              </w:rPr>
              <w:t xml:space="preserve">  (re-calculated</w:t>
            </w:r>
            <w:r w:rsidRPr="004C7832">
              <w:rPr>
                <w:rFonts w:asciiTheme="majorHAnsi" w:hAnsiTheme="majorHAnsi"/>
                <w:b/>
              </w:rPr>
              <w:t xml:space="preserve"> to 36.5 hours)</w:t>
            </w:r>
          </w:p>
        </w:tc>
      </w:tr>
      <w:tr w:rsidR="00A66B93" w:rsidRPr="004C7832" w14:paraId="03C1C25A" w14:textId="77777777" w:rsidTr="00E96BC9">
        <w:trPr>
          <w:trHeight w:val="995"/>
        </w:trPr>
        <w:tc>
          <w:tcPr>
            <w:tcW w:w="1559" w:type="dxa"/>
          </w:tcPr>
          <w:p w14:paraId="59EA5DE7" w14:textId="77777777" w:rsidR="00A66B93" w:rsidRPr="00950FD7" w:rsidRDefault="00A66B93" w:rsidP="00E96BC9">
            <w:pPr>
              <w:spacing w:after="0"/>
              <w:rPr>
                <w:rFonts w:asciiTheme="majorHAnsi" w:hAnsiTheme="majorHAnsi"/>
                <w:b/>
              </w:rPr>
            </w:pPr>
            <w:r w:rsidRPr="00950FD7">
              <w:rPr>
                <w:rFonts w:asciiTheme="majorHAnsi" w:hAnsiTheme="majorHAnsi"/>
                <w:b/>
              </w:rPr>
              <w:t>Res Asst</w:t>
            </w:r>
            <w:r w:rsidRPr="00950FD7">
              <w:rPr>
                <w:rFonts w:asciiTheme="majorHAnsi" w:hAnsiTheme="majorHAnsi"/>
                <w:b/>
              </w:rPr>
              <w:br/>
              <w:t>Res Fellow</w:t>
            </w:r>
            <w:r w:rsidRPr="00950FD7">
              <w:rPr>
                <w:rFonts w:asciiTheme="majorHAnsi" w:hAnsiTheme="majorHAnsi"/>
                <w:b/>
              </w:rPr>
              <w:br/>
              <w:t>Snr R F</w:t>
            </w:r>
          </w:p>
        </w:tc>
        <w:tc>
          <w:tcPr>
            <w:tcW w:w="709" w:type="dxa"/>
          </w:tcPr>
          <w:p w14:paraId="0F216001" w14:textId="77777777" w:rsidR="00A66B93" w:rsidRPr="00950FD7" w:rsidRDefault="00A66B93" w:rsidP="00E96BC9">
            <w:pPr>
              <w:spacing w:after="0"/>
              <w:rPr>
                <w:rFonts w:asciiTheme="majorHAnsi" w:hAnsiTheme="majorHAnsi"/>
                <w:b/>
              </w:rPr>
            </w:pPr>
            <w:r w:rsidRPr="00950FD7">
              <w:rPr>
                <w:rFonts w:asciiTheme="majorHAnsi" w:hAnsiTheme="majorHAnsi"/>
                <w:b/>
              </w:rPr>
              <w:t>2119</w:t>
            </w:r>
          </w:p>
        </w:tc>
        <w:tc>
          <w:tcPr>
            <w:tcW w:w="1701" w:type="dxa"/>
            <w:shd w:val="clear" w:color="auto" w:fill="D6E3BC" w:themeFill="accent3" w:themeFillTint="66"/>
          </w:tcPr>
          <w:p w14:paraId="7F301B99" w14:textId="52B12992" w:rsidR="00A66B93" w:rsidRPr="00B5624B" w:rsidRDefault="00E96BC9" w:rsidP="00E96BC9">
            <w:pPr>
              <w:spacing w:after="0" w:line="240" w:lineRule="auto"/>
              <w:rPr>
                <w:rFonts w:asciiTheme="majorHAnsi" w:hAnsiTheme="majorHAnsi"/>
              </w:rPr>
            </w:pPr>
            <w:r>
              <w:rPr>
                <w:rFonts w:asciiTheme="majorHAnsi" w:hAnsiTheme="majorHAnsi"/>
              </w:rPr>
              <w:t>£21,6</w:t>
            </w:r>
            <w:r w:rsidR="00A66B93">
              <w:rPr>
                <w:rFonts w:asciiTheme="majorHAnsi" w:hAnsiTheme="majorHAnsi"/>
              </w:rPr>
              <w:t xml:space="preserve">00 </w:t>
            </w:r>
            <w:r>
              <w:rPr>
                <w:rFonts w:asciiTheme="majorHAnsi" w:hAnsiTheme="majorHAnsi"/>
              </w:rPr>
              <w:t>(40 hrs)</w:t>
            </w:r>
            <w:r w:rsidR="00A66B93">
              <w:rPr>
                <w:rFonts w:asciiTheme="majorHAnsi" w:hAnsiTheme="majorHAnsi"/>
              </w:rPr>
              <w:br/>
              <w:t xml:space="preserve">re-calculated to </w:t>
            </w:r>
            <w:r w:rsidR="00A66B93" w:rsidRPr="00957CCB">
              <w:rPr>
                <w:rFonts w:asciiTheme="majorHAnsi" w:hAnsiTheme="majorHAnsi"/>
              </w:rPr>
              <w:t>£</w:t>
            </w:r>
            <w:r w:rsidRPr="00957CCB">
              <w:rPr>
                <w:rFonts w:asciiTheme="majorHAnsi" w:hAnsiTheme="majorHAnsi"/>
              </w:rPr>
              <w:t>19,710</w:t>
            </w:r>
            <w:r>
              <w:rPr>
                <w:rFonts w:asciiTheme="majorHAnsi" w:hAnsiTheme="majorHAnsi"/>
              </w:rPr>
              <w:t xml:space="preserve"> </w:t>
            </w:r>
          </w:p>
        </w:tc>
        <w:tc>
          <w:tcPr>
            <w:tcW w:w="1701" w:type="dxa"/>
            <w:shd w:val="clear" w:color="auto" w:fill="E5B8B7" w:themeFill="accent2" w:themeFillTint="66"/>
          </w:tcPr>
          <w:p w14:paraId="17D12604" w14:textId="3E16C992" w:rsidR="00E96BC9" w:rsidRDefault="00A66B93" w:rsidP="00E96BC9">
            <w:pPr>
              <w:spacing w:after="0" w:line="240" w:lineRule="auto"/>
              <w:rPr>
                <w:rFonts w:asciiTheme="majorHAnsi" w:hAnsiTheme="majorHAnsi"/>
              </w:rPr>
            </w:pPr>
            <w:r>
              <w:rPr>
                <w:rFonts w:asciiTheme="majorHAnsi" w:hAnsiTheme="majorHAnsi"/>
              </w:rPr>
              <w:t>£27,300</w:t>
            </w:r>
            <w:r w:rsidR="00E96BC9">
              <w:rPr>
                <w:rFonts w:asciiTheme="majorHAnsi" w:hAnsiTheme="majorHAnsi"/>
              </w:rPr>
              <w:t xml:space="preserve"> (39 hrs)</w:t>
            </w:r>
            <w:r w:rsidR="00E96BC9">
              <w:rPr>
                <w:rFonts w:asciiTheme="majorHAnsi" w:hAnsiTheme="majorHAnsi"/>
              </w:rPr>
              <w:br/>
              <w:t>re-calculated to</w:t>
            </w:r>
          </w:p>
          <w:p w14:paraId="50C70C07" w14:textId="23DEF4AF" w:rsidR="00A66B93" w:rsidRPr="00957CCB" w:rsidRDefault="00E96BC9" w:rsidP="00E96BC9">
            <w:pPr>
              <w:spacing w:after="0" w:line="240" w:lineRule="auto"/>
              <w:rPr>
                <w:rFonts w:asciiTheme="majorHAnsi" w:hAnsiTheme="majorHAnsi"/>
                <w:b/>
              </w:rPr>
            </w:pPr>
            <w:r w:rsidRPr="00957CCB">
              <w:rPr>
                <w:rFonts w:asciiTheme="majorHAnsi" w:hAnsiTheme="majorHAnsi"/>
                <w:b/>
              </w:rPr>
              <w:t>£25,550</w:t>
            </w:r>
          </w:p>
        </w:tc>
        <w:tc>
          <w:tcPr>
            <w:tcW w:w="1701" w:type="dxa"/>
            <w:shd w:val="clear" w:color="auto" w:fill="D6E3BC" w:themeFill="accent3" w:themeFillTint="66"/>
          </w:tcPr>
          <w:p w14:paraId="6C48D108" w14:textId="17C9005A" w:rsidR="00A66B93" w:rsidRDefault="00E96BC9" w:rsidP="00E96BC9">
            <w:pPr>
              <w:spacing w:after="0" w:line="240" w:lineRule="auto"/>
              <w:rPr>
                <w:rFonts w:asciiTheme="majorHAnsi" w:hAnsiTheme="majorHAnsi"/>
              </w:rPr>
            </w:pPr>
            <w:r>
              <w:rPr>
                <w:rFonts w:asciiTheme="majorHAnsi" w:hAnsiTheme="majorHAnsi"/>
              </w:rPr>
              <w:t>£28,000 (40 hrs)</w:t>
            </w:r>
          </w:p>
          <w:p w14:paraId="7F253C89" w14:textId="1D6EABB3" w:rsidR="00E96BC9" w:rsidRPr="00B5624B" w:rsidRDefault="00E96BC9" w:rsidP="00E96BC9">
            <w:pPr>
              <w:spacing w:after="0" w:line="240" w:lineRule="auto"/>
              <w:rPr>
                <w:rFonts w:asciiTheme="majorHAnsi" w:hAnsiTheme="majorHAnsi"/>
              </w:rPr>
            </w:pPr>
            <w:r>
              <w:rPr>
                <w:rFonts w:asciiTheme="majorHAnsi" w:hAnsiTheme="majorHAnsi"/>
              </w:rPr>
              <w:t>re-calculated to</w:t>
            </w:r>
            <w:r>
              <w:rPr>
                <w:rFonts w:asciiTheme="majorHAnsi" w:hAnsiTheme="majorHAnsi"/>
              </w:rPr>
              <w:br/>
            </w:r>
            <w:r w:rsidRPr="00957CCB">
              <w:rPr>
                <w:rFonts w:asciiTheme="majorHAnsi" w:hAnsiTheme="majorHAnsi"/>
              </w:rPr>
              <w:t>£25,550</w:t>
            </w:r>
          </w:p>
        </w:tc>
        <w:tc>
          <w:tcPr>
            <w:tcW w:w="1701" w:type="dxa"/>
            <w:shd w:val="clear" w:color="auto" w:fill="E5B8B7" w:themeFill="accent2" w:themeFillTint="66"/>
          </w:tcPr>
          <w:p w14:paraId="0918178F" w14:textId="1E72DC75" w:rsidR="00A66B93" w:rsidRDefault="00A66B93" w:rsidP="00E96BC9">
            <w:pPr>
              <w:spacing w:after="0" w:line="240" w:lineRule="auto"/>
              <w:rPr>
                <w:rFonts w:asciiTheme="majorHAnsi" w:hAnsiTheme="majorHAnsi"/>
              </w:rPr>
            </w:pPr>
            <w:r>
              <w:rPr>
                <w:rFonts w:asciiTheme="majorHAnsi" w:hAnsiTheme="majorHAnsi"/>
              </w:rPr>
              <w:t>£32,000</w:t>
            </w:r>
            <w:r w:rsidR="00E96BC9">
              <w:rPr>
                <w:rFonts w:asciiTheme="majorHAnsi" w:hAnsiTheme="majorHAnsi"/>
              </w:rPr>
              <w:t xml:space="preserve"> (39 hrs)</w:t>
            </w:r>
          </w:p>
          <w:p w14:paraId="0830FEFD" w14:textId="77777777" w:rsidR="00E96BC9" w:rsidRDefault="00E96BC9" w:rsidP="00E96BC9">
            <w:pPr>
              <w:spacing w:after="0" w:line="240" w:lineRule="auto"/>
              <w:rPr>
                <w:rFonts w:asciiTheme="majorHAnsi" w:hAnsiTheme="majorHAnsi"/>
              </w:rPr>
            </w:pPr>
            <w:r>
              <w:rPr>
                <w:rFonts w:asciiTheme="majorHAnsi" w:hAnsiTheme="majorHAnsi"/>
              </w:rPr>
              <w:t>re-calculated to</w:t>
            </w:r>
          </w:p>
          <w:p w14:paraId="5290455C" w14:textId="5627DEC4" w:rsidR="00E96BC9" w:rsidRPr="00957CCB" w:rsidRDefault="00E96BC9" w:rsidP="00957CCB">
            <w:pPr>
              <w:spacing w:after="0" w:line="240" w:lineRule="auto"/>
              <w:rPr>
                <w:rFonts w:asciiTheme="majorHAnsi" w:hAnsiTheme="majorHAnsi"/>
                <w:b/>
              </w:rPr>
            </w:pPr>
            <w:r w:rsidRPr="00957CCB">
              <w:rPr>
                <w:rFonts w:asciiTheme="majorHAnsi" w:hAnsiTheme="majorHAnsi"/>
                <w:b/>
              </w:rPr>
              <w:t>£</w:t>
            </w:r>
            <w:r w:rsidR="00536C64" w:rsidRPr="00957CCB">
              <w:rPr>
                <w:rFonts w:asciiTheme="majorHAnsi" w:hAnsiTheme="majorHAnsi"/>
                <w:b/>
              </w:rPr>
              <w:t>29,949</w:t>
            </w:r>
            <w:r w:rsidR="00957CCB">
              <w:rPr>
                <w:rFonts w:asciiTheme="majorHAnsi" w:hAnsiTheme="majorHAnsi"/>
                <w:b/>
              </w:rPr>
              <w:t xml:space="preserve"> </w:t>
            </w:r>
            <w:r w:rsidR="00957CCB">
              <w:rPr>
                <w:rFonts w:asciiTheme="majorHAnsi" w:hAnsiTheme="majorHAnsi"/>
                <w:b/>
                <w:sz w:val="16"/>
                <w:szCs w:val="16"/>
              </w:rPr>
              <w:t xml:space="preserve">  </w:t>
            </w:r>
          </w:p>
        </w:tc>
      </w:tr>
      <w:tr w:rsidR="00A66B93" w14:paraId="6B7D612F" w14:textId="77777777" w:rsidTr="00E96BC9">
        <w:trPr>
          <w:trHeight w:val="997"/>
        </w:trPr>
        <w:tc>
          <w:tcPr>
            <w:tcW w:w="1559" w:type="dxa"/>
          </w:tcPr>
          <w:p w14:paraId="48501F91" w14:textId="7E7C5927" w:rsidR="00A66B93" w:rsidRPr="00950FD7" w:rsidRDefault="00A66B93" w:rsidP="00E96BC9">
            <w:pPr>
              <w:spacing w:after="0"/>
              <w:rPr>
                <w:rFonts w:asciiTheme="majorHAnsi" w:hAnsiTheme="majorHAnsi"/>
                <w:b/>
              </w:rPr>
            </w:pPr>
            <w:r w:rsidRPr="00950FD7">
              <w:rPr>
                <w:rFonts w:asciiTheme="majorHAnsi" w:hAnsiTheme="majorHAnsi"/>
                <w:b/>
              </w:rPr>
              <w:t>Teach Fellow</w:t>
            </w:r>
          </w:p>
          <w:p w14:paraId="3B49A7B3" w14:textId="0BF4C5AC" w:rsidR="00A66B93" w:rsidRPr="00950FD7" w:rsidRDefault="00A66B93" w:rsidP="00E96BC9">
            <w:pPr>
              <w:spacing w:after="0"/>
              <w:rPr>
                <w:rFonts w:asciiTheme="majorHAnsi" w:hAnsiTheme="majorHAnsi"/>
                <w:b/>
              </w:rPr>
            </w:pPr>
            <w:r w:rsidRPr="00950FD7">
              <w:rPr>
                <w:rFonts w:asciiTheme="majorHAnsi" w:hAnsiTheme="majorHAnsi"/>
                <w:b/>
              </w:rPr>
              <w:t>Asst Prof</w:t>
            </w:r>
            <w:r w:rsidRPr="00950FD7">
              <w:rPr>
                <w:rFonts w:asciiTheme="majorHAnsi" w:hAnsiTheme="majorHAnsi"/>
                <w:b/>
              </w:rPr>
              <w:br/>
              <w:t>Assoc Prof</w:t>
            </w:r>
            <w:r w:rsidRPr="00950FD7">
              <w:rPr>
                <w:rFonts w:asciiTheme="majorHAnsi" w:hAnsiTheme="majorHAnsi"/>
                <w:b/>
              </w:rPr>
              <w:br/>
              <w:t>Professor</w:t>
            </w:r>
          </w:p>
        </w:tc>
        <w:tc>
          <w:tcPr>
            <w:tcW w:w="709" w:type="dxa"/>
          </w:tcPr>
          <w:p w14:paraId="13B34FED" w14:textId="77777777" w:rsidR="00A66B93" w:rsidRPr="00950FD7" w:rsidRDefault="00A66B93" w:rsidP="00E96BC9">
            <w:pPr>
              <w:spacing w:after="0"/>
              <w:rPr>
                <w:rFonts w:asciiTheme="majorHAnsi" w:hAnsiTheme="majorHAnsi"/>
                <w:b/>
              </w:rPr>
            </w:pPr>
            <w:r w:rsidRPr="00950FD7">
              <w:rPr>
                <w:rFonts w:asciiTheme="majorHAnsi" w:hAnsiTheme="majorHAnsi"/>
                <w:b/>
              </w:rPr>
              <w:t>2311</w:t>
            </w:r>
          </w:p>
        </w:tc>
        <w:tc>
          <w:tcPr>
            <w:tcW w:w="1701" w:type="dxa"/>
            <w:shd w:val="clear" w:color="auto" w:fill="D6E3BC" w:themeFill="accent3" w:themeFillTint="66"/>
          </w:tcPr>
          <w:p w14:paraId="2C7A30BA" w14:textId="7D79611D" w:rsidR="00A66B93" w:rsidRDefault="00536C64" w:rsidP="00E96BC9">
            <w:pPr>
              <w:spacing w:after="0" w:line="240" w:lineRule="auto"/>
              <w:rPr>
                <w:rFonts w:asciiTheme="majorHAnsi" w:hAnsiTheme="majorHAnsi"/>
              </w:rPr>
            </w:pPr>
            <w:r>
              <w:rPr>
                <w:rFonts w:asciiTheme="majorHAnsi" w:hAnsiTheme="majorHAnsi"/>
              </w:rPr>
              <w:t>£25,700 (40 hrs)</w:t>
            </w:r>
          </w:p>
          <w:p w14:paraId="1A9FAB87" w14:textId="77777777" w:rsidR="00536C64" w:rsidRDefault="00536C64" w:rsidP="00E96BC9">
            <w:pPr>
              <w:spacing w:after="0" w:line="240" w:lineRule="auto"/>
              <w:rPr>
                <w:rFonts w:asciiTheme="majorHAnsi" w:hAnsiTheme="majorHAnsi"/>
              </w:rPr>
            </w:pPr>
            <w:r>
              <w:rPr>
                <w:rFonts w:asciiTheme="majorHAnsi" w:hAnsiTheme="majorHAnsi"/>
              </w:rPr>
              <w:t>re-calculated to</w:t>
            </w:r>
          </w:p>
          <w:p w14:paraId="610DFF07" w14:textId="3863C66B" w:rsidR="0012097F" w:rsidRPr="00B5624B" w:rsidRDefault="0012097F" w:rsidP="00E96BC9">
            <w:pPr>
              <w:spacing w:after="0" w:line="240" w:lineRule="auto"/>
              <w:rPr>
                <w:rFonts w:asciiTheme="majorHAnsi" w:hAnsiTheme="majorHAnsi"/>
              </w:rPr>
            </w:pPr>
            <w:r>
              <w:rPr>
                <w:rFonts w:asciiTheme="majorHAnsi" w:hAnsiTheme="majorHAnsi"/>
              </w:rPr>
              <w:t>£23,451</w:t>
            </w:r>
          </w:p>
        </w:tc>
        <w:tc>
          <w:tcPr>
            <w:tcW w:w="1701" w:type="dxa"/>
            <w:shd w:val="clear" w:color="auto" w:fill="E5B8B7" w:themeFill="accent2" w:themeFillTint="66"/>
          </w:tcPr>
          <w:p w14:paraId="45B9CC17" w14:textId="59270A8D" w:rsidR="00A66B93" w:rsidRDefault="00A66B93" w:rsidP="00E96BC9">
            <w:pPr>
              <w:spacing w:after="0" w:line="240" w:lineRule="auto"/>
              <w:rPr>
                <w:rFonts w:asciiTheme="majorHAnsi" w:hAnsiTheme="majorHAnsi"/>
              </w:rPr>
            </w:pPr>
            <w:r>
              <w:rPr>
                <w:rFonts w:asciiTheme="majorHAnsi" w:hAnsiTheme="majorHAnsi"/>
              </w:rPr>
              <w:t>£31,400</w:t>
            </w:r>
            <w:r w:rsidR="00950FD7">
              <w:rPr>
                <w:rFonts w:asciiTheme="majorHAnsi" w:hAnsiTheme="majorHAnsi"/>
              </w:rPr>
              <w:t xml:space="preserve"> (39 h</w:t>
            </w:r>
            <w:r w:rsidR="00536C64">
              <w:rPr>
                <w:rFonts w:asciiTheme="majorHAnsi" w:hAnsiTheme="majorHAnsi"/>
              </w:rPr>
              <w:t>rs)</w:t>
            </w:r>
          </w:p>
          <w:p w14:paraId="3A0179A8" w14:textId="77777777" w:rsidR="00536C64" w:rsidRDefault="00536C64" w:rsidP="00E96BC9">
            <w:pPr>
              <w:spacing w:after="0" w:line="240" w:lineRule="auto"/>
              <w:rPr>
                <w:rFonts w:asciiTheme="majorHAnsi" w:hAnsiTheme="majorHAnsi"/>
              </w:rPr>
            </w:pPr>
            <w:r>
              <w:rPr>
                <w:rFonts w:asciiTheme="majorHAnsi" w:hAnsiTheme="majorHAnsi"/>
              </w:rPr>
              <w:t>re-calculated to</w:t>
            </w:r>
          </w:p>
          <w:p w14:paraId="70FD97C4" w14:textId="7DFE8F73" w:rsidR="0012097F" w:rsidRPr="00957CCB" w:rsidRDefault="0012097F" w:rsidP="00E96BC9">
            <w:pPr>
              <w:spacing w:after="0" w:line="240" w:lineRule="auto"/>
              <w:rPr>
                <w:rFonts w:asciiTheme="majorHAnsi" w:hAnsiTheme="majorHAnsi"/>
                <w:b/>
              </w:rPr>
            </w:pPr>
            <w:r w:rsidRPr="00957CCB">
              <w:rPr>
                <w:rFonts w:asciiTheme="majorHAnsi" w:hAnsiTheme="majorHAnsi"/>
                <w:b/>
              </w:rPr>
              <w:t>£29,387</w:t>
            </w:r>
          </w:p>
        </w:tc>
        <w:tc>
          <w:tcPr>
            <w:tcW w:w="1701" w:type="dxa"/>
            <w:shd w:val="clear" w:color="auto" w:fill="D6E3BC" w:themeFill="accent3" w:themeFillTint="66"/>
          </w:tcPr>
          <w:p w14:paraId="60CC8E05" w14:textId="7967B870" w:rsidR="00A66B93" w:rsidRDefault="00536C64" w:rsidP="00E96BC9">
            <w:pPr>
              <w:spacing w:after="0" w:line="240" w:lineRule="auto"/>
              <w:rPr>
                <w:rFonts w:asciiTheme="majorHAnsi" w:hAnsiTheme="majorHAnsi"/>
              </w:rPr>
            </w:pPr>
            <w:r>
              <w:rPr>
                <w:rFonts w:asciiTheme="majorHAnsi" w:hAnsiTheme="majorHAnsi"/>
              </w:rPr>
              <w:t>£32,300 (40</w:t>
            </w:r>
            <w:r w:rsidR="00950FD7">
              <w:rPr>
                <w:rFonts w:asciiTheme="majorHAnsi" w:hAnsiTheme="majorHAnsi"/>
              </w:rPr>
              <w:t xml:space="preserve"> </w:t>
            </w:r>
            <w:r>
              <w:rPr>
                <w:rFonts w:asciiTheme="majorHAnsi" w:hAnsiTheme="majorHAnsi"/>
              </w:rPr>
              <w:t>hrs)</w:t>
            </w:r>
          </w:p>
          <w:p w14:paraId="1FABC7BA" w14:textId="77777777" w:rsidR="00536C64" w:rsidRDefault="00536C64" w:rsidP="00E96BC9">
            <w:pPr>
              <w:spacing w:after="0" w:line="240" w:lineRule="auto"/>
              <w:rPr>
                <w:rFonts w:asciiTheme="majorHAnsi" w:hAnsiTheme="majorHAnsi"/>
              </w:rPr>
            </w:pPr>
            <w:r>
              <w:rPr>
                <w:rFonts w:asciiTheme="majorHAnsi" w:hAnsiTheme="majorHAnsi"/>
              </w:rPr>
              <w:t>re-calculated to</w:t>
            </w:r>
          </w:p>
          <w:p w14:paraId="4BB42D71" w14:textId="0F1BB88F" w:rsidR="0012097F" w:rsidRPr="00B5624B" w:rsidRDefault="0012097F" w:rsidP="00E96BC9">
            <w:pPr>
              <w:spacing w:after="0" w:line="240" w:lineRule="auto"/>
              <w:rPr>
                <w:rFonts w:asciiTheme="majorHAnsi" w:hAnsiTheme="majorHAnsi"/>
              </w:rPr>
            </w:pPr>
            <w:r>
              <w:rPr>
                <w:rFonts w:asciiTheme="majorHAnsi" w:hAnsiTheme="majorHAnsi"/>
              </w:rPr>
              <w:t>£29,474</w:t>
            </w:r>
          </w:p>
        </w:tc>
        <w:tc>
          <w:tcPr>
            <w:tcW w:w="1701" w:type="dxa"/>
            <w:shd w:val="clear" w:color="auto" w:fill="E5B8B7" w:themeFill="accent2" w:themeFillTint="66"/>
          </w:tcPr>
          <w:p w14:paraId="598013C2" w14:textId="51E0169E" w:rsidR="00A66B93" w:rsidRDefault="00A66B93" w:rsidP="00E96BC9">
            <w:pPr>
              <w:spacing w:after="0" w:line="240" w:lineRule="auto"/>
              <w:rPr>
                <w:rFonts w:asciiTheme="majorHAnsi" w:hAnsiTheme="majorHAnsi"/>
              </w:rPr>
            </w:pPr>
            <w:r>
              <w:rPr>
                <w:rFonts w:asciiTheme="majorHAnsi" w:hAnsiTheme="majorHAnsi"/>
              </w:rPr>
              <w:t>£40,000</w:t>
            </w:r>
            <w:r w:rsidR="00536C64">
              <w:rPr>
                <w:rFonts w:asciiTheme="majorHAnsi" w:hAnsiTheme="majorHAnsi"/>
              </w:rPr>
              <w:t xml:space="preserve"> (39 hrs)</w:t>
            </w:r>
          </w:p>
          <w:p w14:paraId="242B9333" w14:textId="58E200EB" w:rsidR="00536C64" w:rsidRDefault="00536C64" w:rsidP="00E96BC9">
            <w:pPr>
              <w:spacing w:after="0" w:line="240" w:lineRule="auto"/>
              <w:rPr>
                <w:rFonts w:asciiTheme="majorHAnsi" w:hAnsiTheme="majorHAnsi"/>
              </w:rPr>
            </w:pPr>
            <w:r>
              <w:rPr>
                <w:rFonts w:asciiTheme="majorHAnsi" w:hAnsiTheme="majorHAnsi"/>
              </w:rPr>
              <w:t>re-calculated to</w:t>
            </w:r>
          </w:p>
          <w:p w14:paraId="714A181A" w14:textId="1923E14E" w:rsidR="0012097F" w:rsidRPr="00957CCB" w:rsidRDefault="0012097F" w:rsidP="00E96BC9">
            <w:pPr>
              <w:spacing w:after="0" w:line="240" w:lineRule="auto"/>
              <w:rPr>
                <w:rFonts w:asciiTheme="majorHAnsi" w:hAnsiTheme="majorHAnsi"/>
                <w:b/>
              </w:rPr>
            </w:pPr>
            <w:r w:rsidRPr="00957CCB">
              <w:rPr>
                <w:rFonts w:asciiTheme="majorHAnsi" w:hAnsiTheme="majorHAnsi"/>
                <w:b/>
              </w:rPr>
              <w:t>£37,436</w:t>
            </w:r>
          </w:p>
          <w:p w14:paraId="5A402FFA" w14:textId="22FB77B1" w:rsidR="0012097F" w:rsidRPr="00B5624B" w:rsidRDefault="0012097F" w:rsidP="00E96BC9">
            <w:pPr>
              <w:spacing w:after="0" w:line="240" w:lineRule="auto"/>
              <w:rPr>
                <w:rFonts w:asciiTheme="majorHAnsi" w:hAnsiTheme="majorHAnsi"/>
              </w:rPr>
            </w:pPr>
          </w:p>
        </w:tc>
      </w:tr>
      <w:tr w:rsidR="00A66B93" w14:paraId="5DDB79B6" w14:textId="77777777" w:rsidTr="00E96BC9">
        <w:tc>
          <w:tcPr>
            <w:tcW w:w="1559" w:type="dxa"/>
          </w:tcPr>
          <w:p w14:paraId="44064056" w14:textId="1E1B45B6" w:rsidR="00A66B93" w:rsidRPr="00950FD7" w:rsidRDefault="00536C64" w:rsidP="00E96BC9">
            <w:pPr>
              <w:spacing w:after="0"/>
              <w:rPr>
                <w:rFonts w:asciiTheme="majorHAnsi" w:hAnsiTheme="majorHAnsi"/>
                <w:b/>
              </w:rPr>
            </w:pPr>
            <w:r w:rsidRPr="00950FD7">
              <w:rPr>
                <w:rFonts w:asciiTheme="majorHAnsi" w:hAnsiTheme="majorHAnsi"/>
                <w:b/>
              </w:rPr>
              <w:t>Project Eng’</w:t>
            </w:r>
            <w:r w:rsidR="00A66B93" w:rsidRPr="00950FD7">
              <w:rPr>
                <w:rFonts w:asciiTheme="majorHAnsi" w:hAnsiTheme="majorHAnsi"/>
                <w:b/>
              </w:rPr>
              <w:t>r</w:t>
            </w:r>
          </w:p>
        </w:tc>
        <w:tc>
          <w:tcPr>
            <w:tcW w:w="709" w:type="dxa"/>
          </w:tcPr>
          <w:p w14:paraId="3EDEEB40" w14:textId="77777777" w:rsidR="00A66B93" w:rsidRPr="00950FD7" w:rsidRDefault="00A66B93" w:rsidP="00E96BC9">
            <w:pPr>
              <w:spacing w:after="0"/>
              <w:rPr>
                <w:rFonts w:asciiTheme="majorHAnsi" w:hAnsiTheme="majorHAnsi"/>
                <w:b/>
              </w:rPr>
            </w:pPr>
            <w:r w:rsidRPr="00950FD7">
              <w:rPr>
                <w:rFonts w:asciiTheme="majorHAnsi" w:hAnsiTheme="majorHAnsi"/>
                <w:b/>
              </w:rPr>
              <w:t>2129</w:t>
            </w:r>
          </w:p>
        </w:tc>
        <w:tc>
          <w:tcPr>
            <w:tcW w:w="1701" w:type="dxa"/>
            <w:shd w:val="clear" w:color="auto" w:fill="D6E3BC" w:themeFill="accent3" w:themeFillTint="66"/>
          </w:tcPr>
          <w:p w14:paraId="0004EED0" w14:textId="62CE8964" w:rsidR="00A66B93" w:rsidRDefault="00A66B93" w:rsidP="00E96BC9">
            <w:pPr>
              <w:spacing w:after="0" w:line="240" w:lineRule="auto"/>
              <w:rPr>
                <w:rFonts w:asciiTheme="majorHAnsi" w:hAnsiTheme="majorHAnsi"/>
              </w:rPr>
            </w:pPr>
            <w:r>
              <w:rPr>
                <w:rFonts w:asciiTheme="majorHAnsi" w:hAnsiTheme="majorHAnsi"/>
              </w:rPr>
              <w:t>£</w:t>
            </w:r>
            <w:r w:rsidR="005E0B9C">
              <w:rPr>
                <w:rFonts w:asciiTheme="majorHAnsi" w:hAnsiTheme="majorHAnsi"/>
              </w:rPr>
              <w:t>25,500</w:t>
            </w:r>
            <w:r w:rsidR="00950FD7">
              <w:rPr>
                <w:rFonts w:asciiTheme="majorHAnsi" w:hAnsiTheme="majorHAnsi"/>
              </w:rPr>
              <w:t xml:space="preserve"> (39 hrs)</w:t>
            </w:r>
          </w:p>
          <w:p w14:paraId="1B2E5600" w14:textId="77777777" w:rsidR="00536C64" w:rsidRDefault="00536C64" w:rsidP="00E96BC9">
            <w:pPr>
              <w:spacing w:after="0" w:line="240" w:lineRule="auto"/>
              <w:rPr>
                <w:rFonts w:asciiTheme="majorHAnsi" w:hAnsiTheme="majorHAnsi"/>
              </w:rPr>
            </w:pPr>
            <w:r>
              <w:rPr>
                <w:rFonts w:asciiTheme="majorHAnsi" w:hAnsiTheme="majorHAnsi"/>
              </w:rPr>
              <w:t>re-calculated to</w:t>
            </w:r>
          </w:p>
          <w:p w14:paraId="29E6BA29" w14:textId="77777777" w:rsidR="00950FD7" w:rsidRDefault="00950FD7" w:rsidP="00E96BC9">
            <w:pPr>
              <w:spacing w:after="0" w:line="240" w:lineRule="auto"/>
              <w:rPr>
                <w:rFonts w:asciiTheme="majorHAnsi" w:hAnsiTheme="majorHAnsi"/>
              </w:rPr>
            </w:pPr>
            <w:r>
              <w:rPr>
                <w:rFonts w:asciiTheme="majorHAnsi" w:hAnsiTheme="majorHAnsi"/>
              </w:rPr>
              <w:t>£23,865</w:t>
            </w:r>
          </w:p>
          <w:p w14:paraId="08F3BF16" w14:textId="47B5F0E1" w:rsidR="00950FD7" w:rsidRPr="00B5624B" w:rsidRDefault="00950FD7" w:rsidP="00E96BC9">
            <w:pPr>
              <w:spacing w:after="0" w:line="240" w:lineRule="auto"/>
              <w:rPr>
                <w:rFonts w:asciiTheme="majorHAnsi" w:hAnsiTheme="majorHAnsi"/>
              </w:rPr>
            </w:pPr>
          </w:p>
        </w:tc>
        <w:tc>
          <w:tcPr>
            <w:tcW w:w="1701" w:type="dxa"/>
            <w:shd w:val="clear" w:color="auto" w:fill="E5B8B7" w:themeFill="accent2" w:themeFillTint="66"/>
          </w:tcPr>
          <w:p w14:paraId="35CD7214" w14:textId="0C87D817" w:rsidR="00A66B93" w:rsidRDefault="005E0B9C" w:rsidP="00E96BC9">
            <w:pPr>
              <w:spacing w:after="0" w:line="240" w:lineRule="auto"/>
              <w:rPr>
                <w:rFonts w:asciiTheme="majorHAnsi" w:hAnsiTheme="majorHAnsi"/>
              </w:rPr>
            </w:pPr>
            <w:r>
              <w:rPr>
                <w:rFonts w:asciiTheme="majorHAnsi" w:hAnsiTheme="majorHAnsi"/>
              </w:rPr>
              <w:t>£27,400</w:t>
            </w:r>
            <w:r w:rsidR="00950FD7">
              <w:rPr>
                <w:rFonts w:asciiTheme="majorHAnsi" w:hAnsiTheme="majorHAnsi"/>
              </w:rPr>
              <w:t xml:space="preserve"> (39 hrs)</w:t>
            </w:r>
          </w:p>
          <w:p w14:paraId="154E3F28" w14:textId="77777777" w:rsidR="00536C64" w:rsidRDefault="00536C64" w:rsidP="00E96BC9">
            <w:pPr>
              <w:spacing w:after="0" w:line="240" w:lineRule="auto"/>
              <w:rPr>
                <w:rFonts w:asciiTheme="majorHAnsi" w:hAnsiTheme="majorHAnsi"/>
              </w:rPr>
            </w:pPr>
            <w:r>
              <w:rPr>
                <w:rFonts w:asciiTheme="majorHAnsi" w:hAnsiTheme="majorHAnsi"/>
              </w:rPr>
              <w:t>re-calculated to</w:t>
            </w:r>
          </w:p>
          <w:p w14:paraId="09F65163" w14:textId="5B87AB40" w:rsidR="00950FD7" w:rsidRPr="00957CCB" w:rsidRDefault="00950FD7" w:rsidP="00E96BC9">
            <w:pPr>
              <w:spacing w:after="0" w:line="240" w:lineRule="auto"/>
              <w:rPr>
                <w:rFonts w:asciiTheme="majorHAnsi" w:hAnsiTheme="majorHAnsi"/>
                <w:b/>
              </w:rPr>
            </w:pPr>
            <w:r w:rsidRPr="00957CCB">
              <w:rPr>
                <w:rFonts w:asciiTheme="majorHAnsi" w:hAnsiTheme="majorHAnsi"/>
                <w:b/>
              </w:rPr>
              <w:t>£25,644</w:t>
            </w:r>
          </w:p>
        </w:tc>
        <w:tc>
          <w:tcPr>
            <w:tcW w:w="1701" w:type="dxa"/>
            <w:shd w:val="clear" w:color="auto" w:fill="D6E3BC" w:themeFill="accent3" w:themeFillTint="66"/>
          </w:tcPr>
          <w:p w14:paraId="1B7528D3" w14:textId="2181ACDD" w:rsidR="00A66B93" w:rsidRDefault="005E0B9C" w:rsidP="00E96BC9">
            <w:pPr>
              <w:spacing w:after="0" w:line="240" w:lineRule="auto"/>
              <w:rPr>
                <w:rFonts w:asciiTheme="majorHAnsi" w:hAnsiTheme="majorHAnsi"/>
              </w:rPr>
            </w:pPr>
            <w:r>
              <w:rPr>
                <w:rFonts w:asciiTheme="majorHAnsi" w:hAnsiTheme="majorHAnsi"/>
              </w:rPr>
              <w:t>£31,700</w:t>
            </w:r>
            <w:r w:rsidR="00950FD7">
              <w:rPr>
                <w:rFonts w:asciiTheme="majorHAnsi" w:hAnsiTheme="majorHAnsi"/>
              </w:rPr>
              <w:t xml:space="preserve"> (39 hrs)</w:t>
            </w:r>
          </w:p>
          <w:p w14:paraId="6D0FAE4B" w14:textId="77777777" w:rsidR="00536C64" w:rsidRDefault="00536C64" w:rsidP="00E96BC9">
            <w:pPr>
              <w:spacing w:after="0" w:line="240" w:lineRule="auto"/>
              <w:rPr>
                <w:rFonts w:asciiTheme="majorHAnsi" w:hAnsiTheme="majorHAnsi"/>
              </w:rPr>
            </w:pPr>
            <w:r>
              <w:rPr>
                <w:rFonts w:asciiTheme="majorHAnsi" w:hAnsiTheme="majorHAnsi"/>
              </w:rPr>
              <w:t>re-calculated to</w:t>
            </w:r>
          </w:p>
          <w:p w14:paraId="499D04C0" w14:textId="15A27F8B" w:rsidR="00950FD7" w:rsidRPr="00B5624B" w:rsidRDefault="00950FD7" w:rsidP="00E96BC9">
            <w:pPr>
              <w:spacing w:after="0" w:line="240" w:lineRule="auto"/>
              <w:rPr>
                <w:rFonts w:asciiTheme="majorHAnsi" w:hAnsiTheme="majorHAnsi"/>
              </w:rPr>
            </w:pPr>
            <w:r>
              <w:rPr>
                <w:rFonts w:asciiTheme="majorHAnsi" w:hAnsiTheme="majorHAnsi"/>
              </w:rPr>
              <w:t>£29,668</w:t>
            </w:r>
          </w:p>
        </w:tc>
        <w:tc>
          <w:tcPr>
            <w:tcW w:w="1701" w:type="dxa"/>
            <w:shd w:val="clear" w:color="auto" w:fill="E5B8B7" w:themeFill="accent2" w:themeFillTint="66"/>
          </w:tcPr>
          <w:p w14:paraId="64A725B2" w14:textId="1297A09F" w:rsidR="00A66B93" w:rsidRDefault="00E662EA" w:rsidP="00E96BC9">
            <w:pPr>
              <w:spacing w:after="0" w:line="240" w:lineRule="auto"/>
              <w:rPr>
                <w:rFonts w:asciiTheme="majorHAnsi" w:hAnsiTheme="majorHAnsi"/>
              </w:rPr>
            </w:pPr>
            <w:r>
              <w:rPr>
                <w:rFonts w:asciiTheme="majorHAnsi" w:hAnsiTheme="majorHAnsi"/>
              </w:rPr>
              <w:t>£33,500</w:t>
            </w:r>
            <w:r w:rsidR="00950FD7">
              <w:rPr>
                <w:rFonts w:asciiTheme="majorHAnsi" w:hAnsiTheme="majorHAnsi"/>
              </w:rPr>
              <w:t xml:space="preserve"> (39 hrs)</w:t>
            </w:r>
          </w:p>
          <w:p w14:paraId="5ABAC2BE" w14:textId="77777777" w:rsidR="00E662EA" w:rsidRDefault="00E662EA" w:rsidP="00E96BC9">
            <w:pPr>
              <w:spacing w:after="0" w:line="240" w:lineRule="auto"/>
              <w:rPr>
                <w:rFonts w:asciiTheme="majorHAnsi" w:hAnsiTheme="majorHAnsi"/>
              </w:rPr>
            </w:pPr>
            <w:r>
              <w:rPr>
                <w:rFonts w:asciiTheme="majorHAnsi" w:hAnsiTheme="majorHAnsi"/>
              </w:rPr>
              <w:t>re-calculated to</w:t>
            </w:r>
          </w:p>
          <w:p w14:paraId="27CC2606" w14:textId="3CFC2EF1" w:rsidR="00E662EA" w:rsidRPr="00957CCB" w:rsidRDefault="00950FD7" w:rsidP="00E96BC9">
            <w:pPr>
              <w:spacing w:after="0" w:line="240" w:lineRule="auto"/>
              <w:rPr>
                <w:rFonts w:asciiTheme="majorHAnsi" w:hAnsiTheme="majorHAnsi"/>
                <w:b/>
              </w:rPr>
            </w:pPr>
            <w:r w:rsidRPr="00957CCB">
              <w:rPr>
                <w:rFonts w:asciiTheme="majorHAnsi" w:hAnsiTheme="majorHAnsi"/>
                <w:b/>
              </w:rPr>
              <w:t>£31,353</w:t>
            </w:r>
            <w:r w:rsidR="00E662EA" w:rsidRPr="00957CCB">
              <w:rPr>
                <w:rFonts w:asciiTheme="majorHAnsi" w:hAnsiTheme="majorHAnsi"/>
                <w:b/>
              </w:rPr>
              <w:t xml:space="preserve"> </w:t>
            </w:r>
          </w:p>
        </w:tc>
      </w:tr>
      <w:tr w:rsidR="00A66B93" w14:paraId="19410AC0" w14:textId="77777777" w:rsidTr="00950FD7">
        <w:trPr>
          <w:trHeight w:val="890"/>
        </w:trPr>
        <w:tc>
          <w:tcPr>
            <w:tcW w:w="1559" w:type="dxa"/>
          </w:tcPr>
          <w:p w14:paraId="47D92A89" w14:textId="7A709E2D" w:rsidR="00A66B93" w:rsidRPr="00950FD7" w:rsidRDefault="00536C64" w:rsidP="00E96BC9">
            <w:pPr>
              <w:spacing w:after="0"/>
              <w:rPr>
                <w:rFonts w:asciiTheme="majorHAnsi" w:hAnsiTheme="majorHAnsi"/>
                <w:b/>
              </w:rPr>
            </w:pPr>
            <w:r w:rsidRPr="00950FD7">
              <w:rPr>
                <w:rFonts w:asciiTheme="majorHAnsi" w:hAnsiTheme="majorHAnsi"/>
                <w:b/>
              </w:rPr>
              <w:t>Project Mg</w:t>
            </w:r>
            <w:r w:rsidR="00A66B93" w:rsidRPr="00950FD7">
              <w:rPr>
                <w:rFonts w:asciiTheme="majorHAnsi" w:hAnsiTheme="majorHAnsi"/>
                <w:b/>
              </w:rPr>
              <w:t>r</w:t>
            </w:r>
          </w:p>
        </w:tc>
        <w:tc>
          <w:tcPr>
            <w:tcW w:w="709" w:type="dxa"/>
          </w:tcPr>
          <w:p w14:paraId="7141A76D" w14:textId="77777777" w:rsidR="00A66B93" w:rsidRPr="00950FD7" w:rsidRDefault="00A66B93" w:rsidP="00E96BC9">
            <w:pPr>
              <w:spacing w:after="0"/>
              <w:rPr>
                <w:rFonts w:asciiTheme="majorHAnsi" w:hAnsiTheme="majorHAnsi"/>
                <w:b/>
              </w:rPr>
            </w:pPr>
            <w:r w:rsidRPr="00950FD7">
              <w:rPr>
                <w:rFonts w:asciiTheme="majorHAnsi" w:hAnsiTheme="majorHAnsi"/>
                <w:b/>
              </w:rPr>
              <w:t>2424</w:t>
            </w:r>
          </w:p>
        </w:tc>
        <w:tc>
          <w:tcPr>
            <w:tcW w:w="1701" w:type="dxa"/>
            <w:shd w:val="clear" w:color="auto" w:fill="D6E3BC" w:themeFill="accent3" w:themeFillTint="66"/>
          </w:tcPr>
          <w:p w14:paraId="69239E89" w14:textId="7BA09D05" w:rsidR="00A66B93" w:rsidRDefault="00E662EA" w:rsidP="00E96BC9">
            <w:pPr>
              <w:spacing w:after="0" w:line="240" w:lineRule="auto"/>
              <w:rPr>
                <w:rFonts w:asciiTheme="majorHAnsi" w:hAnsiTheme="majorHAnsi"/>
              </w:rPr>
            </w:pPr>
            <w:r>
              <w:rPr>
                <w:rFonts w:asciiTheme="majorHAnsi" w:hAnsiTheme="majorHAnsi"/>
              </w:rPr>
              <w:t>£25,700</w:t>
            </w:r>
            <w:r w:rsidR="00950FD7">
              <w:rPr>
                <w:rFonts w:asciiTheme="majorHAnsi" w:hAnsiTheme="majorHAnsi"/>
              </w:rPr>
              <w:t xml:space="preserve"> (39 hrs)</w:t>
            </w:r>
          </w:p>
          <w:p w14:paraId="7D138B11" w14:textId="63C53600" w:rsidR="00E662EA" w:rsidRDefault="00E662EA" w:rsidP="00E96BC9">
            <w:pPr>
              <w:spacing w:after="0" w:line="240" w:lineRule="auto"/>
              <w:rPr>
                <w:rFonts w:asciiTheme="majorHAnsi" w:hAnsiTheme="majorHAnsi"/>
              </w:rPr>
            </w:pPr>
            <w:r>
              <w:rPr>
                <w:rFonts w:asciiTheme="majorHAnsi" w:hAnsiTheme="majorHAnsi"/>
              </w:rPr>
              <w:t>re-calculated to</w:t>
            </w:r>
          </w:p>
          <w:p w14:paraId="1FB58D6C" w14:textId="78E13DA2" w:rsidR="00950FD7" w:rsidRDefault="00950FD7" w:rsidP="00E96BC9">
            <w:pPr>
              <w:spacing w:after="0" w:line="240" w:lineRule="auto"/>
              <w:rPr>
                <w:rFonts w:asciiTheme="majorHAnsi" w:hAnsiTheme="majorHAnsi"/>
              </w:rPr>
            </w:pPr>
            <w:r>
              <w:rPr>
                <w:rFonts w:asciiTheme="majorHAnsi" w:hAnsiTheme="majorHAnsi"/>
              </w:rPr>
              <w:t>£24,053</w:t>
            </w:r>
          </w:p>
          <w:p w14:paraId="7EC102BF" w14:textId="0938F535" w:rsidR="00E662EA" w:rsidRPr="00B5624B" w:rsidRDefault="00E662EA" w:rsidP="00E96BC9">
            <w:pPr>
              <w:spacing w:after="0" w:line="240" w:lineRule="auto"/>
              <w:rPr>
                <w:rFonts w:asciiTheme="majorHAnsi" w:hAnsiTheme="majorHAnsi"/>
              </w:rPr>
            </w:pPr>
          </w:p>
        </w:tc>
        <w:tc>
          <w:tcPr>
            <w:tcW w:w="1701" w:type="dxa"/>
            <w:shd w:val="clear" w:color="auto" w:fill="E5B8B7" w:themeFill="accent2" w:themeFillTint="66"/>
          </w:tcPr>
          <w:p w14:paraId="60E38B34" w14:textId="420873A5" w:rsidR="00A66B93" w:rsidRDefault="00E662EA" w:rsidP="00E96BC9">
            <w:pPr>
              <w:spacing w:after="0" w:line="240" w:lineRule="auto"/>
              <w:rPr>
                <w:rFonts w:asciiTheme="majorHAnsi" w:hAnsiTheme="majorHAnsi"/>
              </w:rPr>
            </w:pPr>
            <w:r>
              <w:rPr>
                <w:rFonts w:asciiTheme="majorHAnsi" w:hAnsiTheme="majorHAnsi"/>
              </w:rPr>
              <w:t>£35,000</w:t>
            </w:r>
            <w:r w:rsidR="00950FD7">
              <w:rPr>
                <w:rFonts w:asciiTheme="majorHAnsi" w:hAnsiTheme="majorHAnsi"/>
              </w:rPr>
              <w:t xml:space="preserve"> (39 hrs)</w:t>
            </w:r>
          </w:p>
          <w:p w14:paraId="02CEDB28" w14:textId="2D03BCC1" w:rsidR="00E662EA" w:rsidRDefault="00E662EA" w:rsidP="00E96BC9">
            <w:pPr>
              <w:spacing w:after="0" w:line="240" w:lineRule="auto"/>
              <w:rPr>
                <w:rFonts w:asciiTheme="majorHAnsi" w:hAnsiTheme="majorHAnsi"/>
              </w:rPr>
            </w:pPr>
            <w:r>
              <w:rPr>
                <w:rFonts w:asciiTheme="majorHAnsi" w:hAnsiTheme="majorHAnsi"/>
              </w:rPr>
              <w:t>re-calculated to</w:t>
            </w:r>
          </w:p>
          <w:p w14:paraId="036D012C" w14:textId="15941731" w:rsidR="00950FD7" w:rsidRPr="00957CCB" w:rsidRDefault="00950FD7" w:rsidP="00E96BC9">
            <w:pPr>
              <w:spacing w:after="0" w:line="240" w:lineRule="auto"/>
              <w:rPr>
                <w:rFonts w:asciiTheme="majorHAnsi" w:hAnsiTheme="majorHAnsi"/>
                <w:b/>
              </w:rPr>
            </w:pPr>
            <w:r w:rsidRPr="00957CCB">
              <w:rPr>
                <w:rFonts w:asciiTheme="majorHAnsi" w:hAnsiTheme="majorHAnsi"/>
                <w:b/>
              </w:rPr>
              <w:t>£32,756</w:t>
            </w:r>
          </w:p>
          <w:p w14:paraId="4D9346DB" w14:textId="17F303C0" w:rsidR="00E662EA" w:rsidRPr="00B5624B" w:rsidRDefault="00E662EA" w:rsidP="00E96BC9">
            <w:pPr>
              <w:spacing w:after="0" w:line="240" w:lineRule="auto"/>
              <w:rPr>
                <w:rFonts w:asciiTheme="majorHAnsi" w:hAnsiTheme="majorHAnsi"/>
              </w:rPr>
            </w:pPr>
          </w:p>
        </w:tc>
        <w:tc>
          <w:tcPr>
            <w:tcW w:w="1701" w:type="dxa"/>
            <w:shd w:val="clear" w:color="auto" w:fill="D6E3BC" w:themeFill="accent3" w:themeFillTint="66"/>
          </w:tcPr>
          <w:p w14:paraId="0A8A6EFC" w14:textId="57D62B25" w:rsidR="00A66B93" w:rsidRDefault="00E662EA" w:rsidP="00E96BC9">
            <w:pPr>
              <w:spacing w:after="0" w:line="240" w:lineRule="auto"/>
              <w:rPr>
                <w:rFonts w:asciiTheme="majorHAnsi" w:hAnsiTheme="majorHAnsi"/>
              </w:rPr>
            </w:pPr>
            <w:r>
              <w:rPr>
                <w:rFonts w:asciiTheme="majorHAnsi" w:hAnsiTheme="majorHAnsi"/>
              </w:rPr>
              <w:t>£27,700</w:t>
            </w:r>
            <w:r w:rsidR="00950FD7">
              <w:rPr>
                <w:rFonts w:asciiTheme="majorHAnsi" w:hAnsiTheme="majorHAnsi"/>
              </w:rPr>
              <w:t xml:space="preserve"> (39 hrs)</w:t>
            </w:r>
          </w:p>
          <w:p w14:paraId="6EE168D0" w14:textId="0C541049" w:rsidR="00E662EA" w:rsidRDefault="00E662EA" w:rsidP="00E96BC9">
            <w:pPr>
              <w:spacing w:after="0" w:line="240" w:lineRule="auto"/>
              <w:rPr>
                <w:rFonts w:asciiTheme="majorHAnsi" w:hAnsiTheme="majorHAnsi"/>
              </w:rPr>
            </w:pPr>
            <w:r>
              <w:rPr>
                <w:rFonts w:asciiTheme="majorHAnsi" w:hAnsiTheme="majorHAnsi"/>
              </w:rPr>
              <w:t>re-calculated to</w:t>
            </w:r>
          </w:p>
          <w:p w14:paraId="10017F76" w14:textId="75B32672" w:rsidR="00950FD7" w:rsidRDefault="00950FD7" w:rsidP="00E96BC9">
            <w:pPr>
              <w:spacing w:after="0" w:line="240" w:lineRule="auto"/>
              <w:rPr>
                <w:rFonts w:asciiTheme="majorHAnsi" w:hAnsiTheme="majorHAnsi"/>
              </w:rPr>
            </w:pPr>
            <w:r>
              <w:rPr>
                <w:rFonts w:asciiTheme="majorHAnsi" w:hAnsiTheme="majorHAnsi"/>
              </w:rPr>
              <w:t>£25,924</w:t>
            </w:r>
          </w:p>
          <w:p w14:paraId="261227F0" w14:textId="45593671" w:rsidR="00E662EA" w:rsidRPr="00B5624B" w:rsidRDefault="00E662EA" w:rsidP="00E96BC9">
            <w:pPr>
              <w:spacing w:after="0" w:line="240" w:lineRule="auto"/>
              <w:rPr>
                <w:rFonts w:asciiTheme="majorHAnsi" w:hAnsiTheme="majorHAnsi"/>
              </w:rPr>
            </w:pPr>
          </w:p>
        </w:tc>
        <w:tc>
          <w:tcPr>
            <w:tcW w:w="1701" w:type="dxa"/>
            <w:shd w:val="clear" w:color="auto" w:fill="E5B8B7" w:themeFill="accent2" w:themeFillTint="66"/>
          </w:tcPr>
          <w:p w14:paraId="075C8207" w14:textId="5E11A864" w:rsidR="00A66B93" w:rsidRDefault="00E662EA" w:rsidP="00E96BC9">
            <w:pPr>
              <w:spacing w:after="0" w:line="240" w:lineRule="auto"/>
              <w:rPr>
                <w:rFonts w:asciiTheme="majorHAnsi" w:hAnsiTheme="majorHAnsi"/>
              </w:rPr>
            </w:pPr>
            <w:r>
              <w:rPr>
                <w:rFonts w:asciiTheme="majorHAnsi" w:hAnsiTheme="majorHAnsi"/>
              </w:rPr>
              <w:t>£36,300</w:t>
            </w:r>
            <w:r w:rsidR="00950FD7">
              <w:rPr>
                <w:rFonts w:asciiTheme="majorHAnsi" w:hAnsiTheme="majorHAnsi"/>
              </w:rPr>
              <w:t xml:space="preserve"> (39 hrs)</w:t>
            </w:r>
          </w:p>
          <w:p w14:paraId="5AACF947" w14:textId="748CA7E4" w:rsidR="00E662EA" w:rsidRDefault="00E662EA" w:rsidP="00E96BC9">
            <w:pPr>
              <w:spacing w:after="0" w:line="240" w:lineRule="auto"/>
              <w:rPr>
                <w:rFonts w:asciiTheme="majorHAnsi" w:hAnsiTheme="majorHAnsi"/>
              </w:rPr>
            </w:pPr>
            <w:r>
              <w:rPr>
                <w:rFonts w:asciiTheme="majorHAnsi" w:hAnsiTheme="majorHAnsi"/>
              </w:rPr>
              <w:t>re-calculated to</w:t>
            </w:r>
          </w:p>
          <w:p w14:paraId="13FB53BB" w14:textId="6578D58A" w:rsidR="003159BD" w:rsidRPr="00957CCB" w:rsidRDefault="00950FD7" w:rsidP="00E96BC9">
            <w:pPr>
              <w:spacing w:after="0" w:line="240" w:lineRule="auto"/>
              <w:rPr>
                <w:rFonts w:asciiTheme="majorHAnsi" w:hAnsiTheme="majorHAnsi"/>
                <w:b/>
              </w:rPr>
            </w:pPr>
            <w:r w:rsidRPr="00957CCB">
              <w:rPr>
                <w:rFonts w:asciiTheme="majorHAnsi" w:hAnsiTheme="majorHAnsi"/>
                <w:b/>
              </w:rPr>
              <w:t>£33,973</w:t>
            </w:r>
          </w:p>
          <w:p w14:paraId="2192D6A4" w14:textId="68790FB5" w:rsidR="00E662EA" w:rsidRPr="00B5624B" w:rsidRDefault="00E662EA" w:rsidP="00E96BC9">
            <w:pPr>
              <w:spacing w:after="0" w:line="240" w:lineRule="auto"/>
              <w:rPr>
                <w:rFonts w:asciiTheme="majorHAnsi" w:hAnsiTheme="majorHAnsi"/>
              </w:rPr>
            </w:pPr>
          </w:p>
        </w:tc>
      </w:tr>
    </w:tbl>
    <w:p w14:paraId="7085FA0D" w14:textId="77777777" w:rsidR="00A66B93" w:rsidRDefault="00A66B93" w:rsidP="00A66B93">
      <w:pPr>
        <w:pStyle w:val="ListParagraph"/>
        <w:ind w:left="1439"/>
        <w:rPr>
          <w:rFonts w:asciiTheme="majorHAnsi" w:hAnsiTheme="majorHAnsi" w:cstheme="majorHAnsi"/>
          <w:sz w:val="22"/>
          <w:szCs w:val="22"/>
          <w:lang w:val="en"/>
        </w:rPr>
      </w:pPr>
    </w:p>
    <w:p w14:paraId="2B60330D" w14:textId="0B619086" w:rsidR="007B5EB7" w:rsidRDefault="007B5EB7" w:rsidP="00824120">
      <w:pPr>
        <w:pStyle w:val="ListParagraph"/>
        <w:ind w:left="1439"/>
        <w:rPr>
          <w:rFonts w:asciiTheme="majorHAnsi" w:hAnsiTheme="majorHAnsi" w:cstheme="majorHAnsi"/>
          <w:sz w:val="22"/>
          <w:szCs w:val="22"/>
        </w:rPr>
      </w:pPr>
    </w:p>
    <w:p w14:paraId="38F21F59" w14:textId="0DAF11ED" w:rsidR="00950FD7" w:rsidRDefault="00950FD7" w:rsidP="00824120">
      <w:pPr>
        <w:pStyle w:val="ListParagraph"/>
        <w:ind w:left="1439"/>
        <w:rPr>
          <w:rFonts w:asciiTheme="majorHAnsi" w:hAnsiTheme="majorHAnsi" w:cstheme="majorHAnsi"/>
          <w:sz w:val="22"/>
          <w:szCs w:val="22"/>
        </w:rPr>
      </w:pPr>
    </w:p>
    <w:p w14:paraId="104F69F9" w14:textId="77777777" w:rsidR="00950FD7" w:rsidRDefault="00950FD7" w:rsidP="00824120">
      <w:pPr>
        <w:pStyle w:val="ListParagraph"/>
        <w:ind w:left="1439"/>
        <w:rPr>
          <w:rFonts w:asciiTheme="majorHAnsi" w:hAnsiTheme="majorHAnsi" w:cstheme="majorHAnsi"/>
          <w:sz w:val="22"/>
          <w:szCs w:val="22"/>
        </w:rPr>
      </w:pPr>
    </w:p>
    <w:p w14:paraId="7D413AB1" w14:textId="77777777" w:rsidR="00950FD7" w:rsidRPr="00950FD7" w:rsidRDefault="00950FD7" w:rsidP="00950FD7">
      <w:pPr>
        <w:rPr>
          <w:rFonts w:asciiTheme="majorHAnsi" w:hAnsiTheme="majorHAnsi" w:cs="Arial"/>
          <w:b/>
          <w:lang w:val="en"/>
        </w:rPr>
      </w:pPr>
    </w:p>
    <w:p w14:paraId="718CBF67" w14:textId="2A03E3CB" w:rsidR="00A66B93" w:rsidRPr="00A07B3F" w:rsidRDefault="00A66B93" w:rsidP="00A07B3F">
      <w:pPr>
        <w:pStyle w:val="ListParagraph"/>
        <w:numPr>
          <w:ilvl w:val="0"/>
          <w:numId w:val="7"/>
        </w:numPr>
        <w:rPr>
          <w:rFonts w:asciiTheme="majorHAnsi" w:hAnsiTheme="majorHAnsi" w:cs="Arial"/>
          <w:b/>
          <w:sz w:val="22"/>
          <w:szCs w:val="22"/>
          <w:lang w:val="en"/>
        </w:rPr>
      </w:pPr>
      <w:r w:rsidRPr="00D57076">
        <w:rPr>
          <w:rFonts w:asciiTheme="majorHAnsi" w:hAnsiTheme="majorHAnsi" w:cs="Arial"/>
          <w:b/>
          <w:sz w:val="22"/>
          <w:szCs w:val="22"/>
          <w:u w:val="single"/>
          <w:lang w:val="en"/>
        </w:rPr>
        <w:t>Important information for non-EEA nationals making visa applications for further or indefinite leave to remain. Do not travel outside of the Common Travel Area pending the decision.</w:t>
      </w:r>
      <w:r w:rsidRPr="00D57076">
        <w:rPr>
          <w:rFonts w:asciiTheme="majorHAnsi" w:hAnsiTheme="majorHAnsi" w:cs="Arial"/>
          <w:b/>
          <w:sz w:val="22"/>
          <w:szCs w:val="22"/>
          <w:u w:val="single"/>
          <w:lang w:val="en"/>
        </w:rPr>
        <w:br/>
      </w:r>
    </w:p>
    <w:p w14:paraId="3AC5CBD6" w14:textId="135E1344" w:rsidR="00A66B93" w:rsidRPr="00D57076" w:rsidRDefault="00A66B93" w:rsidP="00A66B93">
      <w:pPr>
        <w:pStyle w:val="ListParagraph"/>
        <w:ind w:left="1439"/>
        <w:rPr>
          <w:rFonts w:asciiTheme="majorHAnsi" w:hAnsiTheme="majorHAnsi" w:cs="Arial"/>
          <w:sz w:val="22"/>
          <w:szCs w:val="22"/>
          <w:lang w:val="en"/>
        </w:rPr>
      </w:pPr>
      <w:r w:rsidRPr="00D57076">
        <w:rPr>
          <w:rFonts w:asciiTheme="majorHAnsi" w:hAnsiTheme="majorHAnsi" w:cs="Arial"/>
          <w:sz w:val="22"/>
          <w:szCs w:val="22"/>
          <w:lang w:val="en"/>
        </w:rPr>
        <w:t xml:space="preserve">A recent </w:t>
      </w:r>
      <w:r w:rsidR="00A07B3F">
        <w:rPr>
          <w:rFonts w:asciiTheme="majorHAnsi" w:hAnsiTheme="majorHAnsi" w:cs="Arial"/>
          <w:sz w:val="22"/>
          <w:szCs w:val="22"/>
          <w:lang w:val="en"/>
        </w:rPr>
        <w:t>change to the Immigration R</w:t>
      </w:r>
      <w:r w:rsidRPr="00D57076">
        <w:rPr>
          <w:rFonts w:asciiTheme="majorHAnsi" w:hAnsiTheme="majorHAnsi" w:cs="Arial"/>
          <w:sz w:val="22"/>
          <w:szCs w:val="22"/>
          <w:lang w:val="en"/>
        </w:rPr>
        <w:t xml:space="preserve">ules may have an impact on staff who are awaiting a decision on their visa application for further leave to remain (e.g. a visa extension) or indefinite leave to remain </w:t>
      </w:r>
      <w:r w:rsidR="00037A4C">
        <w:rPr>
          <w:rFonts w:asciiTheme="majorHAnsi" w:hAnsiTheme="majorHAnsi" w:cs="Arial"/>
          <w:sz w:val="22"/>
          <w:szCs w:val="22"/>
          <w:lang w:val="en"/>
        </w:rPr>
        <w:t xml:space="preserve">(settlement) </w:t>
      </w:r>
      <w:r w:rsidRPr="00D57076">
        <w:rPr>
          <w:rFonts w:asciiTheme="majorHAnsi" w:hAnsiTheme="majorHAnsi" w:cs="Arial"/>
          <w:sz w:val="22"/>
          <w:szCs w:val="22"/>
          <w:lang w:val="en"/>
        </w:rPr>
        <w:t>who wish to travel</w:t>
      </w:r>
      <w:r>
        <w:rPr>
          <w:rFonts w:asciiTheme="majorHAnsi" w:hAnsiTheme="majorHAnsi" w:cs="Arial"/>
          <w:sz w:val="22"/>
          <w:szCs w:val="22"/>
          <w:lang w:val="en"/>
        </w:rPr>
        <w:t xml:space="preserve"> before the decision is made</w:t>
      </w:r>
      <w:r w:rsidRPr="00D57076">
        <w:rPr>
          <w:rFonts w:asciiTheme="majorHAnsi" w:hAnsiTheme="majorHAnsi" w:cs="Arial"/>
          <w:sz w:val="22"/>
          <w:szCs w:val="22"/>
          <w:lang w:val="en"/>
        </w:rPr>
        <w:t xml:space="preserve">. </w:t>
      </w:r>
      <w:r>
        <w:rPr>
          <w:rFonts w:asciiTheme="majorHAnsi" w:hAnsiTheme="majorHAnsi" w:cs="Arial"/>
          <w:sz w:val="22"/>
          <w:szCs w:val="22"/>
          <w:lang w:val="en"/>
        </w:rPr>
        <w:t>E</w:t>
      </w:r>
      <w:r w:rsidRPr="00D57076">
        <w:rPr>
          <w:rFonts w:asciiTheme="majorHAnsi" w:hAnsiTheme="majorHAnsi" w:cs="Arial"/>
          <w:sz w:val="22"/>
          <w:szCs w:val="22"/>
          <w:lang w:val="en"/>
        </w:rPr>
        <w:t>ven though their passport and other proof of identity documents may have been returned</w:t>
      </w:r>
      <w:r>
        <w:rPr>
          <w:rFonts w:asciiTheme="majorHAnsi" w:hAnsiTheme="majorHAnsi" w:cs="Arial"/>
          <w:sz w:val="22"/>
          <w:szCs w:val="22"/>
          <w:lang w:val="en"/>
        </w:rPr>
        <w:t xml:space="preserve"> to them</w:t>
      </w:r>
      <w:r w:rsidRPr="00D57076">
        <w:rPr>
          <w:rFonts w:asciiTheme="majorHAnsi" w:hAnsiTheme="majorHAnsi" w:cs="Arial"/>
          <w:sz w:val="22"/>
          <w:szCs w:val="22"/>
          <w:lang w:val="en"/>
        </w:rPr>
        <w:t xml:space="preserve">, </w:t>
      </w:r>
      <w:r w:rsidRPr="00D57076">
        <w:rPr>
          <w:rFonts w:asciiTheme="majorHAnsi" w:hAnsiTheme="majorHAnsi" w:cs="Arial"/>
          <w:b/>
          <w:sz w:val="22"/>
          <w:szCs w:val="22"/>
          <w:lang w:val="en"/>
        </w:rPr>
        <w:t>if the person travels outside of the Common Travel Area whilst an application decision is pending</w:t>
      </w:r>
      <w:r>
        <w:rPr>
          <w:rFonts w:asciiTheme="majorHAnsi" w:hAnsiTheme="majorHAnsi" w:cs="Arial"/>
          <w:b/>
          <w:sz w:val="22"/>
          <w:szCs w:val="22"/>
          <w:lang w:val="en"/>
        </w:rPr>
        <w:t>,</w:t>
      </w:r>
      <w:r w:rsidRPr="00D57076">
        <w:rPr>
          <w:rFonts w:asciiTheme="majorHAnsi" w:hAnsiTheme="majorHAnsi" w:cs="Arial"/>
          <w:b/>
          <w:sz w:val="22"/>
          <w:szCs w:val="22"/>
          <w:lang w:val="en"/>
        </w:rPr>
        <w:t xml:space="preserve"> their application will be treated as withdrawn on the date the applicant leaves the CTA</w:t>
      </w:r>
      <w:r w:rsidRPr="00D57076">
        <w:rPr>
          <w:rFonts w:asciiTheme="majorHAnsi" w:hAnsiTheme="majorHAnsi" w:cs="Arial"/>
          <w:sz w:val="22"/>
          <w:szCs w:val="22"/>
          <w:lang w:val="en"/>
        </w:rPr>
        <w:t xml:space="preserve">. Likewise, if an applicant requests their passport and documents to be returned pending the </w:t>
      </w:r>
      <w:r>
        <w:rPr>
          <w:rFonts w:asciiTheme="majorHAnsi" w:hAnsiTheme="majorHAnsi" w:cs="Arial"/>
          <w:sz w:val="22"/>
          <w:szCs w:val="22"/>
          <w:lang w:val="en"/>
        </w:rPr>
        <w:t xml:space="preserve">application </w:t>
      </w:r>
      <w:r w:rsidRPr="00D57076">
        <w:rPr>
          <w:rFonts w:asciiTheme="majorHAnsi" w:hAnsiTheme="majorHAnsi" w:cs="Arial"/>
          <w:sz w:val="22"/>
          <w:szCs w:val="22"/>
          <w:lang w:val="en"/>
        </w:rPr>
        <w:t xml:space="preserve">decision </w:t>
      </w:r>
      <w:r>
        <w:rPr>
          <w:rFonts w:asciiTheme="majorHAnsi" w:hAnsiTheme="majorHAnsi" w:cs="Arial"/>
          <w:sz w:val="22"/>
          <w:szCs w:val="22"/>
          <w:lang w:val="en"/>
        </w:rPr>
        <w:t xml:space="preserve">in order </w:t>
      </w:r>
      <w:r w:rsidRPr="00D57076">
        <w:rPr>
          <w:rFonts w:asciiTheme="majorHAnsi" w:hAnsiTheme="majorHAnsi" w:cs="Arial"/>
          <w:sz w:val="22"/>
          <w:szCs w:val="22"/>
          <w:lang w:val="en"/>
        </w:rPr>
        <w:t xml:space="preserve">to travel outside of the CTA, their application will be treated as withdrawn. The CTA is the UK, Isle of Man, Channel Islands and the Republic of Ireland. </w:t>
      </w:r>
    </w:p>
    <w:p w14:paraId="5129A4F6" w14:textId="77777777" w:rsidR="00A66B93" w:rsidRPr="00D57076" w:rsidRDefault="00A66B93" w:rsidP="00A66B93">
      <w:pPr>
        <w:pStyle w:val="ListParagraph"/>
        <w:ind w:left="1439"/>
        <w:rPr>
          <w:rFonts w:asciiTheme="majorHAnsi" w:hAnsiTheme="majorHAnsi" w:cs="Arial"/>
          <w:sz w:val="22"/>
          <w:szCs w:val="22"/>
          <w:lang w:val="en"/>
        </w:rPr>
      </w:pPr>
    </w:p>
    <w:p w14:paraId="45AA5180" w14:textId="750C2AF9" w:rsidR="00A66B93" w:rsidRPr="00D57076" w:rsidRDefault="00A66B93" w:rsidP="00A66B93">
      <w:pPr>
        <w:pStyle w:val="ListParagraph"/>
        <w:ind w:left="1439"/>
        <w:rPr>
          <w:rFonts w:asciiTheme="majorHAnsi" w:hAnsiTheme="majorHAnsi" w:cs="Arial"/>
          <w:sz w:val="22"/>
          <w:szCs w:val="22"/>
          <w:lang w:val="en"/>
        </w:rPr>
      </w:pPr>
      <w:r w:rsidRPr="00D57076">
        <w:rPr>
          <w:rFonts w:asciiTheme="majorHAnsi" w:hAnsiTheme="majorHAnsi" w:cs="Arial"/>
          <w:sz w:val="22"/>
          <w:szCs w:val="22"/>
          <w:lang w:val="en"/>
        </w:rPr>
        <w:t>As the standard turnaround times for a visa decision differ depending on the type of visa application</w:t>
      </w:r>
      <w:r w:rsidR="00037A4C">
        <w:rPr>
          <w:rFonts w:asciiTheme="majorHAnsi" w:hAnsiTheme="majorHAnsi" w:cs="Arial"/>
          <w:sz w:val="22"/>
          <w:szCs w:val="22"/>
          <w:lang w:val="en"/>
        </w:rPr>
        <w:t xml:space="preserve"> made</w:t>
      </w:r>
      <w:r w:rsidRPr="00D57076">
        <w:rPr>
          <w:rFonts w:asciiTheme="majorHAnsi" w:hAnsiTheme="majorHAnsi" w:cs="Arial"/>
          <w:sz w:val="22"/>
          <w:szCs w:val="22"/>
          <w:lang w:val="en"/>
        </w:rPr>
        <w:t>, the applicant may wish to consider the probability of the need to travel during the</w:t>
      </w:r>
      <w:r>
        <w:rPr>
          <w:rFonts w:asciiTheme="majorHAnsi" w:hAnsiTheme="majorHAnsi" w:cs="Arial"/>
          <w:sz w:val="22"/>
          <w:szCs w:val="22"/>
          <w:lang w:val="en"/>
        </w:rPr>
        <w:t xml:space="preserve"> expected time it will take to process the application</w:t>
      </w:r>
      <w:r w:rsidRPr="00D57076">
        <w:rPr>
          <w:rFonts w:asciiTheme="majorHAnsi" w:hAnsiTheme="majorHAnsi" w:cs="Arial"/>
          <w:sz w:val="22"/>
          <w:szCs w:val="22"/>
          <w:lang w:val="en"/>
        </w:rPr>
        <w:t xml:space="preserve"> at the point of applying and whether to choose and pay for one of the faster decision options offered over the standard application process. </w:t>
      </w:r>
    </w:p>
    <w:p w14:paraId="582C51C9" w14:textId="50151E16" w:rsidR="00A66B93" w:rsidRDefault="00A66B93" w:rsidP="00824120">
      <w:pPr>
        <w:pStyle w:val="ListParagraph"/>
        <w:ind w:left="1439"/>
        <w:rPr>
          <w:rFonts w:asciiTheme="majorHAnsi" w:hAnsiTheme="majorHAnsi" w:cstheme="majorHAnsi"/>
          <w:sz w:val="22"/>
          <w:szCs w:val="22"/>
        </w:rPr>
      </w:pPr>
    </w:p>
    <w:p w14:paraId="55301DBD" w14:textId="77777777" w:rsidR="00A66B93" w:rsidRDefault="00A66B93" w:rsidP="00824120">
      <w:pPr>
        <w:pStyle w:val="ListParagraph"/>
        <w:ind w:left="1439"/>
        <w:rPr>
          <w:rFonts w:asciiTheme="majorHAnsi" w:hAnsiTheme="majorHAnsi" w:cstheme="majorHAnsi"/>
          <w:sz w:val="22"/>
          <w:szCs w:val="22"/>
        </w:rPr>
      </w:pPr>
    </w:p>
    <w:p w14:paraId="1E22A784" w14:textId="685ACB0A" w:rsidR="00A66B93" w:rsidRPr="00A66B93" w:rsidRDefault="00A66B93" w:rsidP="00A66B93">
      <w:pPr>
        <w:pStyle w:val="ListParagraph"/>
        <w:numPr>
          <w:ilvl w:val="0"/>
          <w:numId w:val="7"/>
        </w:numPr>
        <w:rPr>
          <w:rFonts w:asciiTheme="majorHAnsi" w:hAnsiTheme="majorHAnsi" w:cstheme="majorHAnsi"/>
          <w:b/>
          <w:lang w:val="en"/>
        </w:rPr>
      </w:pPr>
      <w:r w:rsidRPr="00A66B93">
        <w:rPr>
          <w:rFonts w:asciiTheme="majorHAnsi" w:hAnsiTheme="majorHAnsi" w:cstheme="majorHAnsi"/>
          <w:b/>
          <w:u w:val="single"/>
          <w:lang w:val="en"/>
        </w:rPr>
        <w:t>Right to Work in the UK checks</w:t>
      </w:r>
    </w:p>
    <w:p w14:paraId="44200496" w14:textId="3B66E03F" w:rsidR="00A66B93" w:rsidRDefault="00A66B93" w:rsidP="00A66B93">
      <w:pPr>
        <w:pStyle w:val="xmsolistparagraph"/>
        <w:shd w:val="clear" w:color="auto" w:fill="FFFFFF"/>
        <w:spacing w:before="0" w:beforeAutospacing="0" w:after="0" w:afterAutospacing="0"/>
        <w:ind w:left="1439"/>
        <w:rPr>
          <w:rFonts w:asciiTheme="majorHAnsi" w:hAnsiTheme="majorHAnsi" w:cstheme="majorHAnsi"/>
          <w:sz w:val="22"/>
          <w:szCs w:val="22"/>
        </w:rPr>
      </w:pPr>
      <w:r>
        <w:rPr>
          <w:rFonts w:asciiTheme="majorHAnsi" w:hAnsiTheme="majorHAnsi" w:cstheme="majorHAnsi"/>
          <w:sz w:val="22"/>
          <w:szCs w:val="22"/>
        </w:rPr>
        <w:br/>
      </w:r>
      <w:r w:rsidRPr="00D57076">
        <w:rPr>
          <w:rFonts w:asciiTheme="majorHAnsi" w:hAnsiTheme="majorHAnsi" w:cstheme="majorHAnsi"/>
          <w:sz w:val="22"/>
          <w:szCs w:val="22"/>
        </w:rPr>
        <w:t xml:space="preserve">The Home Office has made an amendment to the acceptable document list for right to work checks. </w:t>
      </w:r>
      <w:r w:rsidRPr="00AC1F1B">
        <w:rPr>
          <w:rFonts w:asciiTheme="majorHAnsi" w:hAnsiTheme="majorHAnsi" w:cstheme="majorHAnsi"/>
          <w:sz w:val="22"/>
          <w:szCs w:val="22"/>
        </w:rPr>
        <w:t>A short UK birth certificate is now an accep</w:t>
      </w:r>
      <w:r w:rsidR="00037A4C" w:rsidRPr="00AC1F1B">
        <w:rPr>
          <w:rFonts w:asciiTheme="majorHAnsi" w:hAnsiTheme="majorHAnsi" w:cstheme="majorHAnsi"/>
          <w:sz w:val="22"/>
          <w:szCs w:val="22"/>
        </w:rPr>
        <w:t xml:space="preserve">table document to demonstrate </w:t>
      </w:r>
      <w:r w:rsidRPr="00AC1F1B">
        <w:rPr>
          <w:rFonts w:asciiTheme="majorHAnsi" w:hAnsiTheme="majorHAnsi" w:cstheme="majorHAnsi"/>
          <w:sz w:val="22"/>
          <w:szCs w:val="22"/>
        </w:rPr>
        <w:t>right to work in combination with an official document which gives the name and national insurance number of the person.</w:t>
      </w:r>
      <w:r>
        <w:rPr>
          <w:rFonts w:asciiTheme="majorHAnsi" w:hAnsiTheme="majorHAnsi" w:cstheme="majorHAnsi"/>
          <w:sz w:val="22"/>
          <w:szCs w:val="22"/>
        </w:rPr>
        <w:t xml:space="preserve"> </w:t>
      </w:r>
      <w:r w:rsidRPr="00D57076">
        <w:rPr>
          <w:rFonts w:asciiTheme="majorHAnsi" w:hAnsiTheme="majorHAnsi" w:cstheme="majorHAnsi"/>
          <w:sz w:val="22"/>
          <w:szCs w:val="22"/>
        </w:rPr>
        <w:t xml:space="preserve">The University right to work check template and checklist has been updated to reflect the change and is available on the HR webpages </w:t>
      </w:r>
      <w:hyperlink r:id="rId11" w:history="1">
        <w:r w:rsidRPr="00674675">
          <w:rPr>
            <w:rStyle w:val="Hyperlink"/>
            <w:rFonts w:asciiTheme="majorHAnsi" w:hAnsiTheme="majorHAnsi" w:cstheme="majorHAnsi"/>
            <w:sz w:val="22"/>
            <w:szCs w:val="22"/>
          </w:rPr>
          <w:t>here</w:t>
        </w:r>
      </w:hyperlink>
      <w:r w:rsidRPr="00D57076">
        <w:rPr>
          <w:rFonts w:asciiTheme="majorHAnsi" w:hAnsiTheme="majorHAnsi" w:cstheme="majorHAnsi"/>
          <w:sz w:val="22"/>
          <w:szCs w:val="22"/>
        </w:rPr>
        <w:t xml:space="preserve">. </w:t>
      </w:r>
    </w:p>
    <w:p w14:paraId="0ED4C868" w14:textId="4EB23F0D" w:rsidR="00A66B93" w:rsidRPr="00A66B93" w:rsidRDefault="00A66B93" w:rsidP="00A66B93">
      <w:pPr>
        <w:pStyle w:val="xmsolistparagraph"/>
        <w:shd w:val="clear" w:color="auto" w:fill="FFFFFF"/>
        <w:spacing w:before="0" w:beforeAutospacing="0" w:after="0" w:afterAutospacing="0"/>
        <w:ind w:left="644"/>
        <w:rPr>
          <w:rFonts w:asciiTheme="majorHAnsi" w:hAnsiTheme="majorHAnsi" w:cstheme="majorHAnsi"/>
          <w:sz w:val="22"/>
          <w:szCs w:val="22"/>
        </w:rPr>
      </w:pPr>
    </w:p>
    <w:p w14:paraId="298B8F34" w14:textId="54045CF8" w:rsidR="005C001F" w:rsidRDefault="00A66B93" w:rsidP="00A66B93">
      <w:pPr>
        <w:ind w:left="1439" w:firstLine="1"/>
        <w:rPr>
          <w:rFonts w:asciiTheme="majorHAnsi" w:hAnsiTheme="majorHAnsi" w:cstheme="majorHAnsi"/>
        </w:rPr>
      </w:pPr>
      <w:r w:rsidRPr="00AC1F1B">
        <w:rPr>
          <w:rFonts w:asciiTheme="majorHAnsi" w:hAnsiTheme="majorHAnsi" w:cstheme="majorHAnsi"/>
        </w:rPr>
        <w:t>EEA nationals can still produce a passport or national ID card as evidence of right to work in the UK after 29 March 2019 and until 31 December 2020.</w:t>
      </w:r>
      <w:r w:rsidRPr="00A66B93">
        <w:rPr>
          <w:rFonts w:asciiTheme="majorHAnsi" w:hAnsiTheme="majorHAnsi" w:cstheme="majorHAnsi"/>
        </w:rPr>
        <w:t xml:space="preserve"> This is because until the resident EEA population already living in the UK have applied for and been granted the new UK immigration status of settled or pre-settled status, it will not be p</w:t>
      </w:r>
      <w:r w:rsidR="00037A4C">
        <w:rPr>
          <w:rFonts w:asciiTheme="majorHAnsi" w:hAnsiTheme="majorHAnsi" w:cstheme="majorHAnsi"/>
        </w:rPr>
        <w:t>ossible for employers</w:t>
      </w:r>
      <w:r w:rsidRPr="00A66B93">
        <w:rPr>
          <w:rFonts w:asciiTheme="majorHAnsi" w:hAnsiTheme="majorHAnsi" w:cstheme="majorHAnsi"/>
        </w:rPr>
        <w:t xml:space="preserve"> to distinguish between pre-exit residents who are eligible to remain in the UK on broadly the same terms as now, and later arrivals.   </w:t>
      </w:r>
    </w:p>
    <w:p w14:paraId="7F0A9426" w14:textId="76CDCEF1" w:rsidR="00A66B93" w:rsidRPr="00A66B93" w:rsidRDefault="00A66B93" w:rsidP="00037A4C">
      <w:pPr>
        <w:rPr>
          <w:rFonts w:asciiTheme="majorHAnsi" w:hAnsiTheme="majorHAnsi" w:cstheme="majorHAnsi"/>
        </w:rPr>
      </w:pPr>
    </w:p>
    <w:p w14:paraId="1EDE34FA" w14:textId="4DA30DFF" w:rsidR="00164002" w:rsidRDefault="00164002" w:rsidP="00824120">
      <w:pPr>
        <w:pStyle w:val="Default"/>
        <w:rPr>
          <w:rFonts w:asciiTheme="majorHAnsi" w:hAnsiTheme="majorHAnsi"/>
          <w:b/>
          <w:color w:val="auto"/>
          <w:sz w:val="22"/>
          <w:szCs w:val="22"/>
          <w:lang w:val="en-US"/>
        </w:rPr>
      </w:pPr>
    </w:p>
    <w:p w14:paraId="035CCBCD" w14:textId="77777777" w:rsidR="00164002" w:rsidRPr="00D57076" w:rsidRDefault="00164002" w:rsidP="00824120">
      <w:pPr>
        <w:pStyle w:val="Default"/>
        <w:rPr>
          <w:rFonts w:asciiTheme="majorHAnsi" w:hAnsiTheme="majorHAnsi"/>
          <w:b/>
          <w:color w:val="auto"/>
          <w:sz w:val="22"/>
          <w:szCs w:val="22"/>
          <w:lang w:val="en-US"/>
        </w:rPr>
      </w:pPr>
    </w:p>
    <w:p w14:paraId="5CD6EE77" w14:textId="0D2F234F" w:rsidR="00404C56" w:rsidRPr="009B6D43" w:rsidRDefault="008D2203" w:rsidP="006A403F">
      <w:pPr>
        <w:autoSpaceDE w:val="0"/>
        <w:autoSpaceDN w:val="0"/>
        <w:adjustRightInd w:val="0"/>
        <w:spacing w:after="0" w:line="240" w:lineRule="auto"/>
        <w:ind w:left="1440" w:firstLine="1"/>
        <w:jc w:val="center"/>
        <w:rPr>
          <w:rFonts w:asciiTheme="majorHAnsi" w:hAnsiTheme="majorHAnsi" w:cs="Arial"/>
          <w:color w:val="0070C0"/>
          <w:lang w:val="en-GB"/>
        </w:rPr>
      </w:pPr>
      <w:r w:rsidRPr="00D57076">
        <w:rPr>
          <w:rFonts w:asciiTheme="majorHAnsi" w:hAnsiTheme="majorHAnsi" w:cs="Arial"/>
          <w:b/>
        </w:rPr>
        <w:t>If you have any questions about</w:t>
      </w:r>
      <w:r w:rsidR="00686A32" w:rsidRPr="00D57076">
        <w:rPr>
          <w:rFonts w:asciiTheme="majorHAnsi" w:hAnsiTheme="majorHAnsi" w:cs="Arial"/>
          <w:b/>
        </w:rPr>
        <w:t xml:space="preserve"> </w:t>
      </w:r>
      <w:r w:rsidR="00BB17B8" w:rsidRPr="00D57076">
        <w:rPr>
          <w:rFonts w:asciiTheme="majorHAnsi" w:hAnsiTheme="majorHAnsi" w:cs="Arial"/>
          <w:b/>
        </w:rPr>
        <w:t xml:space="preserve">this update, please contact the </w:t>
      </w:r>
      <w:r w:rsidR="00DC647C" w:rsidRPr="00D57076">
        <w:rPr>
          <w:rFonts w:asciiTheme="majorHAnsi" w:hAnsiTheme="majorHAnsi" w:cs="Arial"/>
          <w:b/>
        </w:rPr>
        <w:t xml:space="preserve">HR </w:t>
      </w:r>
      <w:r w:rsidRPr="00D57076">
        <w:rPr>
          <w:rFonts w:asciiTheme="majorHAnsi" w:hAnsiTheme="majorHAnsi" w:cs="Arial"/>
          <w:b/>
        </w:rPr>
        <w:t xml:space="preserve">Immigration team </w:t>
      </w:r>
      <w:r w:rsidR="00686A32" w:rsidRPr="00D57076">
        <w:rPr>
          <w:rFonts w:asciiTheme="majorHAnsi" w:hAnsiTheme="majorHAnsi" w:cs="Arial"/>
          <w:b/>
        </w:rPr>
        <w:t xml:space="preserve">for immigration </w:t>
      </w:r>
      <w:r w:rsidR="00DC647C" w:rsidRPr="00D57076">
        <w:rPr>
          <w:rFonts w:asciiTheme="majorHAnsi" w:hAnsiTheme="majorHAnsi" w:cs="Arial"/>
          <w:b/>
        </w:rPr>
        <w:t>q</w:t>
      </w:r>
      <w:r w:rsidR="00686A32" w:rsidRPr="00D57076">
        <w:rPr>
          <w:rFonts w:asciiTheme="majorHAnsi" w:hAnsiTheme="majorHAnsi" w:cs="Arial"/>
          <w:b/>
        </w:rPr>
        <w:t xml:space="preserve">ueries </w:t>
      </w:r>
      <w:r w:rsidRPr="00D57076">
        <w:rPr>
          <w:rFonts w:asciiTheme="majorHAnsi" w:hAnsiTheme="majorHAnsi" w:cs="Arial"/>
          <w:b/>
        </w:rPr>
        <w:t>v</w:t>
      </w:r>
      <w:r w:rsidR="00686A32" w:rsidRPr="00D57076">
        <w:rPr>
          <w:rFonts w:asciiTheme="majorHAnsi" w:hAnsiTheme="majorHAnsi" w:cs="Arial"/>
          <w:b/>
        </w:rPr>
        <w:t xml:space="preserve">ia </w:t>
      </w:r>
      <w:hyperlink r:id="rId12" w:history="1">
        <w:r w:rsidR="00BB17B8" w:rsidRPr="009B6D43">
          <w:rPr>
            <w:rStyle w:val="Hyperlink"/>
            <w:rFonts w:asciiTheme="majorHAnsi" w:hAnsiTheme="majorHAnsi" w:cs="Arial"/>
            <w:b/>
            <w:color w:val="0070C0"/>
          </w:rPr>
          <w:t>HR.immigration@warwick.ac.uk</w:t>
        </w:r>
      </w:hyperlink>
    </w:p>
    <w:sectPr w:rsidR="00404C56" w:rsidRPr="009B6D43" w:rsidSect="00DC647C">
      <w:headerReference w:type="even" r:id="rId13"/>
      <w:headerReference w:type="default" r:id="rId14"/>
      <w:footerReference w:type="default" r:id="rId15"/>
      <w:pgSz w:w="11900" w:h="16840"/>
      <w:pgMar w:top="2552" w:right="845" w:bottom="1418" w:left="23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57A4" w14:textId="77777777" w:rsidR="007D3F9D" w:rsidRDefault="007D3F9D" w:rsidP="0032312F">
      <w:pPr>
        <w:spacing w:after="0" w:line="240" w:lineRule="auto"/>
      </w:pPr>
      <w:r>
        <w:separator/>
      </w:r>
    </w:p>
  </w:endnote>
  <w:endnote w:type="continuationSeparator" w:id="0">
    <w:p w14:paraId="7AAB18B7" w14:textId="77777777" w:rsidR="007D3F9D" w:rsidRDefault="007D3F9D" w:rsidP="0032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558805"/>
      <w:docPartObj>
        <w:docPartGallery w:val="Page Numbers (Bottom of Page)"/>
        <w:docPartUnique/>
      </w:docPartObj>
    </w:sdtPr>
    <w:sdtEndPr>
      <w:rPr>
        <w:noProof/>
      </w:rPr>
    </w:sdtEndPr>
    <w:sdtContent>
      <w:p w14:paraId="0EAE12E2" w14:textId="46CB4A0D" w:rsidR="004078B7" w:rsidRDefault="004078B7">
        <w:pPr>
          <w:pStyle w:val="Footer"/>
          <w:jc w:val="right"/>
        </w:pPr>
        <w:r>
          <w:fldChar w:fldCharType="begin"/>
        </w:r>
        <w:r>
          <w:instrText xml:space="preserve"> PAGE   \* MERGEFORMAT </w:instrText>
        </w:r>
        <w:r>
          <w:fldChar w:fldCharType="separate"/>
        </w:r>
        <w:r w:rsidR="00957CCB">
          <w:rPr>
            <w:noProof/>
          </w:rPr>
          <w:t>2</w:t>
        </w:r>
        <w:r>
          <w:rPr>
            <w:noProof/>
          </w:rPr>
          <w:fldChar w:fldCharType="end"/>
        </w:r>
      </w:p>
    </w:sdtContent>
  </w:sdt>
  <w:p w14:paraId="2ADD2D3B" w14:textId="77777777" w:rsidR="004078B7" w:rsidRDefault="00407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3C358" w14:textId="77777777" w:rsidR="007D3F9D" w:rsidRDefault="007D3F9D" w:rsidP="0032312F">
      <w:pPr>
        <w:spacing w:after="0" w:line="240" w:lineRule="auto"/>
      </w:pPr>
      <w:r>
        <w:separator/>
      </w:r>
    </w:p>
  </w:footnote>
  <w:footnote w:type="continuationSeparator" w:id="0">
    <w:p w14:paraId="4F6236DF" w14:textId="77777777" w:rsidR="007D3F9D" w:rsidRDefault="007D3F9D" w:rsidP="0032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5000" w:type="pct"/>
      <w:tblInd w:w="20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0797"/>
    </w:tblGrid>
    <w:tr w:rsidR="004078B7" w14:paraId="733BCF79" w14:textId="77777777" w:rsidTr="004C07E1">
      <w:trPr>
        <w:trHeight w:val="97"/>
      </w:trPr>
      <w:tc>
        <w:tcPr>
          <w:tcW w:w="9270" w:type="dxa"/>
          <w:shd w:val="clear" w:color="auto" w:fill="8DB3E2" w:themeFill="text2" w:themeFillTint="66"/>
        </w:tcPr>
        <w:p w14:paraId="61AE3533" w14:textId="579A8854" w:rsidR="004078B7" w:rsidRDefault="004078B7" w:rsidP="004C07E1"/>
      </w:tc>
    </w:tr>
  </w:tbl>
  <w:p w14:paraId="58934F04" w14:textId="77777777" w:rsidR="004078B7" w:rsidRDefault="00407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A3E7" w14:textId="77777777" w:rsidR="004078B7" w:rsidRDefault="004078B7" w:rsidP="0032312F">
    <w:pPr>
      <w:pStyle w:val="Header"/>
      <w:ind w:left="-1800" w:right="-1800" w:firstLine="1800"/>
    </w:pPr>
    <w:r>
      <w:rPr>
        <w:noProof/>
        <w:lang w:val="en-GB" w:eastAsia="en-GB"/>
      </w:rPr>
      <w:drawing>
        <wp:inline distT="0" distB="0" distL="0" distR="0" wp14:anchorId="7FA86DA0" wp14:editId="7B828144">
          <wp:extent cx="7658100" cy="1525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aubergine_RGB.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525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1C9CB0"/>
    <w:multiLevelType w:val="hybridMultilevel"/>
    <w:tmpl w:val="BE1823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422B8"/>
    <w:multiLevelType w:val="hybridMultilevel"/>
    <w:tmpl w:val="A608FD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03147FC"/>
    <w:multiLevelType w:val="hybridMultilevel"/>
    <w:tmpl w:val="BB3EB52C"/>
    <w:lvl w:ilvl="0" w:tplc="DE46E5A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304384"/>
    <w:multiLevelType w:val="hybridMultilevel"/>
    <w:tmpl w:val="C03EAA9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E5A2023"/>
    <w:multiLevelType w:val="hybridMultilevel"/>
    <w:tmpl w:val="3BA46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B00F0B"/>
    <w:multiLevelType w:val="hybridMultilevel"/>
    <w:tmpl w:val="8E885AD4"/>
    <w:lvl w:ilvl="0" w:tplc="CCC079D8">
      <w:start w:val="1"/>
      <w:numFmt w:val="decimal"/>
      <w:lvlText w:val="%1."/>
      <w:lvlJc w:val="left"/>
      <w:pPr>
        <w:ind w:left="1439" w:hanging="795"/>
      </w:pPr>
      <w:rPr>
        <w:rFonts w:asciiTheme="majorHAnsi" w:hAnsiTheme="majorHAnsi" w:hint="default"/>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9616C05"/>
    <w:multiLevelType w:val="hybridMultilevel"/>
    <w:tmpl w:val="34A2952A"/>
    <w:lvl w:ilvl="0" w:tplc="08090001">
      <w:start w:val="1"/>
      <w:numFmt w:val="bullet"/>
      <w:lvlText w:val=""/>
      <w:lvlJc w:val="left"/>
      <w:pPr>
        <w:ind w:left="1799" w:hanging="360"/>
      </w:pPr>
      <w:rPr>
        <w:rFonts w:ascii="Symbol" w:hAnsi="Symbol" w:hint="default"/>
      </w:rPr>
    </w:lvl>
    <w:lvl w:ilvl="1" w:tplc="08090003">
      <w:start w:val="1"/>
      <w:numFmt w:val="bullet"/>
      <w:lvlText w:val="o"/>
      <w:lvlJc w:val="left"/>
      <w:pPr>
        <w:ind w:left="2519" w:hanging="360"/>
      </w:pPr>
      <w:rPr>
        <w:rFonts w:ascii="Courier New" w:hAnsi="Courier New" w:cs="Courier New" w:hint="default"/>
      </w:rPr>
    </w:lvl>
    <w:lvl w:ilvl="2" w:tplc="08090005">
      <w:start w:val="1"/>
      <w:numFmt w:val="bullet"/>
      <w:lvlText w:val=""/>
      <w:lvlJc w:val="left"/>
      <w:pPr>
        <w:ind w:left="3239" w:hanging="360"/>
      </w:pPr>
      <w:rPr>
        <w:rFonts w:ascii="Wingdings" w:hAnsi="Wingdings" w:hint="default"/>
      </w:rPr>
    </w:lvl>
    <w:lvl w:ilvl="3" w:tplc="08090001">
      <w:start w:val="1"/>
      <w:numFmt w:val="bullet"/>
      <w:lvlText w:val=""/>
      <w:lvlJc w:val="left"/>
      <w:pPr>
        <w:ind w:left="3959" w:hanging="360"/>
      </w:pPr>
      <w:rPr>
        <w:rFonts w:ascii="Symbol" w:hAnsi="Symbol" w:hint="default"/>
      </w:rPr>
    </w:lvl>
    <w:lvl w:ilvl="4" w:tplc="08090003">
      <w:start w:val="1"/>
      <w:numFmt w:val="bullet"/>
      <w:lvlText w:val="o"/>
      <w:lvlJc w:val="left"/>
      <w:pPr>
        <w:ind w:left="4679" w:hanging="360"/>
      </w:pPr>
      <w:rPr>
        <w:rFonts w:ascii="Courier New" w:hAnsi="Courier New" w:cs="Courier New" w:hint="default"/>
      </w:rPr>
    </w:lvl>
    <w:lvl w:ilvl="5" w:tplc="08090005">
      <w:start w:val="1"/>
      <w:numFmt w:val="bullet"/>
      <w:lvlText w:val=""/>
      <w:lvlJc w:val="left"/>
      <w:pPr>
        <w:ind w:left="5399" w:hanging="360"/>
      </w:pPr>
      <w:rPr>
        <w:rFonts w:ascii="Wingdings" w:hAnsi="Wingdings" w:hint="default"/>
      </w:rPr>
    </w:lvl>
    <w:lvl w:ilvl="6" w:tplc="08090001">
      <w:start w:val="1"/>
      <w:numFmt w:val="bullet"/>
      <w:lvlText w:val=""/>
      <w:lvlJc w:val="left"/>
      <w:pPr>
        <w:ind w:left="6119" w:hanging="360"/>
      </w:pPr>
      <w:rPr>
        <w:rFonts w:ascii="Symbol" w:hAnsi="Symbol" w:hint="default"/>
      </w:rPr>
    </w:lvl>
    <w:lvl w:ilvl="7" w:tplc="08090003">
      <w:start w:val="1"/>
      <w:numFmt w:val="bullet"/>
      <w:lvlText w:val="o"/>
      <w:lvlJc w:val="left"/>
      <w:pPr>
        <w:ind w:left="6839" w:hanging="360"/>
      </w:pPr>
      <w:rPr>
        <w:rFonts w:ascii="Courier New" w:hAnsi="Courier New" w:cs="Courier New" w:hint="default"/>
      </w:rPr>
    </w:lvl>
    <w:lvl w:ilvl="8" w:tplc="08090005">
      <w:start w:val="1"/>
      <w:numFmt w:val="bullet"/>
      <w:lvlText w:val=""/>
      <w:lvlJc w:val="left"/>
      <w:pPr>
        <w:ind w:left="7559" w:hanging="360"/>
      </w:pPr>
      <w:rPr>
        <w:rFonts w:ascii="Wingdings" w:hAnsi="Wingdings" w:hint="default"/>
      </w:rPr>
    </w:lvl>
  </w:abstractNum>
  <w:abstractNum w:abstractNumId="7" w15:restartNumberingAfterBreak="0">
    <w:nsid w:val="3AEC380D"/>
    <w:multiLevelType w:val="hybridMultilevel"/>
    <w:tmpl w:val="369C8A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6861895"/>
    <w:multiLevelType w:val="hybridMultilevel"/>
    <w:tmpl w:val="74E972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D492839"/>
    <w:multiLevelType w:val="hybridMultilevel"/>
    <w:tmpl w:val="344EEAE6"/>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544E7E44"/>
    <w:multiLevelType w:val="hybridMultilevel"/>
    <w:tmpl w:val="8E885AD4"/>
    <w:lvl w:ilvl="0" w:tplc="CCC079D8">
      <w:start w:val="1"/>
      <w:numFmt w:val="decimal"/>
      <w:lvlText w:val="%1."/>
      <w:lvlJc w:val="left"/>
      <w:pPr>
        <w:ind w:left="1439" w:hanging="795"/>
      </w:pPr>
      <w:rPr>
        <w:rFonts w:asciiTheme="majorHAnsi" w:hAnsiTheme="majorHAnsi" w:hint="default"/>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A581CD1"/>
    <w:multiLevelType w:val="hybridMultilevel"/>
    <w:tmpl w:val="744282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1C57C94"/>
    <w:multiLevelType w:val="hybridMultilevel"/>
    <w:tmpl w:val="2B4E95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65B354F0"/>
    <w:multiLevelType w:val="hybridMultilevel"/>
    <w:tmpl w:val="C1789048"/>
    <w:lvl w:ilvl="0" w:tplc="A134BC38">
      <w:start w:val="1"/>
      <w:numFmt w:val="decimal"/>
      <w:lvlText w:val="%1."/>
      <w:lvlJc w:val="left"/>
      <w:pPr>
        <w:ind w:left="1080" w:hanging="360"/>
      </w:pPr>
      <w:rPr>
        <w:rFonts w:cs="Arial" w:hint="default"/>
        <w:b/>
        <w:sz w:val="24"/>
        <w:szCs w:val="24"/>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6FC12D1"/>
    <w:multiLevelType w:val="hybridMultilevel"/>
    <w:tmpl w:val="8E885AD4"/>
    <w:lvl w:ilvl="0" w:tplc="CCC079D8">
      <w:start w:val="1"/>
      <w:numFmt w:val="decimal"/>
      <w:lvlText w:val="%1."/>
      <w:lvlJc w:val="left"/>
      <w:pPr>
        <w:ind w:left="1439" w:hanging="795"/>
      </w:pPr>
      <w:rPr>
        <w:rFonts w:asciiTheme="majorHAnsi" w:hAnsiTheme="majorHAnsi" w:hint="default"/>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EBB50CB"/>
    <w:multiLevelType w:val="hybridMultilevel"/>
    <w:tmpl w:val="AA5635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70245922"/>
    <w:multiLevelType w:val="hybridMultilevel"/>
    <w:tmpl w:val="CE32F4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3F1455E"/>
    <w:multiLevelType w:val="multilevel"/>
    <w:tmpl w:val="DCA8A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C4B65"/>
    <w:multiLevelType w:val="hybridMultilevel"/>
    <w:tmpl w:val="506EF29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7B51ACA1"/>
    <w:multiLevelType w:val="hybridMultilevel"/>
    <w:tmpl w:val="1069B8C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13"/>
  </w:num>
  <w:num w:numId="3">
    <w:abstractNumId w:val="9"/>
  </w:num>
  <w:num w:numId="4">
    <w:abstractNumId w:val="18"/>
  </w:num>
  <w:num w:numId="5">
    <w:abstractNumId w:val="16"/>
  </w:num>
  <w:num w:numId="6">
    <w:abstractNumId w:val="3"/>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9"/>
  </w:num>
  <w:num w:numId="12">
    <w:abstractNumId w:val="15"/>
  </w:num>
  <w:num w:numId="13">
    <w:abstractNumId w:val="7"/>
  </w:num>
  <w:num w:numId="14">
    <w:abstractNumId w:val="0"/>
  </w:num>
  <w:num w:numId="15">
    <w:abstractNumId w:val="8"/>
  </w:num>
  <w:num w:numId="16">
    <w:abstractNumId w:val="14"/>
  </w:num>
  <w:num w:numId="17">
    <w:abstractNumId w:val="12"/>
  </w:num>
  <w:num w:numId="18">
    <w:abstractNumId w:val="17"/>
  </w:num>
  <w:num w:numId="19">
    <w:abstractNumId w:val="5"/>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2F"/>
    <w:rsid w:val="00002168"/>
    <w:rsid w:val="00004358"/>
    <w:rsid w:val="00004F0C"/>
    <w:rsid w:val="00007533"/>
    <w:rsid w:val="00010D1B"/>
    <w:rsid w:val="0001111F"/>
    <w:rsid w:val="00012AC1"/>
    <w:rsid w:val="00020DCC"/>
    <w:rsid w:val="0002170B"/>
    <w:rsid w:val="000265D6"/>
    <w:rsid w:val="00031A95"/>
    <w:rsid w:val="000352C6"/>
    <w:rsid w:val="00037A4C"/>
    <w:rsid w:val="000428C7"/>
    <w:rsid w:val="000445C9"/>
    <w:rsid w:val="00044C46"/>
    <w:rsid w:val="00045A6F"/>
    <w:rsid w:val="00045EA4"/>
    <w:rsid w:val="000531F2"/>
    <w:rsid w:val="00054E9E"/>
    <w:rsid w:val="00056C66"/>
    <w:rsid w:val="00060039"/>
    <w:rsid w:val="0007311C"/>
    <w:rsid w:val="000765B5"/>
    <w:rsid w:val="000816F9"/>
    <w:rsid w:val="000827EC"/>
    <w:rsid w:val="00083FB7"/>
    <w:rsid w:val="0009046E"/>
    <w:rsid w:val="00092241"/>
    <w:rsid w:val="00094E66"/>
    <w:rsid w:val="000A004C"/>
    <w:rsid w:val="000A0FCE"/>
    <w:rsid w:val="000A2F20"/>
    <w:rsid w:val="000A5131"/>
    <w:rsid w:val="000A71EC"/>
    <w:rsid w:val="000B2EB0"/>
    <w:rsid w:val="000C10E2"/>
    <w:rsid w:val="000C6767"/>
    <w:rsid w:val="000D52FE"/>
    <w:rsid w:val="000D7604"/>
    <w:rsid w:val="000E25F0"/>
    <w:rsid w:val="000E5D2A"/>
    <w:rsid w:val="000E765C"/>
    <w:rsid w:val="000F26EA"/>
    <w:rsid w:val="000F4DAC"/>
    <w:rsid w:val="000F5349"/>
    <w:rsid w:val="00103DD9"/>
    <w:rsid w:val="00103EBB"/>
    <w:rsid w:val="00106C3B"/>
    <w:rsid w:val="0012097F"/>
    <w:rsid w:val="00125BEF"/>
    <w:rsid w:val="00126822"/>
    <w:rsid w:val="00127D94"/>
    <w:rsid w:val="00130E61"/>
    <w:rsid w:val="001354A7"/>
    <w:rsid w:val="00142A08"/>
    <w:rsid w:val="00145BA4"/>
    <w:rsid w:val="001465FD"/>
    <w:rsid w:val="0015184D"/>
    <w:rsid w:val="00154032"/>
    <w:rsid w:val="00156201"/>
    <w:rsid w:val="00157073"/>
    <w:rsid w:val="00163ACC"/>
    <w:rsid w:val="00164002"/>
    <w:rsid w:val="0016645C"/>
    <w:rsid w:val="00170894"/>
    <w:rsid w:val="0017099C"/>
    <w:rsid w:val="0017329B"/>
    <w:rsid w:val="0017437E"/>
    <w:rsid w:val="00174EBF"/>
    <w:rsid w:val="0018255F"/>
    <w:rsid w:val="00190A94"/>
    <w:rsid w:val="00191F55"/>
    <w:rsid w:val="00196CE1"/>
    <w:rsid w:val="00197F34"/>
    <w:rsid w:val="001A1FF8"/>
    <w:rsid w:val="001A4081"/>
    <w:rsid w:val="001A610C"/>
    <w:rsid w:val="001A655B"/>
    <w:rsid w:val="001A6BE2"/>
    <w:rsid w:val="001B1DDB"/>
    <w:rsid w:val="001B2D26"/>
    <w:rsid w:val="001B523D"/>
    <w:rsid w:val="001B7522"/>
    <w:rsid w:val="001C0143"/>
    <w:rsid w:val="001C0727"/>
    <w:rsid w:val="001C1088"/>
    <w:rsid w:val="001C2A06"/>
    <w:rsid w:val="001C66BE"/>
    <w:rsid w:val="001D14C1"/>
    <w:rsid w:val="001D5121"/>
    <w:rsid w:val="001E6B10"/>
    <w:rsid w:val="001E72F1"/>
    <w:rsid w:val="001F0676"/>
    <w:rsid w:val="001F116E"/>
    <w:rsid w:val="001F14B1"/>
    <w:rsid w:val="001F6C7F"/>
    <w:rsid w:val="001F73E8"/>
    <w:rsid w:val="001F7819"/>
    <w:rsid w:val="002017CA"/>
    <w:rsid w:val="00205893"/>
    <w:rsid w:val="00211C06"/>
    <w:rsid w:val="0021290A"/>
    <w:rsid w:val="0021748C"/>
    <w:rsid w:val="00217D7D"/>
    <w:rsid w:val="00221594"/>
    <w:rsid w:val="00222343"/>
    <w:rsid w:val="00222A8A"/>
    <w:rsid w:val="00225E58"/>
    <w:rsid w:val="00226445"/>
    <w:rsid w:val="00226DE4"/>
    <w:rsid w:val="0022703E"/>
    <w:rsid w:val="00230F20"/>
    <w:rsid w:val="00231014"/>
    <w:rsid w:val="00236DDC"/>
    <w:rsid w:val="00241208"/>
    <w:rsid w:val="00242B07"/>
    <w:rsid w:val="00245B93"/>
    <w:rsid w:val="00247827"/>
    <w:rsid w:val="00247FC0"/>
    <w:rsid w:val="00252413"/>
    <w:rsid w:val="00253450"/>
    <w:rsid w:val="00257F4A"/>
    <w:rsid w:val="00260204"/>
    <w:rsid w:val="0026633C"/>
    <w:rsid w:val="002670C6"/>
    <w:rsid w:val="0027030A"/>
    <w:rsid w:val="002731DA"/>
    <w:rsid w:val="00274FF4"/>
    <w:rsid w:val="00275213"/>
    <w:rsid w:val="00275B52"/>
    <w:rsid w:val="0028116B"/>
    <w:rsid w:val="0028117C"/>
    <w:rsid w:val="0028150D"/>
    <w:rsid w:val="00282168"/>
    <w:rsid w:val="00285FC3"/>
    <w:rsid w:val="00292003"/>
    <w:rsid w:val="002978D2"/>
    <w:rsid w:val="002A01B5"/>
    <w:rsid w:val="002A0990"/>
    <w:rsid w:val="002A347E"/>
    <w:rsid w:val="002A4089"/>
    <w:rsid w:val="002A6243"/>
    <w:rsid w:val="002B0DA1"/>
    <w:rsid w:val="002B31A3"/>
    <w:rsid w:val="002B32A2"/>
    <w:rsid w:val="002B48F6"/>
    <w:rsid w:val="002B4F10"/>
    <w:rsid w:val="002B5302"/>
    <w:rsid w:val="002C0B92"/>
    <w:rsid w:val="002C0BA6"/>
    <w:rsid w:val="002C68DE"/>
    <w:rsid w:val="002C7F32"/>
    <w:rsid w:val="002D1609"/>
    <w:rsid w:val="002D3712"/>
    <w:rsid w:val="002D4986"/>
    <w:rsid w:val="002D6431"/>
    <w:rsid w:val="002E3495"/>
    <w:rsid w:val="002E488B"/>
    <w:rsid w:val="002E53D4"/>
    <w:rsid w:val="002E64B7"/>
    <w:rsid w:val="002E6A0E"/>
    <w:rsid w:val="002F04B6"/>
    <w:rsid w:val="002F08D4"/>
    <w:rsid w:val="002F45C8"/>
    <w:rsid w:val="002F5541"/>
    <w:rsid w:val="002F5F14"/>
    <w:rsid w:val="00300283"/>
    <w:rsid w:val="003020FF"/>
    <w:rsid w:val="00304E54"/>
    <w:rsid w:val="00306897"/>
    <w:rsid w:val="00310394"/>
    <w:rsid w:val="0031075C"/>
    <w:rsid w:val="003159BD"/>
    <w:rsid w:val="0032031B"/>
    <w:rsid w:val="003203F1"/>
    <w:rsid w:val="0032312F"/>
    <w:rsid w:val="0032519B"/>
    <w:rsid w:val="0033247C"/>
    <w:rsid w:val="00332724"/>
    <w:rsid w:val="00336D71"/>
    <w:rsid w:val="00341BC6"/>
    <w:rsid w:val="003445F7"/>
    <w:rsid w:val="003454F8"/>
    <w:rsid w:val="0034634E"/>
    <w:rsid w:val="003474D1"/>
    <w:rsid w:val="00353706"/>
    <w:rsid w:val="00371559"/>
    <w:rsid w:val="0037193D"/>
    <w:rsid w:val="00381F64"/>
    <w:rsid w:val="00382E1E"/>
    <w:rsid w:val="00387FA6"/>
    <w:rsid w:val="00390B61"/>
    <w:rsid w:val="00392145"/>
    <w:rsid w:val="003A140C"/>
    <w:rsid w:val="003A54B4"/>
    <w:rsid w:val="003A6B5D"/>
    <w:rsid w:val="003A7747"/>
    <w:rsid w:val="003A7F62"/>
    <w:rsid w:val="003B1378"/>
    <w:rsid w:val="003B275B"/>
    <w:rsid w:val="003B3009"/>
    <w:rsid w:val="003B5E8C"/>
    <w:rsid w:val="003D1ED5"/>
    <w:rsid w:val="003D3CF8"/>
    <w:rsid w:val="003E6D46"/>
    <w:rsid w:val="003E7926"/>
    <w:rsid w:val="003F1A1D"/>
    <w:rsid w:val="003F35C8"/>
    <w:rsid w:val="003F6051"/>
    <w:rsid w:val="003F7388"/>
    <w:rsid w:val="00400B41"/>
    <w:rsid w:val="00402317"/>
    <w:rsid w:val="00402337"/>
    <w:rsid w:val="00403209"/>
    <w:rsid w:val="00403273"/>
    <w:rsid w:val="00404B1C"/>
    <w:rsid w:val="00404C56"/>
    <w:rsid w:val="00406878"/>
    <w:rsid w:val="00406B29"/>
    <w:rsid w:val="004078B7"/>
    <w:rsid w:val="00412C37"/>
    <w:rsid w:val="00415828"/>
    <w:rsid w:val="00416E4A"/>
    <w:rsid w:val="0041757A"/>
    <w:rsid w:val="0042015D"/>
    <w:rsid w:val="0042077D"/>
    <w:rsid w:val="00420C3D"/>
    <w:rsid w:val="004266BF"/>
    <w:rsid w:val="004276B7"/>
    <w:rsid w:val="0043158F"/>
    <w:rsid w:val="00434C68"/>
    <w:rsid w:val="00437513"/>
    <w:rsid w:val="00445BDF"/>
    <w:rsid w:val="00450337"/>
    <w:rsid w:val="00451172"/>
    <w:rsid w:val="00452755"/>
    <w:rsid w:val="004534FD"/>
    <w:rsid w:val="00462302"/>
    <w:rsid w:val="00464373"/>
    <w:rsid w:val="004740E6"/>
    <w:rsid w:val="00477354"/>
    <w:rsid w:val="00480D39"/>
    <w:rsid w:val="004840CD"/>
    <w:rsid w:val="00487EB0"/>
    <w:rsid w:val="00491DB5"/>
    <w:rsid w:val="00492CE1"/>
    <w:rsid w:val="00496C60"/>
    <w:rsid w:val="004A0E59"/>
    <w:rsid w:val="004A13DE"/>
    <w:rsid w:val="004A1519"/>
    <w:rsid w:val="004A28D1"/>
    <w:rsid w:val="004A2FAB"/>
    <w:rsid w:val="004B0406"/>
    <w:rsid w:val="004B49AD"/>
    <w:rsid w:val="004B6293"/>
    <w:rsid w:val="004B6A1C"/>
    <w:rsid w:val="004B6E5B"/>
    <w:rsid w:val="004B7C23"/>
    <w:rsid w:val="004C07E1"/>
    <w:rsid w:val="004C1FD9"/>
    <w:rsid w:val="004C2A8A"/>
    <w:rsid w:val="004C332A"/>
    <w:rsid w:val="004C7832"/>
    <w:rsid w:val="004C7CFC"/>
    <w:rsid w:val="004D67BA"/>
    <w:rsid w:val="004E08A8"/>
    <w:rsid w:val="004E2096"/>
    <w:rsid w:val="004E4031"/>
    <w:rsid w:val="004E7B86"/>
    <w:rsid w:val="004F0C2A"/>
    <w:rsid w:val="00504408"/>
    <w:rsid w:val="0050790D"/>
    <w:rsid w:val="0051344D"/>
    <w:rsid w:val="00515E3D"/>
    <w:rsid w:val="00517B76"/>
    <w:rsid w:val="005208FE"/>
    <w:rsid w:val="00521C81"/>
    <w:rsid w:val="00522389"/>
    <w:rsid w:val="0052471A"/>
    <w:rsid w:val="0052744F"/>
    <w:rsid w:val="00530250"/>
    <w:rsid w:val="00530FBD"/>
    <w:rsid w:val="005337BB"/>
    <w:rsid w:val="00534203"/>
    <w:rsid w:val="0053513D"/>
    <w:rsid w:val="00536C64"/>
    <w:rsid w:val="0054161F"/>
    <w:rsid w:val="00542606"/>
    <w:rsid w:val="00543B84"/>
    <w:rsid w:val="0054500D"/>
    <w:rsid w:val="005450B8"/>
    <w:rsid w:val="00547BC6"/>
    <w:rsid w:val="00550DB2"/>
    <w:rsid w:val="005525E9"/>
    <w:rsid w:val="00556F49"/>
    <w:rsid w:val="00557337"/>
    <w:rsid w:val="00563658"/>
    <w:rsid w:val="0056388A"/>
    <w:rsid w:val="00563919"/>
    <w:rsid w:val="00566607"/>
    <w:rsid w:val="0056672C"/>
    <w:rsid w:val="005674C7"/>
    <w:rsid w:val="00567A21"/>
    <w:rsid w:val="00576075"/>
    <w:rsid w:val="0057679F"/>
    <w:rsid w:val="00577982"/>
    <w:rsid w:val="005800CF"/>
    <w:rsid w:val="005818C9"/>
    <w:rsid w:val="0058422E"/>
    <w:rsid w:val="00590A70"/>
    <w:rsid w:val="00593CEE"/>
    <w:rsid w:val="00595C7D"/>
    <w:rsid w:val="005A2276"/>
    <w:rsid w:val="005A481D"/>
    <w:rsid w:val="005A5A12"/>
    <w:rsid w:val="005A5F03"/>
    <w:rsid w:val="005B478E"/>
    <w:rsid w:val="005B6678"/>
    <w:rsid w:val="005C001F"/>
    <w:rsid w:val="005C067E"/>
    <w:rsid w:val="005C26D9"/>
    <w:rsid w:val="005C3627"/>
    <w:rsid w:val="005C41F8"/>
    <w:rsid w:val="005C5322"/>
    <w:rsid w:val="005C6893"/>
    <w:rsid w:val="005C748B"/>
    <w:rsid w:val="005E0B9C"/>
    <w:rsid w:val="005E1141"/>
    <w:rsid w:val="005E7747"/>
    <w:rsid w:val="005F77F6"/>
    <w:rsid w:val="00600E15"/>
    <w:rsid w:val="006014D4"/>
    <w:rsid w:val="00601F8C"/>
    <w:rsid w:val="00610F28"/>
    <w:rsid w:val="00610FD1"/>
    <w:rsid w:val="006120FA"/>
    <w:rsid w:val="00614FC6"/>
    <w:rsid w:val="006154F5"/>
    <w:rsid w:val="00625BFB"/>
    <w:rsid w:val="00625D4B"/>
    <w:rsid w:val="00626E35"/>
    <w:rsid w:val="0063148B"/>
    <w:rsid w:val="0063214D"/>
    <w:rsid w:val="00633DC5"/>
    <w:rsid w:val="00640EE0"/>
    <w:rsid w:val="00641F1C"/>
    <w:rsid w:val="00644F7C"/>
    <w:rsid w:val="00645796"/>
    <w:rsid w:val="00650263"/>
    <w:rsid w:val="0066238D"/>
    <w:rsid w:val="00673843"/>
    <w:rsid w:val="00674675"/>
    <w:rsid w:val="00680B81"/>
    <w:rsid w:val="00686A32"/>
    <w:rsid w:val="006917F2"/>
    <w:rsid w:val="00692034"/>
    <w:rsid w:val="00692AAF"/>
    <w:rsid w:val="0069308C"/>
    <w:rsid w:val="006954A3"/>
    <w:rsid w:val="006A1349"/>
    <w:rsid w:val="006A403F"/>
    <w:rsid w:val="006A4272"/>
    <w:rsid w:val="006A5F3D"/>
    <w:rsid w:val="006A614D"/>
    <w:rsid w:val="006A6BCC"/>
    <w:rsid w:val="006B308D"/>
    <w:rsid w:val="006B4755"/>
    <w:rsid w:val="006B5783"/>
    <w:rsid w:val="006C349B"/>
    <w:rsid w:val="006C79F3"/>
    <w:rsid w:val="006D301E"/>
    <w:rsid w:val="006D3430"/>
    <w:rsid w:val="006D3DFE"/>
    <w:rsid w:val="006D68E9"/>
    <w:rsid w:val="006F1404"/>
    <w:rsid w:val="006F35DA"/>
    <w:rsid w:val="006F57E7"/>
    <w:rsid w:val="006F64F7"/>
    <w:rsid w:val="006F6666"/>
    <w:rsid w:val="00700A86"/>
    <w:rsid w:val="00701600"/>
    <w:rsid w:val="007030D7"/>
    <w:rsid w:val="00703A33"/>
    <w:rsid w:val="007118F3"/>
    <w:rsid w:val="00712FC2"/>
    <w:rsid w:val="00713924"/>
    <w:rsid w:val="0071405C"/>
    <w:rsid w:val="00714E2C"/>
    <w:rsid w:val="00717C4F"/>
    <w:rsid w:val="00720439"/>
    <w:rsid w:val="00720745"/>
    <w:rsid w:val="00721E41"/>
    <w:rsid w:val="00722D67"/>
    <w:rsid w:val="007244C5"/>
    <w:rsid w:val="00724BAE"/>
    <w:rsid w:val="00724F77"/>
    <w:rsid w:val="00733C14"/>
    <w:rsid w:val="00735896"/>
    <w:rsid w:val="007416EB"/>
    <w:rsid w:val="00744127"/>
    <w:rsid w:val="007452A0"/>
    <w:rsid w:val="007470B1"/>
    <w:rsid w:val="007548D1"/>
    <w:rsid w:val="00755B10"/>
    <w:rsid w:val="00757BF1"/>
    <w:rsid w:val="007603CB"/>
    <w:rsid w:val="00760B13"/>
    <w:rsid w:val="00760FA7"/>
    <w:rsid w:val="00761A89"/>
    <w:rsid w:val="00765DFA"/>
    <w:rsid w:val="0077295D"/>
    <w:rsid w:val="00774F08"/>
    <w:rsid w:val="00780D8C"/>
    <w:rsid w:val="00784351"/>
    <w:rsid w:val="00784FF6"/>
    <w:rsid w:val="00793813"/>
    <w:rsid w:val="00794760"/>
    <w:rsid w:val="007948EC"/>
    <w:rsid w:val="00794B30"/>
    <w:rsid w:val="007966C2"/>
    <w:rsid w:val="00797173"/>
    <w:rsid w:val="007A1831"/>
    <w:rsid w:val="007A1A88"/>
    <w:rsid w:val="007A68DD"/>
    <w:rsid w:val="007A6E19"/>
    <w:rsid w:val="007A72D6"/>
    <w:rsid w:val="007B1DA9"/>
    <w:rsid w:val="007B5EB7"/>
    <w:rsid w:val="007B782D"/>
    <w:rsid w:val="007C0799"/>
    <w:rsid w:val="007C16DF"/>
    <w:rsid w:val="007D056B"/>
    <w:rsid w:val="007D3F9D"/>
    <w:rsid w:val="007E501C"/>
    <w:rsid w:val="007E5A7B"/>
    <w:rsid w:val="007F02AA"/>
    <w:rsid w:val="007F5E21"/>
    <w:rsid w:val="00800BCC"/>
    <w:rsid w:val="0080464D"/>
    <w:rsid w:val="00804F1C"/>
    <w:rsid w:val="00811B2E"/>
    <w:rsid w:val="008134DD"/>
    <w:rsid w:val="00813A1E"/>
    <w:rsid w:val="0082174C"/>
    <w:rsid w:val="00824120"/>
    <w:rsid w:val="00827B53"/>
    <w:rsid w:val="008359A7"/>
    <w:rsid w:val="0083730A"/>
    <w:rsid w:val="00837603"/>
    <w:rsid w:val="00850F39"/>
    <w:rsid w:val="008517A4"/>
    <w:rsid w:val="00854CF6"/>
    <w:rsid w:val="00857393"/>
    <w:rsid w:val="00866DE1"/>
    <w:rsid w:val="00867B56"/>
    <w:rsid w:val="00871F12"/>
    <w:rsid w:val="00876079"/>
    <w:rsid w:val="00876974"/>
    <w:rsid w:val="008773F7"/>
    <w:rsid w:val="00882C90"/>
    <w:rsid w:val="00887683"/>
    <w:rsid w:val="00891DAE"/>
    <w:rsid w:val="008935EA"/>
    <w:rsid w:val="00893F6B"/>
    <w:rsid w:val="0089659C"/>
    <w:rsid w:val="008A76B0"/>
    <w:rsid w:val="008B197A"/>
    <w:rsid w:val="008B2B64"/>
    <w:rsid w:val="008B3851"/>
    <w:rsid w:val="008B6D1A"/>
    <w:rsid w:val="008B7582"/>
    <w:rsid w:val="008C02ED"/>
    <w:rsid w:val="008C4427"/>
    <w:rsid w:val="008D2203"/>
    <w:rsid w:val="008D397F"/>
    <w:rsid w:val="008D4D5A"/>
    <w:rsid w:val="008D50F0"/>
    <w:rsid w:val="008D61A0"/>
    <w:rsid w:val="008E7D8F"/>
    <w:rsid w:val="008F226B"/>
    <w:rsid w:val="008F26A6"/>
    <w:rsid w:val="008F352B"/>
    <w:rsid w:val="008F6530"/>
    <w:rsid w:val="008F79BA"/>
    <w:rsid w:val="00900358"/>
    <w:rsid w:val="00901FA6"/>
    <w:rsid w:val="00903436"/>
    <w:rsid w:val="00906CFB"/>
    <w:rsid w:val="0092657E"/>
    <w:rsid w:val="00934D24"/>
    <w:rsid w:val="00936558"/>
    <w:rsid w:val="0093674C"/>
    <w:rsid w:val="0094092E"/>
    <w:rsid w:val="0094457A"/>
    <w:rsid w:val="009456B1"/>
    <w:rsid w:val="00950FD7"/>
    <w:rsid w:val="00954972"/>
    <w:rsid w:val="00957461"/>
    <w:rsid w:val="00957CCB"/>
    <w:rsid w:val="00962D64"/>
    <w:rsid w:val="00962EB8"/>
    <w:rsid w:val="00962F38"/>
    <w:rsid w:val="00963409"/>
    <w:rsid w:val="009636A5"/>
    <w:rsid w:val="00963894"/>
    <w:rsid w:val="00971130"/>
    <w:rsid w:val="00971843"/>
    <w:rsid w:val="00972524"/>
    <w:rsid w:val="00973F7C"/>
    <w:rsid w:val="00980B96"/>
    <w:rsid w:val="009852F5"/>
    <w:rsid w:val="0099400D"/>
    <w:rsid w:val="0099462E"/>
    <w:rsid w:val="00996217"/>
    <w:rsid w:val="009A4C06"/>
    <w:rsid w:val="009A50C6"/>
    <w:rsid w:val="009A56B3"/>
    <w:rsid w:val="009A7C74"/>
    <w:rsid w:val="009B58AE"/>
    <w:rsid w:val="009B6D43"/>
    <w:rsid w:val="009C3231"/>
    <w:rsid w:val="009C34F0"/>
    <w:rsid w:val="009C3D5E"/>
    <w:rsid w:val="009C498D"/>
    <w:rsid w:val="009D227F"/>
    <w:rsid w:val="009D3B05"/>
    <w:rsid w:val="009D4509"/>
    <w:rsid w:val="009E2555"/>
    <w:rsid w:val="009E25F8"/>
    <w:rsid w:val="009E3292"/>
    <w:rsid w:val="009F1F66"/>
    <w:rsid w:val="009F29F5"/>
    <w:rsid w:val="009F2A21"/>
    <w:rsid w:val="009F33AF"/>
    <w:rsid w:val="009F57FB"/>
    <w:rsid w:val="009F7075"/>
    <w:rsid w:val="00A07B3F"/>
    <w:rsid w:val="00A165CC"/>
    <w:rsid w:val="00A22D5C"/>
    <w:rsid w:val="00A239C1"/>
    <w:rsid w:val="00A25A98"/>
    <w:rsid w:val="00A3187C"/>
    <w:rsid w:val="00A31B98"/>
    <w:rsid w:val="00A328EC"/>
    <w:rsid w:val="00A32F03"/>
    <w:rsid w:val="00A34FB7"/>
    <w:rsid w:val="00A36083"/>
    <w:rsid w:val="00A409AF"/>
    <w:rsid w:val="00A40ADB"/>
    <w:rsid w:val="00A42D27"/>
    <w:rsid w:val="00A47BBF"/>
    <w:rsid w:val="00A50FA6"/>
    <w:rsid w:val="00A5272A"/>
    <w:rsid w:val="00A6127E"/>
    <w:rsid w:val="00A61898"/>
    <w:rsid w:val="00A6293E"/>
    <w:rsid w:val="00A65423"/>
    <w:rsid w:val="00A66B93"/>
    <w:rsid w:val="00A67DD7"/>
    <w:rsid w:val="00A67EF4"/>
    <w:rsid w:val="00A72B0E"/>
    <w:rsid w:val="00A73976"/>
    <w:rsid w:val="00A74A0C"/>
    <w:rsid w:val="00A75352"/>
    <w:rsid w:val="00A819BD"/>
    <w:rsid w:val="00A82A02"/>
    <w:rsid w:val="00A8632C"/>
    <w:rsid w:val="00A92319"/>
    <w:rsid w:val="00A92F01"/>
    <w:rsid w:val="00A95619"/>
    <w:rsid w:val="00AA2553"/>
    <w:rsid w:val="00AB28F8"/>
    <w:rsid w:val="00AC1F1B"/>
    <w:rsid w:val="00AC2349"/>
    <w:rsid w:val="00AC23FF"/>
    <w:rsid w:val="00AC2BB2"/>
    <w:rsid w:val="00AC5878"/>
    <w:rsid w:val="00AD27A1"/>
    <w:rsid w:val="00AD5ED1"/>
    <w:rsid w:val="00AD681B"/>
    <w:rsid w:val="00AD6E86"/>
    <w:rsid w:val="00AE0177"/>
    <w:rsid w:val="00AE2152"/>
    <w:rsid w:val="00AF41E9"/>
    <w:rsid w:val="00AF4F4B"/>
    <w:rsid w:val="00B02AF3"/>
    <w:rsid w:val="00B12B12"/>
    <w:rsid w:val="00B13C66"/>
    <w:rsid w:val="00B17B5F"/>
    <w:rsid w:val="00B20D81"/>
    <w:rsid w:val="00B21472"/>
    <w:rsid w:val="00B215DA"/>
    <w:rsid w:val="00B21B5F"/>
    <w:rsid w:val="00B22A8B"/>
    <w:rsid w:val="00B2495D"/>
    <w:rsid w:val="00B25F16"/>
    <w:rsid w:val="00B263BA"/>
    <w:rsid w:val="00B27026"/>
    <w:rsid w:val="00B30854"/>
    <w:rsid w:val="00B35297"/>
    <w:rsid w:val="00B360F7"/>
    <w:rsid w:val="00B369B0"/>
    <w:rsid w:val="00B40E18"/>
    <w:rsid w:val="00B4273F"/>
    <w:rsid w:val="00B43432"/>
    <w:rsid w:val="00B507FB"/>
    <w:rsid w:val="00B53463"/>
    <w:rsid w:val="00B5391C"/>
    <w:rsid w:val="00B5624B"/>
    <w:rsid w:val="00B655BC"/>
    <w:rsid w:val="00B659AA"/>
    <w:rsid w:val="00B67363"/>
    <w:rsid w:val="00B67D60"/>
    <w:rsid w:val="00B70ADC"/>
    <w:rsid w:val="00B737F2"/>
    <w:rsid w:val="00B73899"/>
    <w:rsid w:val="00B82C3B"/>
    <w:rsid w:val="00B8339D"/>
    <w:rsid w:val="00B853E7"/>
    <w:rsid w:val="00B857CB"/>
    <w:rsid w:val="00B85AAE"/>
    <w:rsid w:val="00B8660A"/>
    <w:rsid w:val="00B9356C"/>
    <w:rsid w:val="00B95543"/>
    <w:rsid w:val="00B97CEF"/>
    <w:rsid w:val="00BA3956"/>
    <w:rsid w:val="00BA709E"/>
    <w:rsid w:val="00BB04C7"/>
    <w:rsid w:val="00BB17B8"/>
    <w:rsid w:val="00BB31BC"/>
    <w:rsid w:val="00BB3AD8"/>
    <w:rsid w:val="00BB4821"/>
    <w:rsid w:val="00BB5A64"/>
    <w:rsid w:val="00BC0313"/>
    <w:rsid w:val="00BC1BF4"/>
    <w:rsid w:val="00BC2B33"/>
    <w:rsid w:val="00BC574A"/>
    <w:rsid w:val="00BD04BE"/>
    <w:rsid w:val="00BD04F7"/>
    <w:rsid w:val="00BD2832"/>
    <w:rsid w:val="00BE168C"/>
    <w:rsid w:val="00BE4E7B"/>
    <w:rsid w:val="00BF095D"/>
    <w:rsid w:val="00BF339A"/>
    <w:rsid w:val="00BF422B"/>
    <w:rsid w:val="00BF47DD"/>
    <w:rsid w:val="00BF58E3"/>
    <w:rsid w:val="00C01218"/>
    <w:rsid w:val="00C013AB"/>
    <w:rsid w:val="00C019FF"/>
    <w:rsid w:val="00C02A15"/>
    <w:rsid w:val="00C07452"/>
    <w:rsid w:val="00C13B3F"/>
    <w:rsid w:val="00C16A1E"/>
    <w:rsid w:val="00C17C58"/>
    <w:rsid w:val="00C17EF6"/>
    <w:rsid w:val="00C21AB2"/>
    <w:rsid w:val="00C23FD7"/>
    <w:rsid w:val="00C25E7C"/>
    <w:rsid w:val="00C2699E"/>
    <w:rsid w:val="00C27FC6"/>
    <w:rsid w:val="00C30B08"/>
    <w:rsid w:val="00C314B7"/>
    <w:rsid w:val="00C31A5D"/>
    <w:rsid w:val="00C42287"/>
    <w:rsid w:val="00C466F6"/>
    <w:rsid w:val="00C52777"/>
    <w:rsid w:val="00C551B0"/>
    <w:rsid w:val="00C6443C"/>
    <w:rsid w:val="00C703C3"/>
    <w:rsid w:val="00C712D9"/>
    <w:rsid w:val="00C73144"/>
    <w:rsid w:val="00C73C5E"/>
    <w:rsid w:val="00C83B0A"/>
    <w:rsid w:val="00C84E24"/>
    <w:rsid w:val="00C927D4"/>
    <w:rsid w:val="00C96542"/>
    <w:rsid w:val="00C9754D"/>
    <w:rsid w:val="00C97718"/>
    <w:rsid w:val="00CA2143"/>
    <w:rsid w:val="00CA2A1F"/>
    <w:rsid w:val="00CA3C40"/>
    <w:rsid w:val="00CA6739"/>
    <w:rsid w:val="00CB0892"/>
    <w:rsid w:val="00CC09E5"/>
    <w:rsid w:val="00CC2A55"/>
    <w:rsid w:val="00CC7352"/>
    <w:rsid w:val="00CD300E"/>
    <w:rsid w:val="00CD4066"/>
    <w:rsid w:val="00CD6D6A"/>
    <w:rsid w:val="00CE0FDC"/>
    <w:rsid w:val="00CF5BBB"/>
    <w:rsid w:val="00D0228F"/>
    <w:rsid w:val="00D02481"/>
    <w:rsid w:val="00D02565"/>
    <w:rsid w:val="00D03B2A"/>
    <w:rsid w:val="00D06634"/>
    <w:rsid w:val="00D10FFE"/>
    <w:rsid w:val="00D11292"/>
    <w:rsid w:val="00D159C1"/>
    <w:rsid w:val="00D213E5"/>
    <w:rsid w:val="00D22F17"/>
    <w:rsid w:val="00D23D7C"/>
    <w:rsid w:val="00D24F19"/>
    <w:rsid w:val="00D25678"/>
    <w:rsid w:val="00D25CE3"/>
    <w:rsid w:val="00D2659D"/>
    <w:rsid w:val="00D27C9C"/>
    <w:rsid w:val="00D32E87"/>
    <w:rsid w:val="00D37EAC"/>
    <w:rsid w:val="00D434C3"/>
    <w:rsid w:val="00D44E49"/>
    <w:rsid w:val="00D461CB"/>
    <w:rsid w:val="00D4779D"/>
    <w:rsid w:val="00D477D8"/>
    <w:rsid w:val="00D505C3"/>
    <w:rsid w:val="00D53B77"/>
    <w:rsid w:val="00D54D2E"/>
    <w:rsid w:val="00D569E7"/>
    <w:rsid w:val="00D57076"/>
    <w:rsid w:val="00D570F6"/>
    <w:rsid w:val="00D573D8"/>
    <w:rsid w:val="00D6244C"/>
    <w:rsid w:val="00D66724"/>
    <w:rsid w:val="00D70B61"/>
    <w:rsid w:val="00D7205D"/>
    <w:rsid w:val="00D720AD"/>
    <w:rsid w:val="00D7317B"/>
    <w:rsid w:val="00D807C3"/>
    <w:rsid w:val="00D81D6B"/>
    <w:rsid w:val="00D820B5"/>
    <w:rsid w:val="00D82895"/>
    <w:rsid w:val="00D83E24"/>
    <w:rsid w:val="00D85901"/>
    <w:rsid w:val="00D87BAC"/>
    <w:rsid w:val="00D87F0C"/>
    <w:rsid w:val="00D900C1"/>
    <w:rsid w:val="00D92EB5"/>
    <w:rsid w:val="00D96B1A"/>
    <w:rsid w:val="00DA0103"/>
    <w:rsid w:val="00DA484F"/>
    <w:rsid w:val="00DB7F5E"/>
    <w:rsid w:val="00DC5922"/>
    <w:rsid w:val="00DC647C"/>
    <w:rsid w:val="00DC6E2B"/>
    <w:rsid w:val="00DC7519"/>
    <w:rsid w:val="00DC7DBB"/>
    <w:rsid w:val="00DD618E"/>
    <w:rsid w:val="00DE120C"/>
    <w:rsid w:val="00DE4354"/>
    <w:rsid w:val="00DE48B2"/>
    <w:rsid w:val="00DE5CB6"/>
    <w:rsid w:val="00DE7E4D"/>
    <w:rsid w:val="00DF227B"/>
    <w:rsid w:val="00DF2F4A"/>
    <w:rsid w:val="00DF4A21"/>
    <w:rsid w:val="00DF777C"/>
    <w:rsid w:val="00E00C26"/>
    <w:rsid w:val="00E02122"/>
    <w:rsid w:val="00E02FD3"/>
    <w:rsid w:val="00E03013"/>
    <w:rsid w:val="00E03432"/>
    <w:rsid w:val="00E109FC"/>
    <w:rsid w:val="00E10CAB"/>
    <w:rsid w:val="00E1242E"/>
    <w:rsid w:val="00E15914"/>
    <w:rsid w:val="00E161D5"/>
    <w:rsid w:val="00E27BCE"/>
    <w:rsid w:val="00E30256"/>
    <w:rsid w:val="00E32908"/>
    <w:rsid w:val="00E3343D"/>
    <w:rsid w:val="00E35993"/>
    <w:rsid w:val="00E35AC5"/>
    <w:rsid w:val="00E419CC"/>
    <w:rsid w:val="00E42140"/>
    <w:rsid w:val="00E4449D"/>
    <w:rsid w:val="00E47A3E"/>
    <w:rsid w:val="00E53CC3"/>
    <w:rsid w:val="00E5569A"/>
    <w:rsid w:val="00E62FBF"/>
    <w:rsid w:val="00E64794"/>
    <w:rsid w:val="00E658F6"/>
    <w:rsid w:val="00E65F35"/>
    <w:rsid w:val="00E662EA"/>
    <w:rsid w:val="00E70471"/>
    <w:rsid w:val="00E7048A"/>
    <w:rsid w:val="00E74C50"/>
    <w:rsid w:val="00E76CED"/>
    <w:rsid w:val="00E76E5E"/>
    <w:rsid w:val="00E773DE"/>
    <w:rsid w:val="00E96BC9"/>
    <w:rsid w:val="00EA11EF"/>
    <w:rsid w:val="00EA1D01"/>
    <w:rsid w:val="00EA3308"/>
    <w:rsid w:val="00EA3D3C"/>
    <w:rsid w:val="00EA495E"/>
    <w:rsid w:val="00EA5BED"/>
    <w:rsid w:val="00EA6805"/>
    <w:rsid w:val="00EB3BA6"/>
    <w:rsid w:val="00EB53D4"/>
    <w:rsid w:val="00EB59CD"/>
    <w:rsid w:val="00EB6FCF"/>
    <w:rsid w:val="00EB7198"/>
    <w:rsid w:val="00EC1D97"/>
    <w:rsid w:val="00EC4BA6"/>
    <w:rsid w:val="00ED107D"/>
    <w:rsid w:val="00ED3827"/>
    <w:rsid w:val="00EE19EA"/>
    <w:rsid w:val="00EE2472"/>
    <w:rsid w:val="00EE3E12"/>
    <w:rsid w:val="00EF2EC0"/>
    <w:rsid w:val="00F0058D"/>
    <w:rsid w:val="00F11B7C"/>
    <w:rsid w:val="00F12CDD"/>
    <w:rsid w:val="00F15B38"/>
    <w:rsid w:val="00F2107C"/>
    <w:rsid w:val="00F30BDE"/>
    <w:rsid w:val="00F32A24"/>
    <w:rsid w:val="00F345E9"/>
    <w:rsid w:val="00F541EB"/>
    <w:rsid w:val="00F6212F"/>
    <w:rsid w:val="00F66DBE"/>
    <w:rsid w:val="00F679C1"/>
    <w:rsid w:val="00F73C0B"/>
    <w:rsid w:val="00F73D75"/>
    <w:rsid w:val="00F75035"/>
    <w:rsid w:val="00F8038A"/>
    <w:rsid w:val="00F81085"/>
    <w:rsid w:val="00F8155D"/>
    <w:rsid w:val="00F87877"/>
    <w:rsid w:val="00F92D80"/>
    <w:rsid w:val="00FB1E06"/>
    <w:rsid w:val="00FB23F1"/>
    <w:rsid w:val="00FB30BF"/>
    <w:rsid w:val="00FB354F"/>
    <w:rsid w:val="00FB6528"/>
    <w:rsid w:val="00FB6C64"/>
    <w:rsid w:val="00FC0ECB"/>
    <w:rsid w:val="00FC1BF8"/>
    <w:rsid w:val="00FC4FF2"/>
    <w:rsid w:val="00FC5E95"/>
    <w:rsid w:val="00FD0C26"/>
    <w:rsid w:val="00FD2BCA"/>
    <w:rsid w:val="00FD38B1"/>
    <w:rsid w:val="00FD7CE2"/>
    <w:rsid w:val="00FE0EF2"/>
    <w:rsid w:val="00FE38E3"/>
    <w:rsid w:val="00FE4442"/>
    <w:rsid w:val="00FE7262"/>
    <w:rsid w:val="00FF02AB"/>
    <w:rsid w:val="00FF2894"/>
    <w:rsid w:val="00FF3B66"/>
    <w:rsid w:val="00FF4685"/>
    <w:rsid w:val="00FF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CC553FF"/>
  <w14:defaultImageDpi w14:val="300"/>
  <w15:docId w15:val="{CDE4509A-1AEF-40A7-8D07-656A36F1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2F"/>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32312F"/>
  </w:style>
  <w:style w:type="paragraph" w:styleId="Footer">
    <w:name w:val="footer"/>
    <w:basedOn w:val="Normal"/>
    <w:link w:val="FooterChar"/>
    <w:uiPriority w:val="99"/>
    <w:unhideWhenUsed/>
    <w:rsid w:val="0032312F"/>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32312F"/>
  </w:style>
  <w:style w:type="table" w:styleId="LightShading-Accent1">
    <w:name w:val="Light Shading Accent 1"/>
    <w:basedOn w:val="TableNormal"/>
    <w:uiPriority w:val="60"/>
    <w:rsid w:val="0032312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231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12F"/>
    <w:rPr>
      <w:rFonts w:ascii="Lucida Grande" w:hAnsi="Lucida Grande" w:cs="Lucida Grande"/>
      <w:sz w:val="18"/>
      <w:szCs w:val="18"/>
    </w:rPr>
  </w:style>
  <w:style w:type="paragraph" w:styleId="Closing">
    <w:name w:val="Closing"/>
    <w:basedOn w:val="Normal"/>
    <w:link w:val="ClosingChar"/>
    <w:uiPriority w:val="5"/>
    <w:unhideWhenUsed/>
    <w:rsid w:val="00AD5ED1"/>
    <w:pPr>
      <w:spacing w:before="480" w:after="960"/>
      <w:contextualSpacing/>
    </w:pPr>
  </w:style>
  <w:style w:type="character" w:customStyle="1" w:styleId="ClosingChar">
    <w:name w:val="Closing Char"/>
    <w:basedOn w:val="DefaultParagraphFont"/>
    <w:link w:val="Closing"/>
    <w:uiPriority w:val="5"/>
    <w:rsid w:val="00AD5ED1"/>
    <w:rPr>
      <w:sz w:val="22"/>
      <w:szCs w:val="22"/>
    </w:rPr>
  </w:style>
  <w:style w:type="paragraph" w:customStyle="1" w:styleId="RecipientAddress">
    <w:name w:val="Recipient Address"/>
    <w:basedOn w:val="NoSpacing"/>
    <w:uiPriority w:val="3"/>
    <w:rsid w:val="00AD5ED1"/>
    <w:pPr>
      <w:spacing w:after="360"/>
      <w:contextualSpacing/>
    </w:pPr>
  </w:style>
  <w:style w:type="paragraph" w:styleId="Salutation">
    <w:name w:val="Salutation"/>
    <w:basedOn w:val="NoSpacing"/>
    <w:next w:val="Normal"/>
    <w:link w:val="SalutationChar"/>
    <w:uiPriority w:val="4"/>
    <w:unhideWhenUsed/>
    <w:rsid w:val="00AD5ED1"/>
    <w:pPr>
      <w:spacing w:before="480" w:after="320"/>
      <w:contextualSpacing/>
    </w:pPr>
    <w:rPr>
      <w:b/>
    </w:rPr>
  </w:style>
  <w:style w:type="character" w:customStyle="1" w:styleId="SalutationChar">
    <w:name w:val="Salutation Char"/>
    <w:basedOn w:val="DefaultParagraphFont"/>
    <w:link w:val="Salutation"/>
    <w:uiPriority w:val="4"/>
    <w:rsid w:val="00AD5ED1"/>
    <w:rPr>
      <w:b/>
      <w:sz w:val="22"/>
      <w:szCs w:val="22"/>
    </w:rPr>
  </w:style>
  <w:style w:type="character" w:styleId="PlaceholderText">
    <w:name w:val="Placeholder Text"/>
    <w:basedOn w:val="DefaultParagraphFont"/>
    <w:uiPriority w:val="99"/>
    <w:unhideWhenUsed/>
    <w:rsid w:val="00AD5ED1"/>
    <w:rPr>
      <w:color w:val="808080"/>
    </w:rPr>
  </w:style>
  <w:style w:type="paragraph" w:styleId="Signature">
    <w:name w:val="Signature"/>
    <w:basedOn w:val="Normal"/>
    <w:link w:val="SignatureChar"/>
    <w:uiPriority w:val="99"/>
    <w:unhideWhenUsed/>
    <w:rsid w:val="00AD5ED1"/>
    <w:pPr>
      <w:contextualSpacing/>
    </w:pPr>
  </w:style>
  <w:style w:type="character" w:customStyle="1" w:styleId="SignatureChar">
    <w:name w:val="Signature Char"/>
    <w:basedOn w:val="DefaultParagraphFont"/>
    <w:link w:val="Signature"/>
    <w:uiPriority w:val="99"/>
    <w:rsid w:val="00AD5ED1"/>
    <w:rPr>
      <w:sz w:val="22"/>
      <w:szCs w:val="22"/>
    </w:rPr>
  </w:style>
  <w:style w:type="paragraph" w:styleId="NoSpacing">
    <w:name w:val="No Spacing"/>
    <w:uiPriority w:val="1"/>
    <w:qFormat/>
    <w:rsid w:val="00AD5ED1"/>
    <w:rPr>
      <w:sz w:val="22"/>
      <w:szCs w:val="22"/>
    </w:rPr>
  </w:style>
  <w:style w:type="character" w:styleId="Strong">
    <w:name w:val="Strong"/>
    <w:basedOn w:val="DefaultParagraphFont"/>
    <w:uiPriority w:val="22"/>
    <w:qFormat/>
    <w:rsid w:val="0089659C"/>
    <w:rPr>
      <w:b/>
      <w:bCs/>
    </w:rPr>
  </w:style>
  <w:style w:type="paragraph" w:styleId="ListParagraph">
    <w:name w:val="List Paragraph"/>
    <w:basedOn w:val="Normal"/>
    <w:uiPriority w:val="34"/>
    <w:qFormat/>
    <w:rsid w:val="005E1141"/>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972524"/>
    <w:rPr>
      <w:sz w:val="16"/>
      <w:szCs w:val="16"/>
    </w:rPr>
  </w:style>
  <w:style w:type="paragraph" w:styleId="CommentText">
    <w:name w:val="annotation text"/>
    <w:basedOn w:val="Normal"/>
    <w:link w:val="CommentTextChar"/>
    <w:uiPriority w:val="99"/>
    <w:semiHidden/>
    <w:unhideWhenUsed/>
    <w:rsid w:val="00972524"/>
    <w:pPr>
      <w:spacing w:line="240" w:lineRule="auto"/>
    </w:pPr>
    <w:rPr>
      <w:sz w:val="20"/>
      <w:szCs w:val="20"/>
    </w:rPr>
  </w:style>
  <w:style w:type="character" w:customStyle="1" w:styleId="CommentTextChar">
    <w:name w:val="Comment Text Char"/>
    <w:basedOn w:val="DefaultParagraphFont"/>
    <w:link w:val="CommentText"/>
    <w:uiPriority w:val="99"/>
    <w:semiHidden/>
    <w:rsid w:val="00972524"/>
    <w:rPr>
      <w:sz w:val="20"/>
      <w:szCs w:val="20"/>
    </w:rPr>
  </w:style>
  <w:style w:type="paragraph" w:styleId="CommentSubject">
    <w:name w:val="annotation subject"/>
    <w:basedOn w:val="CommentText"/>
    <w:next w:val="CommentText"/>
    <w:link w:val="CommentSubjectChar"/>
    <w:uiPriority w:val="99"/>
    <w:semiHidden/>
    <w:unhideWhenUsed/>
    <w:rsid w:val="00972524"/>
    <w:rPr>
      <w:b/>
      <w:bCs/>
    </w:rPr>
  </w:style>
  <w:style w:type="character" w:customStyle="1" w:styleId="CommentSubjectChar">
    <w:name w:val="Comment Subject Char"/>
    <w:basedOn w:val="CommentTextChar"/>
    <w:link w:val="CommentSubject"/>
    <w:uiPriority w:val="99"/>
    <w:semiHidden/>
    <w:rsid w:val="00972524"/>
    <w:rPr>
      <w:b/>
      <w:bCs/>
      <w:sz w:val="20"/>
      <w:szCs w:val="20"/>
    </w:rPr>
  </w:style>
  <w:style w:type="character" w:styleId="Hyperlink">
    <w:name w:val="Hyperlink"/>
    <w:basedOn w:val="DefaultParagraphFont"/>
    <w:uiPriority w:val="99"/>
    <w:unhideWhenUsed/>
    <w:rsid w:val="00882C90"/>
    <w:rPr>
      <w:color w:val="0000FF" w:themeColor="hyperlink"/>
      <w:u w:val="single"/>
    </w:rPr>
  </w:style>
  <w:style w:type="table" w:styleId="TableGrid">
    <w:name w:val="Table Grid"/>
    <w:basedOn w:val="TableNormal"/>
    <w:uiPriority w:val="59"/>
    <w:rsid w:val="00543B8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47E"/>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Default">
    <w:name w:val="Default"/>
    <w:rsid w:val="002731DA"/>
    <w:pPr>
      <w:autoSpaceDE w:val="0"/>
      <w:autoSpaceDN w:val="0"/>
      <w:adjustRightInd w:val="0"/>
    </w:pPr>
    <w:rPr>
      <w:rFonts w:ascii="Arial" w:hAnsi="Arial" w:cs="Arial"/>
      <w:color w:val="000000"/>
      <w:lang w:val="en-GB"/>
    </w:rPr>
  </w:style>
  <w:style w:type="paragraph" w:styleId="FootnoteText">
    <w:name w:val="footnote text"/>
    <w:basedOn w:val="Normal"/>
    <w:link w:val="FootnoteTextChar"/>
    <w:uiPriority w:val="99"/>
    <w:semiHidden/>
    <w:unhideWhenUsed/>
    <w:rsid w:val="00D96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B1A"/>
    <w:rPr>
      <w:sz w:val="20"/>
      <w:szCs w:val="20"/>
    </w:rPr>
  </w:style>
  <w:style w:type="character" w:styleId="FootnoteReference">
    <w:name w:val="footnote reference"/>
    <w:basedOn w:val="DefaultParagraphFont"/>
    <w:uiPriority w:val="99"/>
    <w:semiHidden/>
    <w:unhideWhenUsed/>
    <w:rsid w:val="00D96B1A"/>
    <w:rPr>
      <w:vertAlign w:val="superscript"/>
    </w:rPr>
  </w:style>
  <w:style w:type="character" w:styleId="FollowedHyperlink">
    <w:name w:val="FollowedHyperlink"/>
    <w:basedOn w:val="DefaultParagraphFont"/>
    <w:uiPriority w:val="99"/>
    <w:semiHidden/>
    <w:unhideWhenUsed/>
    <w:rsid w:val="00962EB8"/>
    <w:rPr>
      <w:color w:val="800080" w:themeColor="followedHyperlink"/>
      <w:u w:val="single"/>
    </w:rPr>
  </w:style>
  <w:style w:type="paragraph" w:styleId="BodyText">
    <w:name w:val="Body Text"/>
    <w:basedOn w:val="Normal"/>
    <w:link w:val="BodyTextChar"/>
    <w:uiPriority w:val="99"/>
    <w:semiHidden/>
    <w:unhideWhenUsed/>
    <w:rsid w:val="003454F8"/>
    <w:pPr>
      <w:spacing w:after="0" w:line="240" w:lineRule="auto"/>
    </w:pPr>
    <w:rPr>
      <w:rFonts w:ascii="Arial" w:eastAsiaTheme="minorHAnsi" w:hAnsi="Arial" w:cs="Arial"/>
      <w:lang w:val="en-GB" w:eastAsia="en-GB"/>
    </w:rPr>
  </w:style>
  <w:style w:type="character" w:customStyle="1" w:styleId="BodyTextChar">
    <w:name w:val="Body Text Char"/>
    <w:basedOn w:val="DefaultParagraphFont"/>
    <w:link w:val="BodyText"/>
    <w:uiPriority w:val="99"/>
    <w:semiHidden/>
    <w:rsid w:val="003454F8"/>
    <w:rPr>
      <w:rFonts w:ascii="Arial" w:eastAsiaTheme="minorHAnsi" w:hAnsi="Arial" w:cs="Arial"/>
      <w:sz w:val="22"/>
      <w:szCs w:val="22"/>
      <w:lang w:val="en-GB" w:eastAsia="en-GB"/>
    </w:rPr>
  </w:style>
  <w:style w:type="character" w:customStyle="1" w:styleId="aqdwsxev4hiaos0kfu5">
    <w:name w:val="aq_dwsxev4hiaos0kfu_5"/>
    <w:basedOn w:val="DefaultParagraphFont"/>
    <w:rsid w:val="005525E9"/>
  </w:style>
  <w:style w:type="paragraph" w:styleId="z-TopofForm">
    <w:name w:val="HTML Top of Form"/>
    <w:basedOn w:val="Normal"/>
    <w:next w:val="Normal"/>
    <w:link w:val="z-TopofFormChar"/>
    <w:hidden/>
    <w:uiPriority w:val="99"/>
    <w:semiHidden/>
    <w:unhideWhenUsed/>
    <w:rsid w:val="004C07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07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07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07E1"/>
    <w:rPr>
      <w:rFonts w:ascii="Arial" w:hAnsi="Arial" w:cs="Arial"/>
      <w:vanish/>
      <w:sz w:val="16"/>
      <w:szCs w:val="16"/>
    </w:rPr>
  </w:style>
  <w:style w:type="paragraph" w:styleId="PlainText">
    <w:name w:val="Plain Text"/>
    <w:basedOn w:val="Normal"/>
    <w:link w:val="PlainTextChar"/>
    <w:uiPriority w:val="99"/>
    <w:semiHidden/>
    <w:unhideWhenUsed/>
    <w:rsid w:val="00336D71"/>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semiHidden/>
    <w:rsid w:val="00336D71"/>
    <w:rPr>
      <w:rFonts w:ascii="Calibri" w:eastAsiaTheme="minorHAnsi" w:hAnsi="Calibri" w:cs="Calibri"/>
      <w:sz w:val="22"/>
      <w:szCs w:val="22"/>
      <w:lang w:val="en-GB"/>
    </w:rPr>
  </w:style>
  <w:style w:type="paragraph" w:customStyle="1" w:styleId="xmsolistparagraph">
    <w:name w:val="x_msolistparagraph"/>
    <w:basedOn w:val="Normal"/>
    <w:rsid w:val="00EA68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ghlight">
    <w:name w:val="highlight"/>
    <w:basedOn w:val="DefaultParagraphFont"/>
    <w:rsid w:val="00EA6805"/>
  </w:style>
  <w:style w:type="paragraph" w:customStyle="1" w:styleId="xmsonormal">
    <w:name w:val="x_msonormal"/>
    <w:basedOn w:val="Normal"/>
    <w:rsid w:val="0032519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268">
      <w:bodyDiv w:val="1"/>
      <w:marLeft w:val="0"/>
      <w:marRight w:val="0"/>
      <w:marTop w:val="0"/>
      <w:marBottom w:val="0"/>
      <w:divBdr>
        <w:top w:val="none" w:sz="0" w:space="0" w:color="auto"/>
        <w:left w:val="none" w:sz="0" w:space="0" w:color="auto"/>
        <w:bottom w:val="none" w:sz="0" w:space="0" w:color="auto"/>
        <w:right w:val="none" w:sz="0" w:space="0" w:color="auto"/>
      </w:divBdr>
      <w:divsChild>
        <w:div w:id="464658971">
          <w:marLeft w:val="0"/>
          <w:marRight w:val="0"/>
          <w:marTop w:val="0"/>
          <w:marBottom w:val="0"/>
          <w:divBdr>
            <w:top w:val="none" w:sz="0" w:space="0" w:color="auto"/>
            <w:left w:val="none" w:sz="0" w:space="0" w:color="auto"/>
            <w:bottom w:val="none" w:sz="0" w:space="0" w:color="auto"/>
            <w:right w:val="none" w:sz="0" w:space="0" w:color="auto"/>
          </w:divBdr>
          <w:divsChild>
            <w:div w:id="567691533">
              <w:marLeft w:val="0"/>
              <w:marRight w:val="0"/>
              <w:marTop w:val="0"/>
              <w:marBottom w:val="0"/>
              <w:divBdr>
                <w:top w:val="none" w:sz="0" w:space="0" w:color="auto"/>
                <w:left w:val="none" w:sz="0" w:space="0" w:color="auto"/>
                <w:bottom w:val="none" w:sz="0" w:space="0" w:color="auto"/>
                <w:right w:val="none" w:sz="0" w:space="0" w:color="auto"/>
              </w:divBdr>
              <w:divsChild>
                <w:div w:id="115834810">
                  <w:marLeft w:val="0"/>
                  <w:marRight w:val="0"/>
                  <w:marTop w:val="0"/>
                  <w:marBottom w:val="0"/>
                  <w:divBdr>
                    <w:top w:val="none" w:sz="0" w:space="0" w:color="auto"/>
                    <w:left w:val="none" w:sz="0" w:space="0" w:color="auto"/>
                    <w:bottom w:val="none" w:sz="0" w:space="0" w:color="auto"/>
                    <w:right w:val="none" w:sz="0" w:space="0" w:color="auto"/>
                  </w:divBdr>
                  <w:divsChild>
                    <w:div w:id="1055351415">
                      <w:marLeft w:val="0"/>
                      <w:marRight w:val="0"/>
                      <w:marTop w:val="0"/>
                      <w:marBottom w:val="0"/>
                      <w:divBdr>
                        <w:top w:val="none" w:sz="0" w:space="0" w:color="auto"/>
                        <w:left w:val="none" w:sz="0" w:space="0" w:color="auto"/>
                        <w:bottom w:val="none" w:sz="0" w:space="0" w:color="auto"/>
                        <w:right w:val="none" w:sz="0" w:space="0" w:color="auto"/>
                      </w:divBdr>
                      <w:divsChild>
                        <w:div w:id="1761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21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58295">
      <w:bodyDiv w:val="1"/>
      <w:marLeft w:val="0"/>
      <w:marRight w:val="0"/>
      <w:marTop w:val="0"/>
      <w:marBottom w:val="0"/>
      <w:divBdr>
        <w:top w:val="none" w:sz="0" w:space="0" w:color="auto"/>
        <w:left w:val="none" w:sz="0" w:space="0" w:color="auto"/>
        <w:bottom w:val="none" w:sz="0" w:space="0" w:color="auto"/>
        <w:right w:val="none" w:sz="0" w:space="0" w:color="auto"/>
      </w:divBdr>
      <w:divsChild>
        <w:div w:id="947279725">
          <w:marLeft w:val="0"/>
          <w:marRight w:val="0"/>
          <w:marTop w:val="0"/>
          <w:marBottom w:val="0"/>
          <w:divBdr>
            <w:top w:val="none" w:sz="0" w:space="0" w:color="auto"/>
            <w:left w:val="none" w:sz="0" w:space="0" w:color="auto"/>
            <w:bottom w:val="none" w:sz="0" w:space="0" w:color="auto"/>
            <w:right w:val="none" w:sz="0" w:space="0" w:color="auto"/>
          </w:divBdr>
          <w:divsChild>
            <w:div w:id="1255086910">
              <w:marLeft w:val="0"/>
              <w:marRight w:val="0"/>
              <w:marTop w:val="0"/>
              <w:marBottom w:val="0"/>
              <w:divBdr>
                <w:top w:val="none" w:sz="0" w:space="0" w:color="auto"/>
                <w:left w:val="none" w:sz="0" w:space="0" w:color="auto"/>
                <w:bottom w:val="none" w:sz="0" w:space="0" w:color="auto"/>
                <w:right w:val="none" w:sz="0" w:space="0" w:color="auto"/>
              </w:divBdr>
              <w:divsChild>
                <w:div w:id="982657222">
                  <w:marLeft w:val="0"/>
                  <w:marRight w:val="0"/>
                  <w:marTop w:val="0"/>
                  <w:marBottom w:val="0"/>
                  <w:divBdr>
                    <w:top w:val="none" w:sz="0" w:space="0" w:color="auto"/>
                    <w:left w:val="none" w:sz="0" w:space="0" w:color="auto"/>
                    <w:bottom w:val="none" w:sz="0" w:space="0" w:color="auto"/>
                    <w:right w:val="none" w:sz="0" w:space="0" w:color="auto"/>
                  </w:divBdr>
                  <w:divsChild>
                    <w:div w:id="1323969984">
                      <w:marLeft w:val="0"/>
                      <w:marRight w:val="0"/>
                      <w:marTop w:val="0"/>
                      <w:marBottom w:val="0"/>
                      <w:divBdr>
                        <w:top w:val="none" w:sz="0" w:space="0" w:color="auto"/>
                        <w:left w:val="none" w:sz="0" w:space="0" w:color="auto"/>
                        <w:bottom w:val="none" w:sz="0" w:space="0" w:color="auto"/>
                        <w:right w:val="none" w:sz="0" w:space="0" w:color="auto"/>
                      </w:divBdr>
                      <w:divsChild>
                        <w:div w:id="1118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4472">
      <w:bodyDiv w:val="1"/>
      <w:marLeft w:val="0"/>
      <w:marRight w:val="0"/>
      <w:marTop w:val="0"/>
      <w:marBottom w:val="0"/>
      <w:divBdr>
        <w:top w:val="none" w:sz="0" w:space="0" w:color="auto"/>
        <w:left w:val="none" w:sz="0" w:space="0" w:color="auto"/>
        <w:bottom w:val="none" w:sz="0" w:space="0" w:color="auto"/>
        <w:right w:val="none" w:sz="0" w:space="0" w:color="auto"/>
      </w:divBdr>
    </w:div>
    <w:div w:id="102724108">
      <w:bodyDiv w:val="1"/>
      <w:marLeft w:val="0"/>
      <w:marRight w:val="0"/>
      <w:marTop w:val="0"/>
      <w:marBottom w:val="0"/>
      <w:divBdr>
        <w:top w:val="none" w:sz="0" w:space="0" w:color="auto"/>
        <w:left w:val="none" w:sz="0" w:space="0" w:color="auto"/>
        <w:bottom w:val="none" w:sz="0" w:space="0" w:color="auto"/>
        <w:right w:val="none" w:sz="0" w:space="0" w:color="auto"/>
      </w:divBdr>
      <w:divsChild>
        <w:div w:id="845900748">
          <w:marLeft w:val="0"/>
          <w:marRight w:val="0"/>
          <w:marTop w:val="0"/>
          <w:marBottom w:val="0"/>
          <w:divBdr>
            <w:top w:val="none" w:sz="0" w:space="0" w:color="auto"/>
            <w:left w:val="none" w:sz="0" w:space="0" w:color="auto"/>
            <w:bottom w:val="none" w:sz="0" w:space="0" w:color="auto"/>
            <w:right w:val="none" w:sz="0" w:space="0" w:color="auto"/>
          </w:divBdr>
          <w:divsChild>
            <w:div w:id="1980453461">
              <w:marLeft w:val="0"/>
              <w:marRight w:val="0"/>
              <w:marTop w:val="0"/>
              <w:marBottom w:val="0"/>
              <w:divBdr>
                <w:top w:val="none" w:sz="0" w:space="0" w:color="auto"/>
                <w:left w:val="none" w:sz="0" w:space="0" w:color="auto"/>
                <w:bottom w:val="none" w:sz="0" w:space="0" w:color="auto"/>
                <w:right w:val="none" w:sz="0" w:space="0" w:color="auto"/>
              </w:divBdr>
              <w:divsChild>
                <w:div w:id="1316832984">
                  <w:marLeft w:val="0"/>
                  <w:marRight w:val="0"/>
                  <w:marTop w:val="0"/>
                  <w:marBottom w:val="0"/>
                  <w:divBdr>
                    <w:top w:val="none" w:sz="0" w:space="0" w:color="auto"/>
                    <w:left w:val="none" w:sz="0" w:space="0" w:color="auto"/>
                    <w:bottom w:val="none" w:sz="0" w:space="0" w:color="auto"/>
                    <w:right w:val="none" w:sz="0" w:space="0" w:color="auto"/>
                  </w:divBdr>
                  <w:divsChild>
                    <w:div w:id="1196966318">
                      <w:marLeft w:val="0"/>
                      <w:marRight w:val="0"/>
                      <w:marTop w:val="0"/>
                      <w:marBottom w:val="0"/>
                      <w:divBdr>
                        <w:top w:val="none" w:sz="0" w:space="0" w:color="auto"/>
                        <w:left w:val="none" w:sz="0" w:space="0" w:color="auto"/>
                        <w:bottom w:val="none" w:sz="0" w:space="0" w:color="auto"/>
                        <w:right w:val="none" w:sz="0" w:space="0" w:color="auto"/>
                      </w:divBdr>
                      <w:divsChild>
                        <w:div w:id="1990787327">
                          <w:marLeft w:val="0"/>
                          <w:marRight w:val="0"/>
                          <w:marTop w:val="0"/>
                          <w:marBottom w:val="0"/>
                          <w:divBdr>
                            <w:top w:val="none" w:sz="0" w:space="0" w:color="auto"/>
                            <w:left w:val="none" w:sz="0" w:space="0" w:color="auto"/>
                            <w:bottom w:val="none" w:sz="0" w:space="0" w:color="auto"/>
                            <w:right w:val="none" w:sz="0" w:space="0" w:color="auto"/>
                          </w:divBdr>
                          <w:divsChild>
                            <w:div w:id="1723675328">
                              <w:marLeft w:val="0"/>
                              <w:marRight w:val="0"/>
                              <w:marTop w:val="0"/>
                              <w:marBottom w:val="0"/>
                              <w:divBdr>
                                <w:top w:val="none" w:sz="0" w:space="0" w:color="auto"/>
                                <w:left w:val="none" w:sz="0" w:space="0" w:color="auto"/>
                                <w:bottom w:val="none" w:sz="0" w:space="0" w:color="auto"/>
                                <w:right w:val="none" w:sz="0" w:space="0" w:color="auto"/>
                              </w:divBdr>
                              <w:divsChild>
                                <w:div w:id="1401054731">
                                  <w:marLeft w:val="0"/>
                                  <w:marRight w:val="0"/>
                                  <w:marTop w:val="15"/>
                                  <w:marBottom w:val="15"/>
                                  <w:divBdr>
                                    <w:top w:val="none" w:sz="0" w:space="0" w:color="auto"/>
                                    <w:left w:val="none" w:sz="0" w:space="0" w:color="auto"/>
                                    <w:bottom w:val="none" w:sz="0" w:space="0" w:color="auto"/>
                                    <w:right w:val="none" w:sz="0" w:space="0" w:color="auto"/>
                                  </w:divBdr>
                                  <w:divsChild>
                                    <w:div w:id="1517033649">
                                      <w:marLeft w:val="0"/>
                                      <w:marRight w:val="0"/>
                                      <w:marTop w:val="0"/>
                                      <w:marBottom w:val="0"/>
                                      <w:divBdr>
                                        <w:top w:val="none" w:sz="0" w:space="0" w:color="auto"/>
                                        <w:left w:val="none" w:sz="0" w:space="0" w:color="auto"/>
                                        <w:bottom w:val="none" w:sz="0" w:space="0" w:color="auto"/>
                                        <w:right w:val="none" w:sz="0" w:space="0" w:color="auto"/>
                                      </w:divBdr>
                                      <w:divsChild>
                                        <w:div w:id="76949759">
                                          <w:marLeft w:val="0"/>
                                          <w:marRight w:val="0"/>
                                          <w:marTop w:val="0"/>
                                          <w:marBottom w:val="0"/>
                                          <w:divBdr>
                                            <w:top w:val="none" w:sz="0" w:space="0" w:color="auto"/>
                                            <w:left w:val="none" w:sz="0" w:space="0" w:color="auto"/>
                                            <w:bottom w:val="none" w:sz="0" w:space="0" w:color="auto"/>
                                            <w:right w:val="none" w:sz="0" w:space="0" w:color="auto"/>
                                          </w:divBdr>
                                          <w:divsChild>
                                            <w:div w:id="1827085457">
                                              <w:marLeft w:val="0"/>
                                              <w:marRight w:val="0"/>
                                              <w:marTop w:val="0"/>
                                              <w:marBottom w:val="0"/>
                                              <w:divBdr>
                                                <w:top w:val="none" w:sz="0" w:space="0" w:color="auto"/>
                                                <w:left w:val="none" w:sz="0" w:space="0" w:color="auto"/>
                                                <w:bottom w:val="none" w:sz="0" w:space="0" w:color="auto"/>
                                                <w:right w:val="none" w:sz="0" w:space="0" w:color="auto"/>
                                              </w:divBdr>
                                              <w:divsChild>
                                                <w:div w:id="732388991">
                                                  <w:marLeft w:val="0"/>
                                                  <w:marRight w:val="0"/>
                                                  <w:marTop w:val="0"/>
                                                  <w:marBottom w:val="0"/>
                                                  <w:divBdr>
                                                    <w:top w:val="none" w:sz="0" w:space="0" w:color="auto"/>
                                                    <w:left w:val="none" w:sz="0" w:space="0" w:color="auto"/>
                                                    <w:bottom w:val="none" w:sz="0" w:space="0" w:color="auto"/>
                                                    <w:right w:val="none" w:sz="0" w:space="0" w:color="auto"/>
                                                  </w:divBdr>
                                                  <w:divsChild>
                                                    <w:div w:id="58674039">
                                                      <w:marLeft w:val="0"/>
                                                      <w:marRight w:val="0"/>
                                                      <w:marTop w:val="0"/>
                                                      <w:marBottom w:val="0"/>
                                                      <w:divBdr>
                                                        <w:top w:val="none" w:sz="0" w:space="0" w:color="auto"/>
                                                        <w:left w:val="none" w:sz="0" w:space="0" w:color="auto"/>
                                                        <w:bottom w:val="none" w:sz="0" w:space="0" w:color="auto"/>
                                                        <w:right w:val="none" w:sz="0" w:space="0" w:color="auto"/>
                                                      </w:divBdr>
                                                    </w:div>
                                                    <w:div w:id="1125192308">
                                                      <w:marLeft w:val="0"/>
                                                      <w:marRight w:val="0"/>
                                                      <w:marTop w:val="0"/>
                                                      <w:marBottom w:val="0"/>
                                                      <w:divBdr>
                                                        <w:top w:val="none" w:sz="0" w:space="0" w:color="auto"/>
                                                        <w:left w:val="none" w:sz="0" w:space="0" w:color="auto"/>
                                                        <w:bottom w:val="none" w:sz="0" w:space="0" w:color="auto"/>
                                                        <w:right w:val="none" w:sz="0" w:space="0" w:color="auto"/>
                                                      </w:divBdr>
                                                      <w:divsChild>
                                                        <w:div w:id="1966152604">
                                                          <w:marLeft w:val="0"/>
                                                          <w:marRight w:val="0"/>
                                                          <w:marTop w:val="0"/>
                                                          <w:marBottom w:val="0"/>
                                                          <w:divBdr>
                                                            <w:top w:val="none" w:sz="0" w:space="0" w:color="auto"/>
                                                            <w:left w:val="none" w:sz="0" w:space="0" w:color="auto"/>
                                                            <w:bottom w:val="none" w:sz="0" w:space="0" w:color="auto"/>
                                                            <w:right w:val="none" w:sz="0" w:space="0" w:color="auto"/>
                                                          </w:divBdr>
                                                          <w:divsChild>
                                                            <w:div w:id="262997529">
                                                              <w:marLeft w:val="0"/>
                                                              <w:marRight w:val="0"/>
                                                              <w:marTop w:val="0"/>
                                                              <w:marBottom w:val="0"/>
                                                              <w:divBdr>
                                                                <w:top w:val="none" w:sz="0" w:space="0" w:color="auto"/>
                                                                <w:left w:val="none" w:sz="0" w:space="0" w:color="auto"/>
                                                                <w:bottom w:val="none" w:sz="0" w:space="0" w:color="auto"/>
                                                                <w:right w:val="none" w:sz="0" w:space="0" w:color="auto"/>
                                                              </w:divBdr>
                                                              <w:divsChild>
                                                                <w:div w:id="16626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88197">
      <w:bodyDiv w:val="1"/>
      <w:marLeft w:val="0"/>
      <w:marRight w:val="0"/>
      <w:marTop w:val="0"/>
      <w:marBottom w:val="0"/>
      <w:divBdr>
        <w:top w:val="none" w:sz="0" w:space="0" w:color="auto"/>
        <w:left w:val="none" w:sz="0" w:space="0" w:color="auto"/>
        <w:bottom w:val="none" w:sz="0" w:space="0" w:color="auto"/>
        <w:right w:val="none" w:sz="0" w:space="0" w:color="auto"/>
      </w:divBdr>
    </w:div>
    <w:div w:id="163596950">
      <w:bodyDiv w:val="1"/>
      <w:marLeft w:val="0"/>
      <w:marRight w:val="0"/>
      <w:marTop w:val="0"/>
      <w:marBottom w:val="0"/>
      <w:divBdr>
        <w:top w:val="none" w:sz="0" w:space="0" w:color="auto"/>
        <w:left w:val="none" w:sz="0" w:space="0" w:color="auto"/>
        <w:bottom w:val="none" w:sz="0" w:space="0" w:color="auto"/>
        <w:right w:val="none" w:sz="0" w:space="0" w:color="auto"/>
      </w:divBdr>
    </w:div>
    <w:div w:id="212280189">
      <w:bodyDiv w:val="1"/>
      <w:marLeft w:val="0"/>
      <w:marRight w:val="0"/>
      <w:marTop w:val="0"/>
      <w:marBottom w:val="0"/>
      <w:divBdr>
        <w:top w:val="none" w:sz="0" w:space="0" w:color="auto"/>
        <w:left w:val="none" w:sz="0" w:space="0" w:color="auto"/>
        <w:bottom w:val="none" w:sz="0" w:space="0" w:color="auto"/>
        <w:right w:val="none" w:sz="0" w:space="0" w:color="auto"/>
      </w:divBdr>
      <w:divsChild>
        <w:div w:id="1304506091">
          <w:marLeft w:val="0"/>
          <w:marRight w:val="0"/>
          <w:marTop w:val="0"/>
          <w:marBottom w:val="0"/>
          <w:divBdr>
            <w:top w:val="none" w:sz="0" w:space="0" w:color="auto"/>
            <w:left w:val="none" w:sz="0" w:space="0" w:color="auto"/>
            <w:bottom w:val="none" w:sz="0" w:space="0" w:color="auto"/>
            <w:right w:val="none" w:sz="0" w:space="0" w:color="auto"/>
          </w:divBdr>
          <w:divsChild>
            <w:div w:id="1587417234">
              <w:marLeft w:val="0"/>
              <w:marRight w:val="0"/>
              <w:marTop w:val="0"/>
              <w:marBottom w:val="0"/>
              <w:divBdr>
                <w:top w:val="none" w:sz="0" w:space="0" w:color="auto"/>
                <w:left w:val="none" w:sz="0" w:space="0" w:color="auto"/>
                <w:bottom w:val="none" w:sz="0" w:space="0" w:color="auto"/>
                <w:right w:val="none" w:sz="0" w:space="0" w:color="auto"/>
              </w:divBdr>
              <w:divsChild>
                <w:div w:id="15108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5644">
      <w:bodyDiv w:val="1"/>
      <w:marLeft w:val="0"/>
      <w:marRight w:val="0"/>
      <w:marTop w:val="0"/>
      <w:marBottom w:val="0"/>
      <w:divBdr>
        <w:top w:val="none" w:sz="0" w:space="0" w:color="auto"/>
        <w:left w:val="none" w:sz="0" w:space="0" w:color="auto"/>
        <w:bottom w:val="none" w:sz="0" w:space="0" w:color="auto"/>
        <w:right w:val="none" w:sz="0" w:space="0" w:color="auto"/>
      </w:divBdr>
    </w:div>
    <w:div w:id="260840209">
      <w:bodyDiv w:val="1"/>
      <w:marLeft w:val="0"/>
      <w:marRight w:val="0"/>
      <w:marTop w:val="0"/>
      <w:marBottom w:val="0"/>
      <w:divBdr>
        <w:top w:val="none" w:sz="0" w:space="0" w:color="auto"/>
        <w:left w:val="none" w:sz="0" w:space="0" w:color="auto"/>
        <w:bottom w:val="none" w:sz="0" w:space="0" w:color="auto"/>
        <w:right w:val="none" w:sz="0" w:space="0" w:color="auto"/>
      </w:divBdr>
    </w:div>
    <w:div w:id="379791488">
      <w:bodyDiv w:val="1"/>
      <w:marLeft w:val="0"/>
      <w:marRight w:val="0"/>
      <w:marTop w:val="0"/>
      <w:marBottom w:val="0"/>
      <w:divBdr>
        <w:top w:val="none" w:sz="0" w:space="0" w:color="auto"/>
        <w:left w:val="none" w:sz="0" w:space="0" w:color="auto"/>
        <w:bottom w:val="none" w:sz="0" w:space="0" w:color="auto"/>
        <w:right w:val="none" w:sz="0" w:space="0" w:color="auto"/>
      </w:divBdr>
      <w:divsChild>
        <w:div w:id="1985041474">
          <w:marLeft w:val="0"/>
          <w:marRight w:val="0"/>
          <w:marTop w:val="0"/>
          <w:marBottom w:val="0"/>
          <w:divBdr>
            <w:top w:val="none" w:sz="0" w:space="0" w:color="auto"/>
            <w:left w:val="none" w:sz="0" w:space="0" w:color="auto"/>
            <w:bottom w:val="none" w:sz="0" w:space="0" w:color="auto"/>
            <w:right w:val="none" w:sz="0" w:space="0" w:color="auto"/>
          </w:divBdr>
          <w:divsChild>
            <w:div w:id="710232382">
              <w:marLeft w:val="0"/>
              <w:marRight w:val="0"/>
              <w:marTop w:val="0"/>
              <w:marBottom w:val="0"/>
              <w:divBdr>
                <w:top w:val="none" w:sz="0" w:space="0" w:color="auto"/>
                <w:left w:val="none" w:sz="0" w:space="0" w:color="auto"/>
                <w:bottom w:val="none" w:sz="0" w:space="0" w:color="auto"/>
                <w:right w:val="none" w:sz="0" w:space="0" w:color="auto"/>
              </w:divBdr>
              <w:divsChild>
                <w:div w:id="1208957226">
                  <w:marLeft w:val="0"/>
                  <w:marRight w:val="0"/>
                  <w:marTop w:val="0"/>
                  <w:marBottom w:val="0"/>
                  <w:divBdr>
                    <w:top w:val="none" w:sz="0" w:space="0" w:color="auto"/>
                    <w:left w:val="none" w:sz="0" w:space="0" w:color="auto"/>
                    <w:bottom w:val="none" w:sz="0" w:space="0" w:color="auto"/>
                    <w:right w:val="none" w:sz="0" w:space="0" w:color="auto"/>
                  </w:divBdr>
                  <w:divsChild>
                    <w:div w:id="2091266697">
                      <w:marLeft w:val="0"/>
                      <w:marRight w:val="0"/>
                      <w:marTop w:val="0"/>
                      <w:marBottom w:val="0"/>
                      <w:divBdr>
                        <w:top w:val="none" w:sz="0" w:space="0" w:color="auto"/>
                        <w:left w:val="none" w:sz="0" w:space="0" w:color="auto"/>
                        <w:bottom w:val="none" w:sz="0" w:space="0" w:color="auto"/>
                        <w:right w:val="none" w:sz="0" w:space="0" w:color="auto"/>
                      </w:divBdr>
                      <w:divsChild>
                        <w:div w:id="20086636">
                          <w:marLeft w:val="0"/>
                          <w:marRight w:val="0"/>
                          <w:marTop w:val="0"/>
                          <w:marBottom w:val="0"/>
                          <w:divBdr>
                            <w:top w:val="none" w:sz="0" w:space="0" w:color="auto"/>
                            <w:left w:val="none" w:sz="0" w:space="0" w:color="auto"/>
                            <w:bottom w:val="none" w:sz="0" w:space="0" w:color="auto"/>
                            <w:right w:val="none" w:sz="0" w:space="0" w:color="auto"/>
                          </w:divBdr>
                          <w:divsChild>
                            <w:div w:id="2053068816">
                              <w:marLeft w:val="0"/>
                              <w:marRight w:val="0"/>
                              <w:marTop w:val="0"/>
                              <w:marBottom w:val="0"/>
                              <w:divBdr>
                                <w:top w:val="none" w:sz="0" w:space="0" w:color="auto"/>
                                <w:left w:val="none" w:sz="0" w:space="0" w:color="auto"/>
                                <w:bottom w:val="none" w:sz="0" w:space="0" w:color="auto"/>
                                <w:right w:val="none" w:sz="0" w:space="0" w:color="auto"/>
                              </w:divBdr>
                              <w:divsChild>
                                <w:div w:id="566382541">
                                  <w:marLeft w:val="0"/>
                                  <w:marRight w:val="0"/>
                                  <w:marTop w:val="0"/>
                                  <w:marBottom w:val="0"/>
                                  <w:divBdr>
                                    <w:top w:val="none" w:sz="0" w:space="0" w:color="auto"/>
                                    <w:left w:val="none" w:sz="0" w:space="0" w:color="auto"/>
                                    <w:bottom w:val="none" w:sz="0" w:space="0" w:color="auto"/>
                                    <w:right w:val="none" w:sz="0" w:space="0" w:color="auto"/>
                                  </w:divBdr>
                                  <w:divsChild>
                                    <w:div w:id="178662647">
                                      <w:marLeft w:val="0"/>
                                      <w:marRight w:val="0"/>
                                      <w:marTop w:val="0"/>
                                      <w:marBottom w:val="0"/>
                                      <w:divBdr>
                                        <w:top w:val="none" w:sz="0" w:space="0" w:color="auto"/>
                                        <w:left w:val="none" w:sz="0" w:space="0" w:color="auto"/>
                                        <w:bottom w:val="none" w:sz="0" w:space="0" w:color="auto"/>
                                        <w:right w:val="none" w:sz="0" w:space="0" w:color="auto"/>
                                      </w:divBdr>
                                      <w:divsChild>
                                        <w:div w:id="1090741202">
                                          <w:marLeft w:val="0"/>
                                          <w:marRight w:val="0"/>
                                          <w:marTop w:val="0"/>
                                          <w:marBottom w:val="0"/>
                                          <w:divBdr>
                                            <w:top w:val="none" w:sz="0" w:space="0" w:color="auto"/>
                                            <w:left w:val="none" w:sz="0" w:space="0" w:color="auto"/>
                                            <w:bottom w:val="none" w:sz="0" w:space="0" w:color="auto"/>
                                            <w:right w:val="none" w:sz="0" w:space="0" w:color="auto"/>
                                          </w:divBdr>
                                          <w:divsChild>
                                            <w:div w:id="1039892287">
                                              <w:marLeft w:val="0"/>
                                              <w:marRight w:val="0"/>
                                              <w:marTop w:val="0"/>
                                              <w:marBottom w:val="0"/>
                                              <w:divBdr>
                                                <w:top w:val="none" w:sz="0" w:space="0" w:color="auto"/>
                                                <w:left w:val="none" w:sz="0" w:space="0" w:color="auto"/>
                                                <w:bottom w:val="none" w:sz="0" w:space="0" w:color="auto"/>
                                                <w:right w:val="none" w:sz="0" w:space="0" w:color="auto"/>
                                              </w:divBdr>
                                              <w:divsChild>
                                                <w:div w:id="555972351">
                                                  <w:marLeft w:val="0"/>
                                                  <w:marRight w:val="0"/>
                                                  <w:marTop w:val="0"/>
                                                  <w:marBottom w:val="0"/>
                                                  <w:divBdr>
                                                    <w:top w:val="none" w:sz="0" w:space="0" w:color="auto"/>
                                                    <w:left w:val="none" w:sz="0" w:space="0" w:color="auto"/>
                                                    <w:bottom w:val="none" w:sz="0" w:space="0" w:color="auto"/>
                                                    <w:right w:val="none" w:sz="0" w:space="0" w:color="auto"/>
                                                  </w:divBdr>
                                                  <w:divsChild>
                                                    <w:div w:id="6464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41">
      <w:bodyDiv w:val="1"/>
      <w:marLeft w:val="0"/>
      <w:marRight w:val="0"/>
      <w:marTop w:val="0"/>
      <w:marBottom w:val="0"/>
      <w:divBdr>
        <w:top w:val="none" w:sz="0" w:space="0" w:color="auto"/>
        <w:left w:val="none" w:sz="0" w:space="0" w:color="auto"/>
        <w:bottom w:val="none" w:sz="0" w:space="0" w:color="auto"/>
        <w:right w:val="none" w:sz="0" w:space="0" w:color="auto"/>
      </w:divBdr>
    </w:div>
    <w:div w:id="404454404">
      <w:bodyDiv w:val="1"/>
      <w:marLeft w:val="0"/>
      <w:marRight w:val="0"/>
      <w:marTop w:val="0"/>
      <w:marBottom w:val="0"/>
      <w:divBdr>
        <w:top w:val="none" w:sz="0" w:space="0" w:color="auto"/>
        <w:left w:val="none" w:sz="0" w:space="0" w:color="auto"/>
        <w:bottom w:val="none" w:sz="0" w:space="0" w:color="auto"/>
        <w:right w:val="none" w:sz="0" w:space="0" w:color="auto"/>
      </w:divBdr>
    </w:div>
    <w:div w:id="455832812">
      <w:bodyDiv w:val="1"/>
      <w:marLeft w:val="0"/>
      <w:marRight w:val="0"/>
      <w:marTop w:val="0"/>
      <w:marBottom w:val="0"/>
      <w:divBdr>
        <w:top w:val="none" w:sz="0" w:space="0" w:color="auto"/>
        <w:left w:val="none" w:sz="0" w:space="0" w:color="auto"/>
        <w:bottom w:val="none" w:sz="0" w:space="0" w:color="auto"/>
        <w:right w:val="none" w:sz="0" w:space="0" w:color="auto"/>
      </w:divBdr>
    </w:div>
    <w:div w:id="496113898">
      <w:bodyDiv w:val="1"/>
      <w:marLeft w:val="0"/>
      <w:marRight w:val="0"/>
      <w:marTop w:val="0"/>
      <w:marBottom w:val="0"/>
      <w:divBdr>
        <w:top w:val="none" w:sz="0" w:space="0" w:color="auto"/>
        <w:left w:val="none" w:sz="0" w:space="0" w:color="auto"/>
        <w:bottom w:val="none" w:sz="0" w:space="0" w:color="auto"/>
        <w:right w:val="none" w:sz="0" w:space="0" w:color="auto"/>
      </w:divBdr>
      <w:divsChild>
        <w:div w:id="115025771">
          <w:marLeft w:val="720"/>
          <w:marRight w:val="0"/>
          <w:marTop w:val="240"/>
          <w:marBottom w:val="0"/>
          <w:divBdr>
            <w:top w:val="none" w:sz="0" w:space="0" w:color="auto"/>
            <w:left w:val="none" w:sz="0" w:space="0" w:color="auto"/>
            <w:bottom w:val="none" w:sz="0" w:space="0" w:color="auto"/>
            <w:right w:val="none" w:sz="0" w:space="0" w:color="auto"/>
          </w:divBdr>
        </w:div>
        <w:div w:id="229074538">
          <w:marLeft w:val="720"/>
          <w:marRight w:val="0"/>
          <w:marTop w:val="240"/>
          <w:marBottom w:val="0"/>
          <w:divBdr>
            <w:top w:val="none" w:sz="0" w:space="0" w:color="auto"/>
            <w:left w:val="none" w:sz="0" w:space="0" w:color="auto"/>
            <w:bottom w:val="none" w:sz="0" w:space="0" w:color="auto"/>
            <w:right w:val="none" w:sz="0" w:space="0" w:color="auto"/>
          </w:divBdr>
        </w:div>
        <w:div w:id="499199079">
          <w:marLeft w:val="720"/>
          <w:marRight w:val="0"/>
          <w:marTop w:val="240"/>
          <w:marBottom w:val="0"/>
          <w:divBdr>
            <w:top w:val="none" w:sz="0" w:space="0" w:color="auto"/>
            <w:left w:val="none" w:sz="0" w:space="0" w:color="auto"/>
            <w:bottom w:val="none" w:sz="0" w:space="0" w:color="auto"/>
            <w:right w:val="none" w:sz="0" w:space="0" w:color="auto"/>
          </w:divBdr>
        </w:div>
        <w:div w:id="1027874265">
          <w:marLeft w:val="720"/>
          <w:marRight w:val="0"/>
          <w:marTop w:val="240"/>
          <w:marBottom w:val="0"/>
          <w:divBdr>
            <w:top w:val="none" w:sz="0" w:space="0" w:color="auto"/>
            <w:left w:val="none" w:sz="0" w:space="0" w:color="auto"/>
            <w:bottom w:val="none" w:sz="0" w:space="0" w:color="auto"/>
            <w:right w:val="none" w:sz="0" w:space="0" w:color="auto"/>
          </w:divBdr>
        </w:div>
        <w:div w:id="1412311951">
          <w:marLeft w:val="720"/>
          <w:marRight w:val="0"/>
          <w:marTop w:val="240"/>
          <w:marBottom w:val="0"/>
          <w:divBdr>
            <w:top w:val="none" w:sz="0" w:space="0" w:color="auto"/>
            <w:left w:val="none" w:sz="0" w:space="0" w:color="auto"/>
            <w:bottom w:val="none" w:sz="0" w:space="0" w:color="auto"/>
            <w:right w:val="none" w:sz="0" w:space="0" w:color="auto"/>
          </w:divBdr>
        </w:div>
      </w:divsChild>
    </w:div>
    <w:div w:id="618487809">
      <w:bodyDiv w:val="1"/>
      <w:marLeft w:val="0"/>
      <w:marRight w:val="0"/>
      <w:marTop w:val="0"/>
      <w:marBottom w:val="0"/>
      <w:divBdr>
        <w:top w:val="none" w:sz="0" w:space="0" w:color="auto"/>
        <w:left w:val="none" w:sz="0" w:space="0" w:color="auto"/>
        <w:bottom w:val="none" w:sz="0" w:space="0" w:color="auto"/>
        <w:right w:val="none" w:sz="0" w:space="0" w:color="auto"/>
      </w:divBdr>
    </w:div>
    <w:div w:id="946353453">
      <w:bodyDiv w:val="1"/>
      <w:marLeft w:val="0"/>
      <w:marRight w:val="0"/>
      <w:marTop w:val="0"/>
      <w:marBottom w:val="0"/>
      <w:divBdr>
        <w:top w:val="none" w:sz="0" w:space="0" w:color="auto"/>
        <w:left w:val="none" w:sz="0" w:space="0" w:color="auto"/>
        <w:bottom w:val="none" w:sz="0" w:space="0" w:color="auto"/>
        <w:right w:val="none" w:sz="0" w:space="0" w:color="auto"/>
      </w:divBdr>
      <w:divsChild>
        <w:div w:id="570964697">
          <w:marLeft w:val="0"/>
          <w:marRight w:val="0"/>
          <w:marTop w:val="0"/>
          <w:marBottom w:val="0"/>
          <w:divBdr>
            <w:top w:val="none" w:sz="0" w:space="0" w:color="auto"/>
            <w:left w:val="none" w:sz="0" w:space="0" w:color="auto"/>
            <w:bottom w:val="none" w:sz="0" w:space="0" w:color="auto"/>
            <w:right w:val="none" w:sz="0" w:space="0" w:color="auto"/>
          </w:divBdr>
          <w:divsChild>
            <w:div w:id="785462900">
              <w:marLeft w:val="0"/>
              <w:marRight w:val="0"/>
              <w:marTop w:val="0"/>
              <w:marBottom w:val="0"/>
              <w:divBdr>
                <w:top w:val="none" w:sz="0" w:space="0" w:color="auto"/>
                <w:left w:val="none" w:sz="0" w:space="0" w:color="auto"/>
                <w:bottom w:val="none" w:sz="0" w:space="0" w:color="auto"/>
                <w:right w:val="none" w:sz="0" w:space="0" w:color="auto"/>
              </w:divBdr>
              <w:divsChild>
                <w:div w:id="544098554">
                  <w:marLeft w:val="0"/>
                  <w:marRight w:val="0"/>
                  <w:marTop w:val="0"/>
                  <w:marBottom w:val="0"/>
                  <w:divBdr>
                    <w:top w:val="none" w:sz="0" w:space="0" w:color="auto"/>
                    <w:left w:val="none" w:sz="0" w:space="0" w:color="auto"/>
                    <w:bottom w:val="none" w:sz="0" w:space="0" w:color="auto"/>
                    <w:right w:val="none" w:sz="0" w:space="0" w:color="auto"/>
                  </w:divBdr>
                  <w:divsChild>
                    <w:div w:id="753015470">
                      <w:marLeft w:val="0"/>
                      <w:marRight w:val="0"/>
                      <w:marTop w:val="0"/>
                      <w:marBottom w:val="0"/>
                      <w:divBdr>
                        <w:top w:val="none" w:sz="0" w:space="0" w:color="auto"/>
                        <w:left w:val="none" w:sz="0" w:space="0" w:color="auto"/>
                        <w:bottom w:val="none" w:sz="0" w:space="0" w:color="auto"/>
                        <w:right w:val="none" w:sz="0" w:space="0" w:color="auto"/>
                      </w:divBdr>
                      <w:divsChild>
                        <w:div w:id="20209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6533">
      <w:bodyDiv w:val="1"/>
      <w:marLeft w:val="0"/>
      <w:marRight w:val="0"/>
      <w:marTop w:val="0"/>
      <w:marBottom w:val="0"/>
      <w:divBdr>
        <w:top w:val="none" w:sz="0" w:space="0" w:color="auto"/>
        <w:left w:val="none" w:sz="0" w:space="0" w:color="auto"/>
        <w:bottom w:val="none" w:sz="0" w:space="0" w:color="auto"/>
        <w:right w:val="none" w:sz="0" w:space="0" w:color="auto"/>
      </w:divBdr>
    </w:div>
    <w:div w:id="1016345289">
      <w:bodyDiv w:val="1"/>
      <w:marLeft w:val="0"/>
      <w:marRight w:val="0"/>
      <w:marTop w:val="0"/>
      <w:marBottom w:val="0"/>
      <w:divBdr>
        <w:top w:val="none" w:sz="0" w:space="0" w:color="auto"/>
        <w:left w:val="none" w:sz="0" w:space="0" w:color="auto"/>
        <w:bottom w:val="none" w:sz="0" w:space="0" w:color="auto"/>
        <w:right w:val="none" w:sz="0" w:space="0" w:color="auto"/>
      </w:divBdr>
    </w:div>
    <w:div w:id="1025911043">
      <w:bodyDiv w:val="1"/>
      <w:marLeft w:val="0"/>
      <w:marRight w:val="0"/>
      <w:marTop w:val="0"/>
      <w:marBottom w:val="0"/>
      <w:divBdr>
        <w:top w:val="none" w:sz="0" w:space="0" w:color="auto"/>
        <w:left w:val="none" w:sz="0" w:space="0" w:color="auto"/>
        <w:bottom w:val="none" w:sz="0" w:space="0" w:color="auto"/>
        <w:right w:val="none" w:sz="0" w:space="0" w:color="auto"/>
      </w:divBdr>
    </w:div>
    <w:div w:id="1029143801">
      <w:bodyDiv w:val="1"/>
      <w:marLeft w:val="0"/>
      <w:marRight w:val="0"/>
      <w:marTop w:val="0"/>
      <w:marBottom w:val="0"/>
      <w:divBdr>
        <w:top w:val="none" w:sz="0" w:space="0" w:color="auto"/>
        <w:left w:val="none" w:sz="0" w:space="0" w:color="auto"/>
        <w:bottom w:val="none" w:sz="0" w:space="0" w:color="auto"/>
        <w:right w:val="none" w:sz="0" w:space="0" w:color="auto"/>
      </w:divBdr>
      <w:divsChild>
        <w:div w:id="1896316068">
          <w:marLeft w:val="0"/>
          <w:marRight w:val="0"/>
          <w:marTop w:val="0"/>
          <w:marBottom w:val="0"/>
          <w:divBdr>
            <w:top w:val="none" w:sz="0" w:space="0" w:color="auto"/>
            <w:left w:val="none" w:sz="0" w:space="0" w:color="auto"/>
            <w:bottom w:val="none" w:sz="0" w:space="0" w:color="auto"/>
            <w:right w:val="none" w:sz="0" w:space="0" w:color="auto"/>
          </w:divBdr>
          <w:divsChild>
            <w:div w:id="1646621890">
              <w:marLeft w:val="0"/>
              <w:marRight w:val="0"/>
              <w:marTop w:val="0"/>
              <w:marBottom w:val="0"/>
              <w:divBdr>
                <w:top w:val="none" w:sz="0" w:space="0" w:color="auto"/>
                <w:left w:val="none" w:sz="0" w:space="0" w:color="auto"/>
                <w:bottom w:val="none" w:sz="0" w:space="0" w:color="auto"/>
                <w:right w:val="none" w:sz="0" w:space="0" w:color="auto"/>
              </w:divBdr>
              <w:divsChild>
                <w:div w:id="1051033354">
                  <w:marLeft w:val="0"/>
                  <w:marRight w:val="0"/>
                  <w:marTop w:val="0"/>
                  <w:marBottom w:val="0"/>
                  <w:divBdr>
                    <w:top w:val="none" w:sz="0" w:space="0" w:color="auto"/>
                    <w:left w:val="none" w:sz="0" w:space="0" w:color="auto"/>
                    <w:bottom w:val="none" w:sz="0" w:space="0" w:color="auto"/>
                    <w:right w:val="none" w:sz="0" w:space="0" w:color="auto"/>
                  </w:divBdr>
                  <w:divsChild>
                    <w:div w:id="1979798492">
                      <w:marLeft w:val="0"/>
                      <w:marRight w:val="0"/>
                      <w:marTop w:val="0"/>
                      <w:marBottom w:val="0"/>
                      <w:divBdr>
                        <w:top w:val="none" w:sz="0" w:space="0" w:color="auto"/>
                        <w:left w:val="none" w:sz="0" w:space="0" w:color="auto"/>
                        <w:bottom w:val="none" w:sz="0" w:space="0" w:color="auto"/>
                        <w:right w:val="none" w:sz="0" w:space="0" w:color="auto"/>
                      </w:divBdr>
                      <w:divsChild>
                        <w:div w:id="4986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60569">
      <w:bodyDiv w:val="1"/>
      <w:marLeft w:val="0"/>
      <w:marRight w:val="0"/>
      <w:marTop w:val="0"/>
      <w:marBottom w:val="0"/>
      <w:divBdr>
        <w:top w:val="none" w:sz="0" w:space="0" w:color="auto"/>
        <w:left w:val="none" w:sz="0" w:space="0" w:color="auto"/>
        <w:bottom w:val="none" w:sz="0" w:space="0" w:color="auto"/>
        <w:right w:val="none" w:sz="0" w:space="0" w:color="auto"/>
      </w:divBdr>
    </w:div>
    <w:div w:id="1296177687">
      <w:bodyDiv w:val="1"/>
      <w:marLeft w:val="0"/>
      <w:marRight w:val="0"/>
      <w:marTop w:val="0"/>
      <w:marBottom w:val="0"/>
      <w:divBdr>
        <w:top w:val="none" w:sz="0" w:space="0" w:color="auto"/>
        <w:left w:val="none" w:sz="0" w:space="0" w:color="auto"/>
        <w:bottom w:val="none" w:sz="0" w:space="0" w:color="auto"/>
        <w:right w:val="none" w:sz="0" w:space="0" w:color="auto"/>
      </w:divBdr>
    </w:div>
    <w:div w:id="1304848281">
      <w:bodyDiv w:val="1"/>
      <w:marLeft w:val="0"/>
      <w:marRight w:val="0"/>
      <w:marTop w:val="0"/>
      <w:marBottom w:val="0"/>
      <w:divBdr>
        <w:top w:val="none" w:sz="0" w:space="0" w:color="auto"/>
        <w:left w:val="none" w:sz="0" w:space="0" w:color="auto"/>
        <w:bottom w:val="none" w:sz="0" w:space="0" w:color="auto"/>
        <w:right w:val="none" w:sz="0" w:space="0" w:color="auto"/>
      </w:divBdr>
      <w:divsChild>
        <w:div w:id="1460033200">
          <w:marLeft w:val="0"/>
          <w:marRight w:val="0"/>
          <w:marTop w:val="0"/>
          <w:marBottom w:val="0"/>
          <w:divBdr>
            <w:top w:val="none" w:sz="0" w:space="0" w:color="auto"/>
            <w:left w:val="none" w:sz="0" w:space="0" w:color="auto"/>
            <w:bottom w:val="none" w:sz="0" w:space="0" w:color="auto"/>
            <w:right w:val="none" w:sz="0" w:space="0" w:color="auto"/>
          </w:divBdr>
          <w:divsChild>
            <w:div w:id="701981118">
              <w:marLeft w:val="0"/>
              <w:marRight w:val="0"/>
              <w:marTop w:val="0"/>
              <w:marBottom w:val="0"/>
              <w:divBdr>
                <w:top w:val="none" w:sz="0" w:space="0" w:color="auto"/>
                <w:left w:val="none" w:sz="0" w:space="0" w:color="auto"/>
                <w:bottom w:val="none" w:sz="0" w:space="0" w:color="auto"/>
                <w:right w:val="none" w:sz="0" w:space="0" w:color="auto"/>
              </w:divBdr>
              <w:divsChild>
                <w:div w:id="875431881">
                  <w:marLeft w:val="0"/>
                  <w:marRight w:val="0"/>
                  <w:marTop w:val="0"/>
                  <w:marBottom w:val="0"/>
                  <w:divBdr>
                    <w:top w:val="none" w:sz="0" w:space="0" w:color="auto"/>
                    <w:left w:val="none" w:sz="0" w:space="0" w:color="auto"/>
                    <w:bottom w:val="none" w:sz="0" w:space="0" w:color="auto"/>
                    <w:right w:val="none" w:sz="0" w:space="0" w:color="auto"/>
                  </w:divBdr>
                  <w:divsChild>
                    <w:div w:id="289022246">
                      <w:marLeft w:val="0"/>
                      <w:marRight w:val="0"/>
                      <w:marTop w:val="0"/>
                      <w:marBottom w:val="0"/>
                      <w:divBdr>
                        <w:top w:val="none" w:sz="0" w:space="0" w:color="auto"/>
                        <w:left w:val="none" w:sz="0" w:space="0" w:color="auto"/>
                        <w:bottom w:val="none" w:sz="0" w:space="0" w:color="auto"/>
                        <w:right w:val="none" w:sz="0" w:space="0" w:color="auto"/>
                      </w:divBdr>
                      <w:divsChild>
                        <w:div w:id="17865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87468">
      <w:bodyDiv w:val="1"/>
      <w:marLeft w:val="0"/>
      <w:marRight w:val="0"/>
      <w:marTop w:val="0"/>
      <w:marBottom w:val="0"/>
      <w:divBdr>
        <w:top w:val="none" w:sz="0" w:space="0" w:color="auto"/>
        <w:left w:val="none" w:sz="0" w:space="0" w:color="auto"/>
        <w:bottom w:val="none" w:sz="0" w:space="0" w:color="auto"/>
        <w:right w:val="none" w:sz="0" w:space="0" w:color="auto"/>
      </w:divBdr>
      <w:divsChild>
        <w:div w:id="652561335">
          <w:marLeft w:val="0"/>
          <w:marRight w:val="0"/>
          <w:marTop w:val="100"/>
          <w:marBottom w:val="100"/>
          <w:divBdr>
            <w:top w:val="none" w:sz="0" w:space="0" w:color="auto"/>
            <w:left w:val="none" w:sz="0" w:space="0" w:color="auto"/>
            <w:bottom w:val="none" w:sz="0" w:space="0" w:color="auto"/>
            <w:right w:val="none" w:sz="0" w:space="0" w:color="auto"/>
          </w:divBdr>
          <w:divsChild>
            <w:div w:id="85656460">
              <w:marLeft w:val="1710"/>
              <w:marRight w:val="0"/>
              <w:marTop w:val="100"/>
              <w:marBottom w:val="100"/>
              <w:divBdr>
                <w:top w:val="none" w:sz="0" w:space="0" w:color="auto"/>
                <w:left w:val="none" w:sz="0" w:space="0" w:color="auto"/>
                <w:bottom w:val="none" w:sz="0" w:space="0" w:color="auto"/>
                <w:right w:val="none" w:sz="0" w:space="0" w:color="auto"/>
              </w:divBdr>
              <w:divsChild>
                <w:div w:id="1662152832">
                  <w:marLeft w:val="0"/>
                  <w:marRight w:val="0"/>
                  <w:marTop w:val="0"/>
                  <w:marBottom w:val="0"/>
                  <w:divBdr>
                    <w:top w:val="none" w:sz="0" w:space="0" w:color="auto"/>
                    <w:left w:val="none" w:sz="0" w:space="0" w:color="auto"/>
                    <w:bottom w:val="none" w:sz="0" w:space="0" w:color="auto"/>
                    <w:right w:val="none" w:sz="0" w:space="0" w:color="auto"/>
                  </w:divBdr>
                  <w:divsChild>
                    <w:div w:id="693844765">
                      <w:marLeft w:val="0"/>
                      <w:marRight w:val="0"/>
                      <w:marTop w:val="150"/>
                      <w:marBottom w:val="0"/>
                      <w:divBdr>
                        <w:top w:val="none" w:sz="0" w:space="0" w:color="auto"/>
                        <w:left w:val="none" w:sz="0" w:space="0" w:color="auto"/>
                        <w:bottom w:val="none" w:sz="0" w:space="0" w:color="auto"/>
                        <w:right w:val="none" w:sz="0" w:space="0" w:color="auto"/>
                      </w:divBdr>
                      <w:divsChild>
                        <w:div w:id="191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49567">
      <w:bodyDiv w:val="1"/>
      <w:marLeft w:val="0"/>
      <w:marRight w:val="0"/>
      <w:marTop w:val="0"/>
      <w:marBottom w:val="0"/>
      <w:divBdr>
        <w:top w:val="none" w:sz="0" w:space="0" w:color="auto"/>
        <w:left w:val="none" w:sz="0" w:space="0" w:color="auto"/>
        <w:bottom w:val="none" w:sz="0" w:space="0" w:color="auto"/>
        <w:right w:val="none" w:sz="0" w:space="0" w:color="auto"/>
      </w:divBdr>
    </w:div>
    <w:div w:id="1598371286">
      <w:bodyDiv w:val="1"/>
      <w:marLeft w:val="0"/>
      <w:marRight w:val="0"/>
      <w:marTop w:val="0"/>
      <w:marBottom w:val="0"/>
      <w:divBdr>
        <w:top w:val="none" w:sz="0" w:space="0" w:color="auto"/>
        <w:left w:val="none" w:sz="0" w:space="0" w:color="auto"/>
        <w:bottom w:val="none" w:sz="0" w:space="0" w:color="auto"/>
        <w:right w:val="none" w:sz="0" w:space="0" w:color="auto"/>
      </w:divBdr>
    </w:div>
    <w:div w:id="1864437015">
      <w:bodyDiv w:val="1"/>
      <w:marLeft w:val="0"/>
      <w:marRight w:val="0"/>
      <w:marTop w:val="0"/>
      <w:marBottom w:val="0"/>
      <w:divBdr>
        <w:top w:val="none" w:sz="0" w:space="0" w:color="auto"/>
        <w:left w:val="none" w:sz="0" w:space="0" w:color="auto"/>
        <w:bottom w:val="none" w:sz="0" w:space="0" w:color="auto"/>
        <w:right w:val="none" w:sz="0" w:space="0" w:color="auto"/>
      </w:divBdr>
    </w:div>
    <w:div w:id="1909076581">
      <w:bodyDiv w:val="1"/>
      <w:marLeft w:val="0"/>
      <w:marRight w:val="0"/>
      <w:marTop w:val="0"/>
      <w:marBottom w:val="0"/>
      <w:divBdr>
        <w:top w:val="none" w:sz="0" w:space="0" w:color="auto"/>
        <w:left w:val="none" w:sz="0" w:space="0" w:color="auto"/>
        <w:bottom w:val="none" w:sz="0" w:space="0" w:color="auto"/>
        <w:right w:val="none" w:sz="0" w:space="0" w:color="auto"/>
      </w:divBdr>
      <w:divsChild>
        <w:div w:id="1358963807">
          <w:marLeft w:val="0"/>
          <w:marRight w:val="0"/>
          <w:marTop w:val="0"/>
          <w:marBottom w:val="0"/>
          <w:divBdr>
            <w:top w:val="none" w:sz="0" w:space="0" w:color="auto"/>
            <w:left w:val="none" w:sz="0" w:space="0" w:color="auto"/>
            <w:bottom w:val="none" w:sz="0" w:space="0" w:color="auto"/>
            <w:right w:val="none" w:sz="0" w:space="0" w:color="auto"/>
          </w:divBdr>
          <w:divsChild>
            <w:div w:id="77529160">
              <w:marLeft w:val="0"/>
              <w:marRight w:val="0"/>
              <w:marTop w:val="0"/>
              <w:marBottom w:val="0"/>
              <w:divBdr>
                <w:top w:val="none" w:sz="0" w:space="0" w:color="auto"/>
                <w:left w:val="none" w:sz="0" w:space="0" w:color="auto"/>
                <w:bottom w:val="none" w:sz="0" w:space="0" w:color="auto"/>
                <w:right w:val="none" w:sz="0" w:space="0" w:color="auto"/>
              </w:divBdr>
              <w:divsChild>
                <w:div w:id="3827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8407">
      <w:bodyDiv w:val="1"/>
      <w:marLeft w:val="0"/>
      <w:marRight w:val="0"/>
      <w:marTop w:val="0"/>
      <w:marBottom w:val="0"/>
      <w:divBdr>
        <w:top w:val="none" w:sz="0" w:space="0" w:color="auto"/>
        <w:left w:val="none" w:sz="0" w:space="0" w:color="auto"/>
        <w:bottom w:val="none" w:sz="0" w:space="0" w:color="auto"/>
        <w:right w:val="none" w:sz="0" w:space="0" w:color="auto"/>
      </w:divBdr>
    </w:div>
    <w:div w:id="2062904455">
      <w:bodyDiv w:val="1"/>
      <w:marLeft w:val="0"/>
      <w:marRight w:val="0"/>
      <w:marTop w:val="0"/>
      <w:marBottom w:val="0"/>
      <w:divBdr>
        <w:top w:val="none" w:sz="0" w:space="0" w:color="auto"/>
        <w:left w:val="none" w:sz="0" w:space="0" w:color="auto"/>
        <w:bottom w:val="none" w:sz="0" w:space="0" w:color="auto"/>
        <w:right w:val="none" w:sz="0" w:space="0" w:color="auto"/>
      </w:divBdr>
      <w:divsChild>
        <w:div w:id="1306621263">
          <w:marLeft w:val="0"/>
          <w:marRight w:val="0"/>
          <w:marTop w:val="0"/>
          <w:marBottom w:val="0"/>
          <w:divBdr>
            <w:top w:val="none" w:sz="0" w:space="0" w:color="auto"/>
            <w:left w:val="none" w:sz="0" w:space="0" w:color="auto"/>
            <w:bottom w:val="none" w:sz="0" w:space="0" w:color="auto"/>
            <w:right w:val="none" w:sz="0" w:space="0" w:color="auto"/>
          </w:divBdr>
        </w:div>
      </w:divsChild>
    </w:div>
    <w:div w:id="2107573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insite/brex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immigration@warwick.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warwickac.sharepoint.com/:w:/r/sites/human_resources/_layouts/15/Doc.aspx?sourcedoc=%7BC692CF91-E656-4175-A29A-1147A8CE9527%7D&amp;file=Warwick%20Right%20to%20work%20checklist%20v0.4%20Apr%202017.docx&amp;action=default&amp;mobileredirect=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arwick.ac.uk/services/humanresources/internal/eu/settlementpilot/" TargetMode="External"/><Relationship Id="rId4" Type="http://schemas.openxmlformats.org/officeDocument/2006/relationships/settings" Target="settings.xml"/><Relationship Id="rId9" Type="http://schemas.openxmlformats.org/officeDocument/2006/relationships/hyperlink" Target="https://warwick.ac.uk/services/humanresources/internal/e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4530-E8EC-4A71-931F-E99C2B80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D45D73CD</Template>
  <TotalTime>190</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Hincks</dc:creator>
  <cp:keywords/>
  <dc:description/>
  <cp:lastModifiedBy>Walsh, Linda</cp:lastModifiedBy>
  <cp:revision>17</cp:revision>
  <cp:lastPrinted>2019-03-22T13:38:00Z</cp:lastPrinted>
  <dcterms:created xsi:type="dcterms:W3CDTF">2019-03-21T10:26:00Z</dcterms:created>
  <dcterms:modified xsi:type="dcterms:W3CDTF">2019-03-22T15:09:00Z</dcterms:modified>
</cp:coreProperties>
</file>