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9D3B" w14:textId="102B27D9" w:rsidR="008E3877" w:rsidRDefault="008E3877" w:rsidP="008E3877">
      <w:pPr>
        <w:pStyle w:val="Text1"/>
        <w:pBdr>
          <w:bottom w:val="single" w:sz="6" w:space="1" w:color="auto"/>
        </w:pBdr>
        <w:spacing w:after="0" w:line="276" w:lineRule="auto"/>
        <w:ind w:left="2880"/>
        <w:jc w:val="left"/>
        <w:rPr>
          <w:rFonts w:asciiTheme="minorHAnsi" w:hAnsiTheme="minorHAnsi"/>
          <w:b/>
          <w:sz w:val="32"/>
          <w:szCs w:val="32"/>
          <w:lang w:val="en-GB"/>
        </w:rPr>
      </w:pPr>
      <w:r w:rsidRPr="008E3877">
        <w:rPr>
          <w:rFonts w:asciiTheme="minorHAnsi" w:hAnsiTheme="minorHAnsi"/>
          <w:b/>
          <w:noProof/>
          <w:sz w:val="32"/>
          <w:szCs w:val="32"/>
          <w:lang w:val="en-GB"/>
        </w:rPr>
        <w:drawing>
          <wp:inline distT="0" distB="0" distL="0" distR="0" wp14:anchorId="65438092" wp14:editId="432CE94C">
            <wp:extent cx="1428750" cy="8573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362" cy="861280"/>
                    </a:xfrm>
                    <a:prstGeom prst="rect">
                      <a:avLst/>
                    </a:prstGeom>
                  </pic:spPr>
                </pic:pic>
              </a:graphicData>
            </a:graphic>
          </wp:inline>
        </w:drawing>
      </w:r>
      <w:r w:rsidRPr="008E3877">
        <w:rPr>
          <w:rFonts w:asciiTheme="minorHAnsi" w:hAnsiTheme="minorHAnsi"/>
          <w:b/>
          <w:sz w:val="32"/>
          <w:szCs w:val="32"/>
          <w:lang w:val="en-GB"/>
        </w:rPr>
        <w:t xml:space="preserve"> </w:t>
      </w:r>
      <w:r w:rsidRPr="008E3877">
        <w:rPr>
          <w:rFonts w:asciiTheme="minorHAnsi" w:hAnsiTheme="minorHAnsi"/>
          <w:b/>
          <w:sz w:val="32"/>
          <w:szCs w:val="32"/>
          <w:lang w:val="en-GB"/>
        </w:rPr>
        <w:tab/>
        <w:t xml:space="preserve">   </w:t>
      </w:r>
      <w:r w:rsidRPr="008E3877">
        <w:rPr>
          <w:rFonts w:asciiTheme="minorHAnsi" w:hAnsiTheme="minorHAnsi"/>
          <w:b/>
          <w:noProof/>
          <w:sz w:val="32"/>
          <w:szCs w:val="32"/>
          <w:lang w:val="en-GB"/>
        </w:rPr>
        <w:drawing>
          <wp:inline distT="0" distB="0" distL="0" distR="0" wp14:anchorId="7C2E914C" wp14:editId="3FA815D9">
            <wp:extent cx="1590675" cy="857717"/>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9334" cy="878562"/>
                    </a:xfrm>
                    <a:prstGeom prst="rect">
                      <a:avLst/>
                    </a:prstGeom>
                  </pic:spPr>
                </pic:pic>
              </a:graphicData>
            </a:graphic>
          </wp:inline>
        </w:drawing>
      </w:r>
    </w:p>
    <w:p w14:paraId="15101C0F" w14:textId="04F6AECD" w:rsidR="00502370" w:rsidRPr="008E3877" w:rsidRDefault="00502370" w:rsidP="00502370">
      <w:pPr>
        <w:pStyle w:val="Text1"/>
        <w:pBdr>
          <w:bottom w:val="single" w:sz="6" w:space="1" w:color="auto"/>
        </w:pBdr>
        <w:spacing w:after="0" w:line="276" w:lineRule="auto"/>
        <w:ind w:left="0"/>
        <w:jc w:val="left"/>
        <w:rPr>
          <w:rFonts w:asciiTheme="minorHAnsi" w:hAnsiTheme="minorHAnsi"/>
          <w:b/>
          <w:sz w:val="32"/>
          <w:szCs w:val="32"/>
          <w:lang w:val="en-GB"/>
        </w:rPr>
      </w:pPr>
      <w:r w:rsidRPr="008E3877">
        <w:rPr>
          <w:rFonts w:asciiTheme="minorHAnsi" w:hAnsiTheme="minorHAnsi"/>
          <w:b/>
          <w:sz w:val="32"/>
          <w:szCs w:val="32"/>
          <w:lang w:val="en-GB"/>
        </w:rPr>
        <w:t>Turing Scheme Grant Agreement</w:t>
      </w:r>
    </w:p>
    <w:p w14:paraId="2611175C" w14:textId="77777777" w:rsidR="00502370" w:rsidRDefault="00502370" w:rsidP="00502370">
      <w:pPr>
        <w:pStyle w:val="Text1"/>
        <w:pBdr>
          <w:bottom w:val="single" w:sz="6" w:space="1" w:color="auto"/>
        </w:pBdr>
        <w:spacing w:after="0" w:line="276" w:lineRule="auto"/>
        <w:ind w:left="0"/>
        <w:jc w:val="left"/>
        <w:rPr>
          <w:rFonts w:asciiTheme="minorHAnsi" w:hAnsiTheme="minorHAnsi"/>
          <w:b/>
          <w:sz w:val="20"/>
          <w:lang w:val="en-GB"/>
        </w:rPr>
      </w:pPr>
    </w:p>
    <w:p w14:paraId="78B9E8D4" w14:textId="77777777" w:rsidR="00502370" w:rsidRPr="00E517CA" w:rsidRDefault="00502370" w:rsidP="00502370">
      <w:pPr>
        <w:pStyle w:val="Text1"/>
        <w:pBdr>
          <w:bottom w:val="single" w:sz="6" w:space="1" w:color="auto"/>
        </w:pBdr>
        <w:spacing w:after="0" w:line="276" w:lineRule="auto"/>
        <w:ind w:left="0"/>
        <w:jc w:val="left"/>
        <w:rPr>
          <w:rFonts w:asciiTheme="minorHAnsi" w:hAnsiTheme="minorHAnsi"/>
          <w:b/>
          <w:sz w:val="20"/>
          <w:lang w:val="en-GB"/>
        </w:rPr>
      </w:pPr>
      <w:r w:rsidRPr="00E517CA">
        <w:rPr>
          <w:rFonts w:asciiTheme="minorHAnsi" w:hAnsiTheme="minorHAnsi"/>
          <w:b/>
          <w:sz w:val="20"/>
          <w:lang w:val="en-GB"/>
        </w:rPr>
        <w:t xml:space="preserve">ARTICLE 1 – SUBJECT MATTER OF THE AGREEMENT </w:t>
      </w:r>
    </w:p>
    <w:p w14:paraId="0F260701" w14:textId="196A2028" w:rsidR="00502370" w:rsidRPr="0047531A" w:rsidRDefault="00F26A4C" w:rsidP="00502370">
      <w:pPr>
        <w:pStyle w:val="ListParagraph"/>
        <w:numPr>
          <w:ilvl w:val="1"/>
          <w:numId w:val="1"/>
        </w:numPr>
        <w:spacing w:line="276" w:lineRule="auto"/>
        <w:rPr>
          <w:sz w:val="20"/>
        </w:rPr>
      </w:pPr>
      <w:r>
        <w:rPr>
          <w:sz w:val="20"/>
        </w:rPr>
        <w:t>Where the participant</w:t>
      </w:r>
      <w:r w:rsidR="00A92201">
        <w:rPr>
          <w:sz w:val="20"/>
        </w:rPr>
        <w:t xml:space="preserve">’s application </w:t>
      </w:r>
      <w:r w:rsidR="00983671">
        <w:rPr>
          <w:sz w:val="20"/>
        </w:rPr>
        <w:t>is</w:t>
      </w:r>
      <w:r w:rsidR="00A92201">
        <w:rPr>
          <w:sz w:val="20"/>
        </w:rPr>
        <w:t xml:space="preserve"> successful</w:t>
      </w:r>
      <w:r>
        <w:rPr>
          <w:sz w:val="20"/>
        </w:rPr>
        <w:t>, t</w:t>
      </w:r>
      <w:r w:rsidR="00502370" w:rsidRPr="0047531A">
        <w:rPr>
          <w:sz w:val="20"/>
        </w:rPr>
        <w:t>he institution shall provide support to the participant for undertaking a mobility activity for studies and traineeships under the Turing Scheme</w:t>
      </w:r>
      <w:r>
        <w:rPr>
          <w:sz w:val="20"/>
        </w:rPr>
        <w:t xml:space="preserve">.  </w:t>
      </w:r>
      <w:r w:rsidR="00A92201">
        <w:rPr>
          <w:sz w:val="20"/>
        </w:rPr>
        <w:t>Any placement to be undertaken under the Turing Scheme must physically take place</w:t>
      </w:r>
      <w:r w:rsidR="008A4240">
        <w:rPr>
          <w:sz w:val="20"/>
        </w:rPr>
        <w:t xml:space="preserve"> </w:t>
      </w:r>
      <w:r w:rsidR="00A92201">
        <w:rPr>
          <w:sz w:val="20"/>
        </w:rPr>
        <w:t xml:space="preserve">in </w:t>
      </w:r>
      <w:r w:rsidR="00A142CA">
        <w:rPr>
          <w:sz w:val="20"/>
        </w:rPr>
        <w:t>the</w:t>
      </w:r>
      <w:r w:rsidR="00A92201">
        <w:rPr>
          <w:sz w:val="20"/>
        </w:rPr>
        <w:t xml:space="preserve"> host country.  Turing Scheme funds will not be provided for online or virtual placements</w:t>
      </w:r>
      <w:r w:rsidR="00A142CA">
        <w:rPr>
          <w:sz w:val="20"/>
        </w:rPr>
        <w:t xml:space="preserve"> undertaken in the participant’s home country</w:t>
      </w:r>
      <w:r w:rsidR="00A92201">
        <w:rPr>
          <w:sz w:val="20"/>
        </w:rPr>
        <w:t xml:space="preserve">.  </w:t>
      </w:r>
      <w:r>
        <w:rPr>
          <w:sz w:val="20"/>
        </w:rPr>
        <w:t xml:space="preserve"> </w:t>
      </w:r>
    </w:p>
    <w:p w14:paraId="40E759C0" w14:textId="7ACB1C38" w:rsidR="00502370" w:rsidRPr="0047531A" w:rsidRDefault="00502370" w:rsidP="00502370">
      <w:pPr>
        <w:pStyle w:val="ListParagraph"/>
        <w:numPr>
          <w:ilvl w:val="1"/>
          <w:numId w:val="1"/>
        </w:numPr>
        <w:spacing w:line="276" w:lineRule="auto"/>
        <w:rPr>
          <w:sz w:val="20"/>
        </w:rPr>
      </w:pPr>
      <w:r>
        <w:rPr>
          <w:sz w:val="20"/>
        </w:rPr>
        <w:t>The level of financial support available through the Turing Scheme is set out in Article 3.</w:t>
      </w:r>
    </w:p>
    <w:p w14:paraId="066AF0EC" w14:textId="77777777" w:rsidR="00502370" w:rsidRPr="00993BF7" w:rsidRDefault="00502370" w:rsidP="00502370">
      <w:pPr>
        <w:pBdr>
          <w:bottom w:val="single" w:sz="6" w:space="1" w:color="auto"/>
        </w:pBdr>
        <w:ind w:left="567" w:hanging="567"/>
        <w:rPr>
          <w:sz w:val="20"/>
        </w:rPr>
      </w:pPr>
    </w:p>
    <w:p w14:paraId="4FA93CDD" w14:textId="77777777" w:rsidR="00502370" w:rsidRPr="00E517CA" w:rsidRDefault="00502370" w:rsidP="00502370">
      <w:pPr>
        <w:pBdr>
          <w:bottom w:val="single" w:sz="6" w:space="1" w:color="auto"/>
        </w:pBdr>
        <w:ind w:left="567" w:hanging="567"/>
        <w:rPr>
          <w:b/>
          <w:sz w:val="20"/>
        </w:rPr>
      </w:pPr>
      <w:r w:rsidRPr="00E517CA">
        <w:rPr>
          <w:b/>
          <w:sz w:val="20"/>
        </w:rPr>
        <w:t>ARTICLE 2 – ENTRY INTO FORCE AND DURATION OF MOBILITY</w:t>
      </w:r>
    </w:p>
    <w:p w14:paraId="2A90CDCB" w14:textId="2E76B50A" w:rsidR="00502370" w:rsidRPr="00993BF7" w:rsidRDefault="00502370" w:rsidP="00502370">
      <w:pPr>
        <w:spacing w:line="276" w:lineRule="auto"/>
        <w:ind w:left="567" w:hanging="567"/>
        <w:rPr>
          <w:sz w:val="20"/>
        </w:rPr>
      </w:pPr>
      <w:r w:rsidRPr="00993BF7">
        <w:rPr>
          <w:sz w:val="20"/>
        </w:rPr>
        <w:t>2.1</w:t>
      </w:r>
      <w:r w:rsidRPr="00993BF7">
        <w:rPr>
          <w:sz w:val="20"/>
        </w:rPr>
        <w:tab/>
        <w:t>Th</w:t>
      </w:r>
      <w:r w:rsidR="00F26A4C">
        <w:rPr>
          <w:sz w:val="20"/>
        </w:rPr>
        <w:t>is</w:t>
      </w:r>
      <w:r w:rsidRPr="00993BF7">
        <w:rPr>
          <w:sz w:val="20"/>
        </w:rPr>
        <w:t xml:space="preserve"> agreement shall enter into force on the date </w:t>
      </w:r>
      <w:r w:rsidR="00A92201">
        <w:rPr>
          <w:sz w:val="20"/>
        </w:rPr>
        <w:t xml:space="preserve">of signature by the participant. </w:t>
      </w:r>
    </w:p>
    <w:p w14:paraId="1033A09E" w14:textId="77777777" w:rsidR="00502370" w:rsidRDefault="00502370" w:rsidP="00502370">
      <w:pPr>
        <w:spacing w:line="276" w:lineRule="auto"/>
        <w:ind w:left="567" w:hanging="567"/>
        <w:rPr>
          <w:sz w:val="20"/>
        </w:rPr>
      </w:pPr>
      <w:r w:rsidRPr="00993BF7">
        <w:rPr>
          <w:sz w:val="20"/>
        </w:rPr>
        <w:t>2.2</w:t>
      </w:r>
      <w:r w:rsidRPr="00993BF7">
        <w:rPr>
          <w:sz w:val="20"/>
        </w:rPr>
        <w:tab/>
        <w:t xml:space="preserve">The </w:t>
      </w:r>
      <w:r>
        <w:rPr>
          <w:sz w:val="20"/>
        </w:rPr>
        <w:t xml:space="preserve">approximate, expected start and end dates of the </w:t>
      </w:r>
      <w:r w:rsidRPr="00993BF7">
        <w:rPr>
          <w:sz w:val="20"/>
        </w:rPr>
        <w:t xml:space="preserve">mobility period shall </w:t>
      </w:r>
      <w:r>
        <w:rPr>
          <w:sz w:val="20"/>
        </w:rPr>
        <w:t>be as identified in the Turing Scheme Application Form.</w:t>
      </w:r>
      <w:r w:rsidRPr="00993BF7">
        <w:rPr>
          <w:sz w:val="20"/>
        </w:rPr>
        <w:t xml:space="preserve"> </w:t>
      </w:r>
    </w:p>
    <w:p w14:paraId="27A585E5" w14:textId="77777777" w:rsidR="00502370" w:rsidRPr="00993BF7" w:rsidRDefault="00502370" w:rsidP="00502370">
      <w:pPr>
        <w:spacing w:line="276" w:lineRule="auto"/>
        <w:ind w:left="567" w:hanging="567"/>
        <w:rPr>
          <w:sz w:val="20"/>
        </w:rPr>
      </w:pPr>
      <w:r>
        <w:rPr>
          <w:sz w:val="20"/>
        </w:rPr>
        <w:t>2.3</w:t>
      </w:r>
      <w:r>
        <w:rPr>
          <w:sz w:val="20"/>
        </w:rPr>
        <w:tab/>
      </w:r>
      <w:r w:rsidRPr="00993BF7">
        <w:rPr>
          <w:sz w:val="20"/>
        </w:rPr>
        <w:t xml:space="preserve">The start date of the mobility period shall be the first day that the participant needs to be present </w:t>
      </w:r>
      <w:r>
        <w:rPr>
          <w:sz w:val="20"/>
        </w:rPr>
        <w:t xml:space="preserve">or engaging online </w:t>
      </w:r>
      <w:r w:rsidRPr="00993BF7">
        <w:rPr>
          <w:sz w:val="20"/>
        </w:rPr>
        <w:t xml:space="preserve">at the receiving organisation.  The end date of the period abroad shall be the last day the participant needs to be present </w:t>
      </w:r>
      <w:r>
        <w:rPr>
          <w:sz w:val="20"/>
        </w:rPr>
        <w:t xml:space="preserve">or engaging </w:t>
      </w:r>
      <w:r w:rsidRPr="00993BF7">
        <w:rPr>
          <w:sz w:val="20"/>
        </w:rPr>
        <w:t xml:space="preserve">at the receiving organisation. </w:t>
      </w:r>
    </w:p>
    <w:p w14:paraId="140E7A63" w14:textId="39916EF1" w:rsidR="00502370" w:rsidRPr="00993BF7" w:rsidRDefault="00502370" w:rsidP="00502370">
      <w:pPr>
        <w:spacing w:line="276" w:lineRule="auto"/>
        <w:ind w:left="567" w:hanging="567"/>
        <w:rPr>
          <w:sz w:val="20"/>
        </w:rPr>
      </w:pPr>
      <w:r w:rsidRPr="00993BF7">
        <w:rPr>
          <w:sz w:val="20"/>
        </w:rPr>
        <w:t>2.</w:t>
      </w:r>
      <w:r>
        <w:rPr>
          <w:sz w:val="20"/>
        </w:rPr>
        <w:t>4</w:t>
      </w:r>
      <w:r w:rsidRPr="00993BF7">
        <w:rPr>
          <w:sz w:val="20"/>
        </w:rPr>
        <w:tab/>
        <w:t xml:space="preserve">The participant shall receive financial support from </w:t>
      </w:r>
      <w:r>
        <w:rPr>
          <w:sz w:val="20"/>
        </w:rPr>
        <w:t>the Turing Scheme</w:t>
      </w:r>
      <w:r w:rsidRPr="00993BF7">
        <w:rPr>
          <w:sz w:val="20"/>
        </w:rPr>
        <w:t xml:space="preserve"> for the </w:t>
      </w:r>
      <w:r>
        <w:rPr>
          <w:sz w:val="20"/>
        </w:rPr>
        <w:t>period of study or work undertaken in person in the ho</w:t>
      </w:r>
      <w:r w:rsidR="006534C6">
        <w:rPr>
          <w:sz w:val="20"/>
        </w:rPr>
        <w:t>st</w:t>
      </w:r>
      <w:r>
        <w:rPr>
          <w:sz w:val="20"/>
        </w:rPr>
        <w:t xml:space="preserve"> country. </w:t>
      </w:r>
      <w:r w:rsidR="00A92201">
        <w:rPr>
          <w:sz w:val="20"/>
        </w:rPr>
        <w:t xml:space="preserve"> Scheme f</w:t>
      </w:r>
      <w:r>
        <w:rPr>
          <w:sz w:val="20"/>
        </w:rPr>
        <w:t>unds will not be granted for online mobility undertaken in the participant’s home country.</w:t>
      </w:r>
    </w:p>
    <w:p w14:paraId="0A79D36D" w14:textId="77777777" w:rsidR="00502370" w:rsidRPr="00993BF7" w:rsidRDefault="00502370" w:rsidP="00502370">
      <w:pPr>
        <w:spacing w:after="0"/>
        <w:rPr>
          <w:sz w:val="20"/>
        </w:rPr>
      </w:pPr>
    </w:p>
    <w:p w14:paraId="7EB0BD8F" w14:textId="77777777" w:rsidR="00502370" w:rsidRPr="00E517CA" w:rsidRDefault="00502370" w:rsidP="00502370">
      <w:pPr>
        <w:pStyle w:val="Text1"/>
        <w:pBdr>
          <w:bottom w:val="single" w:sz="6" w:space="1" w:color="auto"/>
        </w:pBdr>
        <w:spacing w:after="0"/>
        <w:ind w:left="0"/>
        <w:jc w:val="left"/>
        <w:rPr>
          <w:rFonts w:asciiTheme="minorHAnsi" w:hAnsiTheme="minorHAnsi"/>
          <w:b/>
          <w:sz w:val="20"/>
          <w:lang w:val="en-GB"/>
        </w:rPr>
      </w:pPr>
      <w:r w:rsidRPr="00E517CA">
        <w:rPr>
          <w:rFonts w:asciiTheme="minorHAnsi" w:hAnsiTheme="minorHAnsi"/>
          <w:b/>
          <w:sz w:val="20"/>
          <w:lang w:val="en-GB"/>
        </w:rPr>
        <w:t xml:space="preserve">ARTICLE 3 – FINANCIAL SUPPORT </w:t>
      </w:r>
    </w:p>
    <w:p w14:paraId="5D65034B" w14:textId="77777777" w:rsidR="00502370" w:rsidRPr="00993BF7" w:rsidRDefault="00502370" w:rsidP="00502370">
      <w:pPr>
        <w:spacing w:line="276" w:lineRule="auto"/>
        <w:ind w:left="567" w:hanging="567"/>
        <w:rPr>
          <w:sz w:val="20"/>
        </w:rPr>
      </w:pPr>
      <w:r w:rsidRPr="00993BF7">
        <w:rPr>
          <w:sz w:val="20"/>
        </w:rPr>
        <w:t>3.1</w:t>
      </w:r>
      <w:r w:rsidRPr="00993BF7">
        <w:rPr>
          <w:sz w:val="20"/>
        </w:rPr>
        <w:tab/>
        <w:t xml:space="preserve">The financial support for the mobility period is </w:t>
      </w:r>
      <w:r>
        <w:rPr>
          <w:sz w:val="20"/>
        </w:rPr>
        <w:t xml:space="preserve">calculated as </w:t>
      </w:r>
      <w:r w:rsidRPr="00993BF7">
        <w:rPr>
          <w:sz w:val="20"/>
        </w:rPr>
        <w:t xml:space="preserve">a monthly </w:t>
      </w:r>
      <w:r>
        <w:rPr>
          <w:sz w:val="20"/>
        </w:rPr>
        <w:t>GBP</w:t>
      </w:r>
      <w:r w:rsidRPr="00993BF7">
        <w:rPr>
          <w:sz w:val="20"/>
        </w:rPr>
        <w:t xml:space="preserve"> amount shown in the table below dependent on the country of mobility.</w:t>
      </w:r>
      <w:r>
        <w:rPr>
          <w:sz w:val="20"/>
        </w:rPr>
        <w:t xml:space="preserve"> </w:t>
      </w:r>
    </w:p>
    <w:tbl>
      <w:tblPr>
        <w:tblW w:w="9356" w:type="dxa"/>
        <w:tblInd w:w="-10" w:type="dxa"/>
        <w:tblCellMar>
          <w:left w:w="0" w:type="dxa"/>
          <w:right w:w="0" w:type="dxa"/>
        </w:tblCellMar>
        <w:tblLook w:val="0420" w:firstRow="1" w:lastRow="0" w:firstColumn="0" w:lastColumn="0" w:noHBand="0" w:noVBand="1"/>
      </w:tblPr>
      <w:tblGrid>
        <w:gridCol w:w="7513"/>
        <w:gridCol w:w="1843"/>
      </w:tblGrid>
      <w:tr w:rsidR="00502370" w:rsidRPr="00993BF7" w14:paraId="56A69629" w14:textId="77777777" w:rsidTr="00F47D5B">
        <w:trPr>
          <w:trHeight w:val="362"/>
        </w:trPr>
        <w:tc>
          <w:tcPr>
            <w:tcW w:w="7513" w:type="dxa"/>
            <w:tcBorders>
              <w:top w:val="single" w:sz="8" w:space="0" w:color="F8F8F8"/>
              <w:left w:val="single" w:sz="8" w:space="0" w:color="F8F8F8"/>
              <w:bottom w:val="single" w:sz="24" w:space="0" w:color="F8F8F8"/>
              <w:right w:val="single" w:sz="8" w:space="0" w:color="F8F8F8"/>
            </w:tcBorders>
            <w:shd w:val="clear" w:color="auto" w:fill="D5DCE4" w:themeFill="text2" w:themeFillTint="33"/>
            <w:tcMar>
              <w:top w:w="72" w:type="dxa"/>
              <w:left w:w="144" w:type="dxa"/>
              <w:bottom w:w="72" w:type="dxa"/>
              <w:right w:w="144" w:type="dxa"/>
            </w:tcMar>
            <w:vAlign w:val="center"/>
            <w:hideMark/>
          </w:tcPr>
          <w:p w14:paraId="073C4744" w14:textId="54B87485" w:rsidR="00502370" w:rsidRPr="00993BF7" w:rsidRDefault="00502370" w:rsidP="00F47D5B">
            <w:pPr>
              <w:rPr>
                <w:b/>
                <w:bCs/>
                <w:sz w:val="18"/>
                <w:szCs w:val="18"/>
              </w:rPr>
            </w:pPr>
            <w:r>
              <w:rPr>
                <w:b/>
                <w:bCs/>
                <w:sz w:val="18"/>
                <w:szCs w:val="18"/>
              </w:rPr>
              <w:t>TURING SCHEME GRANT RATES FOR 202</w:t>
            </w:r>
            <w:r w:rsidR="00855631">
              <w:rPr>
                <w:b/>
                <w:bCs/>
                <w:sz w:val="18"/>
                <w:szCs w:val="18"/>
              </w:rPr>
              <w:t>2</w:t>
            </w:r>
            <w:r>
              <w:rPr>
                <w:b/>
                <w:bCs/>
                <w:sz w:val="18"/>
                <w:szCs w:val="18"/>
              </w:rPr>
              <w:t>/202</w:t>
            </w:r>
            <w:r w:rsidR="00855631">
              <w:rPr>
                <w:b/>
                <w:bCs/>
                <w:sz w:val="18"/>
                <w:szCs w:val="18"/>
              </w:rPr>
              <w:t>3</w:t>
            </w:r>
          </w:p>
          <w:p w14:paraId="2E86A836" w14:textId="77777777" w:rsidR="00502370" w:rsidRPr="00993BF7" w:rsidRDefault="00502370" w:rsidP="00F47D5B">
            <w:pPr>
              <w:rPr>
                <w:sz w:val="18"/>
                <w:szCs w:val="18"/>
              </w:rPr>
            </w:pPr>
            <w:r w:rsidRPr="00993BF7">
              <w:rPr>
                <w:b/>
                <w:bCs/>
                <w:sz w:val="18"/>
                <w:szCs w:val="18"/>
              </w:rPr>
              <w:t>Country</w:t>
            </w:r>
          </w:p>
        </w:tc>
        <w:tc>
          <w:tcPr>
            <w:tcW w:w="1843" w:type="dxa"/>
            <w:tcBorders>
              <w:top w:val="single" w:sz="8" w:space="0" w:color="F8F8F8"/>
              <w:left w:val="single" w:sz="8" w:space="0" w:color="F8F8F8"/>
              <w:bottom w:val="single" w:sz="24" w:space="0" w:color="F8F8F8"/>
              <w:right w:val="single" w:sz="8" w:space="0" w:color="F8F8F8"/>
            </w:tcBorders>
            <w:shd w:val="clear" w:color="auto" w:fill="D5DCE4" w:themeFill="text2" w:themeFillTint="33"/>
            <w:vAlign w:val="center"/>
          </w:tcPr>
          <w:p w14:paraId="7EEFF568" w14:textId="77777777" w:rsidR="00502370" w:rsidRPr="00993BF7" w:rsidRDefault="00502370" w:rsidP="00F47D5B">
            <w:pPr>
              <w:rPr>
                <w:sz w:val="18"/>
                <w:szCs w:val="18"/>
              </w:rPr>
            </w:pPr>
            <w:r>
              <w:rPr>
                <w:b/>
                <w:bCs/>
                <w:sz w:val="18"/>
                <w:szCs w:val="18"/>
              </w:rPr>
              <w:t>Monthly costs</w:t>
            </w:r>
          </w:p>
        </w:tc>
      </w:tr>
      <w:tr w:rsidR="00502370" w:rsidRPr="00993BF7" w14:paraId="19ABB560" w14:textId="77777777" w:rsidTr="00F47D5B">
        <w:trPr>
          <w:trHeight w:val="1417"/>
        </w:trPr>
        <w:tc>
          <w:tcPr>
            <w:tcW w:w="7513" w:type="dxa"/>
            <w:tcBorders>
              <w:top w:val="single" w:sz="24" w:space="0" w:color="F8F8F8"/>
              <w:left w:val="single" w:sz="8" w:space="0" w:color="F8F8F8"/>
              <w:bottom w:val="single" w:sz="8" w:space="0" w:color="F8F8F8"/>
              <w:right w:val="single" w:sz="8" w:space="0" w:color="F8F8F8"/>
            </w:tcBorders>
            <w:shd w:val="clear" w:color="auto" w:fill="F0F5FA"/>
            <w:tcMar>
              <w:top w:w="72" w:type="dxa"/>
              <w:left w:w="144" w:type="dxa"/>
              <w:bottom w:w="72" w:type="dxa"/>
              <w:right w:w="144" w:type="dxa"/>
            </w:tcMar>
            <w:vAlign w:val="center"/>
            <w:hideMark/>
          </w:tcPr>
          <w:p w14:paraId="4FDB74A4" w14:textId="77777777" w:rsidR="00502370" w:rsidRPr="00993BF7" w:rsidRDefault="00502370" w:rsidP="00F47D5B">
            <w:pPr>
              <w:rPr>
                <w:sz w:val="18"/>
                <w:szCs w:val="18"/>
              </w:rPr>
            </w:pPr>
            <w:r w:rsidRPr="00993BF7">
              <w:rPr>
                <w:b/>
                <w:bCs/>
                <w:sz w:val="18"/>
                <w:szCs w:val="18"/>
              </w:rPr>
              <w:t>Group 1:  Programme Countries with higher living costs</w:t>
            </w:r>
          </w:p>
          <w:p w14:paraId="311697F0" w14:textId="77777777" w:rsidR="00502370" w:rsidRPr="00524CC0" w:rsidRDefault="00502370" w:rsidP="00F47D5B">
            <w:pPr>
              <w:rPr>
                <w:sz w:val="18"/>
                <w:szCs w:val="18"/>
              </w:rPr>
            </w:pPr>
            <w:r>
              <w:rPr>
                <w:sz w:val="18"/>
                <w:szCs w:val="18"/>
              </w:rPr>
              <w:t>American Samoa, Australia, Bahamas, Bermuda, Canada, Cayman Islands, Cook Islands, Cuba, Israel, Japan, Kiribati, New Caledonia, New Zealand, North America (not otherwise specified), Papa New Guinea, Puerto Rico, Samoa, Solomon Islands, Switzerland, Tonga, Turks and Caicos Islands, United States, Vanuatu, Venezuela</w:t>
            </w:r>
          </w:p>
        </w:tc>
        <w:tc>
          <w:tcPr>
            <w:tcW w:w="1843" w:type="dxa"/>
            <w:tcBorders>
              <w:top w:val="single" w:sz="24" w:space="0" w:color="F8F8F8"/>
              <w:left w:val="single" w:sz="8" w:space="0" w:color="F8F8F8"/>
              <w:bottom w:val="single" w:sz="8" w:space="0" w:color="F8F8F8"/>
              <w:right w:val="single" w:sz="8" w:space="0" w:color="F8F8F8"/>
            </w:tcBorders>
            <w:shd w:val="clear" w:color="auto" w:fill="F0F5FA"/>
            <w:vAlign w:val="center"/>
          </w:tcPr>
          <w:p w14:paraId="4ACF9C4B" w14:textId="77777777" w:rsidR="00502370" w:rsidRPr="00993BF7" w:rsidRDefault="00502370" w:rsidP="00F47D5B">
            <w:pPr>
              <w:rPr>
                <w:sz w:val="18"/>
                <w:szCs w:val="18"/>
              </w:rPr>
            </w:pPr>
            <w:r>
              <w:rPr>
                <w:b/>
                <w:bCs/>
                <w:sz w:val="18"/>
                <w:szCs w:val="18"/>
              </w:rPr>
              <w:t>£380 per month</w:t>
            </w:r>
          </w:p>
        </w:tc>
      </w:tr>
      <w:tr w:rsidR="00502370" w:rsidRPr="00993BF7" w14:paraId="71D838F2" w14:textId="77777777" w:rsidTr="00F47D5B">
        <w:trPr>
          <w:trHeight w:val="1417"/>
        </w:trPr>
        <w:tc>
          <w:tcPr>
            <w:tcW w:w="7513" w:type="dxa"/>
            <w:tcBorders>
              <w:top w:val="single" w:sz="8" w:space="0" w:color="F8F8F8"/>
              <w:left w:val="single" w:sz="8" w:space="0" w:color="F8F8F8"/>
              <w:bottom w:val="single" w:sz="8" w:space="0" w:color="F8F8F8"/>
              <w:right w:val="single" w:sz="8" w:space="0" w:color="F8F8F8"/>
            </w:tcBorders>
            <w:shd w:val="clear" w:color="auto" w:fill="E7F0F9"/>
            <w:tcMar>
              <w:top w:w="15" w:type="dxa"/>
              <w:left w:w="108" w:type="dxa"/>
              <w:bottom w:w="0" w:type="dxa"/>
              <w:right w:w="108" w:type="dxa"/>
            </w:tcMar>
            <w:vAlign w:val="center"/>
            <w:hideMark/>
          </w:tcPr>
          <w:p w14:paraId="6B59EC54" w14:textId="77777777" w:rsidR="00502370" w:rsidRPr="00993BF7" w:rsidRDefault="00502370" w:rsidP="00F47D5B">
            <w:pPr>
              <w:rPr>
                <w:b/>
                <w:bCs/>
                <w:sz w:val="18"/>
                <w:szCs w:val="18"/>
              </w:rPr>
            </w:pPr>
            <w:r w:rsidRPr="00993BF7">
              <w:rPr>
                <w:b/>
                <w:bCs/>
                <w:sz w:val="18"/>
                <w:szCs w:val="18"/>
              </w:rPr>
              <w:t>Group 2:  Programme Countries with medium medium</w:t>
            </w:r>
            <w:r>
              <w:rPr>
                <w:b/>
                <w:bCs/>
                <w:sz w:val="18"/>
                <w:szCs w:val="18"/>
              </w:rPr>
              <w:t>/lower</w:t>
            </w:r>
            <w:r w:rsidRPr="00993BF7">
              <w:rPr>
                <w:b/>
                <w:bCs/>
                <w:sz w:val="18"/>
                <w:szCs w:val="18"/>
              </w:rPr>
              <w:t xml:space="preserve"> living costs</w:t>
            </w:r>
          </w:p>
          <w:p w14:paraId="73CC4527" w14:textId="77777777" w:rsidR="00502370" w:rsidRPr="00524CC0" w:rsidRDefault="00502370" w:rsidP="00F47D5B">
            <w:pPr>
              <w:rPr>
                <w:b/>
                <w:bCs/>
                <w:sz w:val="18"/>
                <w:szCs w:val="18"/>
              </w:rPr>
            </w:pPr>
            <w:r>
              <w:rPr>
                <w:sz w:val="18"/>
                <w:szCs w:val="18"/>
              </w:rPr>
              <w:t xml:space="preserve">Any other country. For full breakdown, see page 43 of Programme Guide here: </w:t>
            </w:r>
            <w:hyperlink r:id="rId9" w:history="1">
              <w:r>
                <w:rPr>
                  <w:rStyle w:val="Hyperlink"/>
                </w:rPr>
                <w:t>The Turing Scheme Programme Guide Version 2.1 (turing-scheme.org.uk)</w:t>
              </w:r>
            </w:hyperlink>
          </w:p>
        </w:tc>
        <w:tc>
          <w:tcPr>
            <w:tcW w:w="1843" w:type="dxa"/>
            <w:tcBorders>
              <w:top w:val="single" w:sz="8" w:space="0" w:color="F8F8F8"/>
              <w:left w:val="single" w:sz="8" w:space="0" w:color="F8F8F8"/>
              <w:bottom w:val="single" w:sz="8" w:space="0" w:color="F8F8F8"/>
              <w:right w:val="single" w:sz="8" w:space="0" w:color="F8F8F8"/>
            </w:tcBorders>
            <w:shd w:val="clear" w:color="auto" w:fill="E7F0F9"/>
            <w:vAlign w:val="center"/>
          </w:tcPr>
          <w:p w14:paraId="7E85E612" w14:textId="77777777" w:rsidR="00502370" w:rsidRPr="00993BF7" w:rsidRDefault="00502370" w:rsidP="00F47D5B">
            <w:pPr>
              <w:rPr>
                <w:sz w:val="18"/>
                <w:szCs w:val="18"/>
              </w:rPr>
            </w:pPr>
            <w:r>
              <w:rPr>
                <w:b/>
                <w:bCs/>
                <w:sz w:val="18"/>
                <w:szCs w:val="18"/>
              </w:rPr>
              <w:t>£335 per month</w:t>
            </w:r>
          </w:p>
        </w:tc>
      </w:tr>
    </w:tbl>
    <w:p w14:paraId="0F0D9839" w14:textId="77777777" w:rsidR="00502370" w:rsidRDefault="00502370" w:rsidP="00502370">
      <w:pPr>
        <w:spacing w:line="276" w:lineRule="auto"/>
        <w:ind w:left="567"/>
        <w:rPr>
          <w:sz w:val="20"/>
        </w:rPr>
      </w:pPr>
    </w:p>
    <w:p w14:paraId="1795835F" w14:textId="0F93C56B" w:rsidR="00502370" w:rsidRPr="005B2ABB" w:rsidRDefault="00502370" w:rsidP="00502370">
      <w:pPr>
        <w:spacing w:line="276" w:lineRule="auto"/>
        <w:ind w:left="567" w:hanging="567"/>
        <w:rPr>
          <w:sz w:val="20"/>
        </w:rPr>
      </w:pPr>
      <w:r w:rsidRPr="005B2ABB">
        <w:rPr>
          <w:sz w:val="20"/>
        </w:rPr>
        <w:lastRenderedPageBreak/>
        <w:t>3.2</w:t>
      </w:r>
      <w:r w:rsidRPr="005B2ABB">
        <w:rPr>
          <w:sz w:val="20"/>
        </w:rPr>
        <w:tab/>
        <w:t>For students undertaking one full year placement this shall be paid in one lump sum following submission of th</w:t>
      </w:r>
      <w:r w:rsidR="003C6D13">
        <w:rPr>
          <w:sz w:val="20"/>
        </w:rPr>
        <w:t>e</w:t>
      </w:r>
      <w:r w:rsidRPr="005B2ABB">
        <w:rPr>
          <w:sz w:val="20"/>
        </w:rPr>
        <w:t xml:space="preserve"> completed</w:t>
      </w:r>
      <w:r w:rsidR="003C6D13">
        <w:rPr>
          <w:sz w:val="20"/>
        </w:rPr>
        <w:t xml:space="preserve"> Arrival Form and Grant Agreement</w:t>
      </w:r>
      <w:r w:rsidRPr="005B2ABB">
        <w:rPr>
          <w:sz w:val="20"/>
        </w:rPr>
        <w:t xml:space="preserve"> form at the </w:t>
      </w:r>
      <w:r w:rsidR="003C6D13">
        <w:rPr>
          <w:sz w:val="20"/>
        </w:rPr>
        <w:t xml:space="preserve">applicable </w:t>
      </w:r>
      <w:r w:rsidRPr="005B2ABB">
        <w:rPr>
          <w:sz w:val="20"/>
        </w:rPr>
        <w:t>rate per month for the receiving country concerned. If participants undertake a mix of online in home country and in host country placements, then they shall be eligible for Turing Scheme funding for the period undertaken in host country only.</w:t>
      </w:r>
    </w:p>
    <w:p w14:paraId="07A2735E" w14:textId="77777777" w:rsidR="003C6D13" w:rsidRDefault="00502370" w:rsidP="007C3B15">
      <w:pPr>
        <w:spacing w:line="276" w:lineRule="auto"/>
        <w:ind w:left="567" w:hanging="567"/>
        <w:rPr>
          <w:sz w:val="20"/>
        </w:rPr>
      </w:pPr>
      <w:r w:rsidRPr="005B2ABB">
        <w:rPr>
          <w:sz w:val="20"/>
        </w:rPr>
        <w:t>3.3</w:t>
      </w:r>
      <w:r w:rsidRPr="005B2ABB">
        <w:rPr>
          <w:sz w:val="20"/>
        </w:rPr>
        <w:tab/>
      </w:r>
      <w:r w:rsidR="003C6D13" w:rsidRPr="005B2ABB">
        <w:rPr>
          <w:sz w:val="20"/>
        </w:rPr>
        <w:t>For students undertaking one</w:t>
      </w:r>
      <w:r w:rsidR="003C6D13">
        <w:rPr>
          <w:sz w:val="20"/>
        </w:rPr>
        <w:t xml:space="preserve"> semester</w:t>
      </w:r>
      <w:r w:rsidR="003C6D13" w:rsidRPr="005B2ABB">
        <w:rPr>
          <w:sz w:val="20"/>
        </w:rPr>
        <w:t xml:space="preserve"> placement this shall be paid in one lump sum following submission of th</w:t>
      </w:r>
      <w:r w:rsidR="003C6D13">
        <w:rPr>
          <w:sz w:val="20"/>
        </w:rPr>
        <w:t>e</w:t>
      </w:r>
      <w:r w:rsidR="003C6D13" w:rsidRPr="005B2ABB">
        <w:rPr>
          <w:sz w:val="20"/>
        </w:rPr>
        <w:t xml:space="preserve"> completed</w:t>
      </w:r>
      <w:r w:rsidR="003C6D13">
        <w:rPr>
          <w:sz w:val="20"/>
        </w:rPr>
        <w:t xml:space="preserve"> Arrival Form and Grant Agreement</w:t>
      </w:r>
      <w:r w:rsidR="003C6D13" w:rsidRPr="005B2ABB">
        <w:rPr>
          <w:sz w:val="20"/>
        </w:rPr>
        <w:t xml:space="preserve"> form at the </w:t>
      </w:r>
      <w:r w:rsidR="003C6D13">
        <w:rPr>
          <w:sz w:val="20"/>
        </w:rPr>
        <w:t xml:space="preserve">applicable </w:t>
      </w:r>
      <w:r w:rsidR="003C6D13" w:rsidRPr="005B2ABB">
        <w:rPr>
          <w:sz w:val="20"/>
        </w:rPr>
        <w:t>rate per month for the receiving country concerned. If participants undertake a mix of online in home country and in host country placements, then they shall be eligible for Turing Scheme funding for the period undertaken in host country only.</w:t>
      </w:r>
    </w:p>
    <w:p w14:paraId="1AE8D789" w14:textId="0911B6E7" w:rsidR="00502370" w:rsidRPr="00993BF7" w:rsidRDefault="00502370" w:rsidP="007C3B15">
      <w:pPr>
        <w:spacing w:line="276" w:lineRule="auto"/>
        <w:ind w:left="567" w:hanging="567"/>
        <w:rPr>
          <w:sz w:val="20"/>
        </w:rPr>
      </w:pPr>
      <w:r w:rsidRPr="00993BF7">
        <w:rPr>
          <w:sz w:val="20"/>
        </w:rPr>
        <w:t>3.</w:t>
      </w:r>
      <w:r>
        <w:rPr>
          <w:sz w:val="20"/>
        </w:rPr>
        <w:t>4</w:t>
      </w:r>
      <w:r w:rsidRPr="00993BF7">
        <w:rPr>
          <w:sz w:val="20"/>
        </w:rPr>
        <w:t xml:space="preserve"> </w:t>
      </w:r>
      <w:r w:rsidRPr="00993BF7">
        <w:rPr>
          <w:sz w:val="20"/>
        </w:rPr>
        <w:tab/>
      </w:r>
      <w:r w:rsidR="008A4240" w:rsidRPr="005B2ABB">
        <w:rPr>
          <w:sz w:val="20"/>
        </w:rPr>
        <w:t>If participants</w:t>
      </w:r>
      <w:r w:rsidR="008A4240">
        <w:rPr>
          <w:sz w:val="20"/>
        </w:rPr>
        <w:t xml:space="preserve"> undertake a mix of online in home country and in host country placements, then they shall be eligible for Turing Scheme funding for the period undertaken in host country only. </w:t>
      </w:r>
    </w:p>
    <w:p w14:paraId="71A16634" w14:textId="2A8A8062" w:rsidR="00502370" w:rsidRPr="00993BF7" w:rsidRDefault="00502370" w:rsidP="00502370">
      <w:pPr>
        <w:spacing w:line="276" w:lineRule="auto"/>
        <w:ind w:left="567" w:hanging="567"/>
        <w:rPr>
          <w:sz w:val="20"/>
        </w:rPr>
      </w:pPr>
      <w:r w:rsidRPr="00993BF7">
        <w:rPr>
          <w:sz w:val="20"/>
        </w:rPr>
        <w:t>3.</w:t>
      </w:r>
      <w:r w:rsidR="003C6D13">
        <w:rPr>
          <w:sz w:val="20"/>
        </w:rPr>
        <w:t>5</w:t>
      </w:r>
      <w:r w:rsidRPr="00993BF7">
        <w:rPr>
          <w:sz w:val="20"/>
        </w:rPr>
        <w:tab/>
      </w:r>
      <w:r>
        <w:rPr>
          <w:sz w:val="20"/>
        </w:rPr>
        <w:t>Participants are not eligible to receive both Turing Scheme and Erasmus+ funding</w:t>
      </w:r>
      <w:r w:rsidR="00855631">
        <w:rPr>
          <w:sz w:val="20"/>
        </w:rPr>
        <w:t xml:space="preserve"> for the same placement</w:t>
      </w:r>
      <w:r w:rsidRPr="00993BF7">
        <w:rPr>
          <w:sz w:val="20"/>
        </w:rPr>
        <w:t>.</w:t>
      </w:r>
    </w:p>
    <w:p w14:paraId="57DAC503" w14:textId="4851025E" w:rsidR="00502370" w:rsidRPr="00002E0C" w:rsidRDefault="00502370" w:rsidP="00502370">
      <w:pPr>
        <w:spacing w:line="276" w:lineRule="auto"/>
        <w:ind w:left="567" w:hanging="567"/>
        <w:rPr>
          <w:strike/>
        </w:rPr>
      </w:pPr>
      <w:r w:rsidRPr="00993BF7">
        <w:rPr>
          <w:sz w:val="20"/>
        </w:rPr>
        <w:t>3.</w:t>
      </w:r>
      <w:r w:rsidR="003C6D13">
        <w:rPr>
          <w:sz w:val="20"/>
        </w:rPr>
        <w:t>6</w:t>
      </w:r>
      <w:r w:rsidRPr="00993BF7">
        <w:rPr>
          <w:sz w:val="20"/>
        </w:rPr>
        <w:tab/>
        <w:t>The financial support or part thereof</w:t>
      </w:r>
      <w:r w:rsidR="002F0D5C">
        <w:rPr>
          <w:sz w:val="20"/>
        </w:rPr>
        <w:t xml:space="preserve"> provided to the participant under this agreement</w:t>
      </w:r>
      <w:r w:rsidRPr="00993BF7">
        <w:rPr>
          <w:sz w:val="20"/>
        </w:rPr>
        <w:t xml:space="preserve"> shall be repaid if the participant does not comply with the terms of the agreement. </w:t>
      </w:r>
      <w:r w:rsidR="003C6D13">
        <w:rPr>
          <w:sz w:val="20"/>
        </w:rPr>
        <w:t>It is the responsibility of the participant to inform the University of Warwick Student Mobility team if their period of mobility is curtailed.</w:t>
      </w:r>
    </w:p>
    <w:p w14:paraId="7EC4E21F" w14:textId="77777777" w:rsidR="00502370" w:rsidRDefault="00502370" w:rsidP="00502370">
      <w:pPr>
        <w:spacing w:after="0"/>
        <w:rPr>
          <w:sz w:val="20"/>
        </w:rPr>
      </w:pPr>
    </w:p>
    <w:p w14:paraId="6223BDE4" w14:textId="77777777" w:rsidR="00502370" w:rsidRPr="001F3090" w:rsidRDefault="00502370" w:rsidP="00502370">
      <w:pPr>
        <w:pBdr>
          <w:bottom w:val="single" w:sz="6" w:space="1" w:color="auto"/>
        </w:pBdr>
        <w:spacing w:line="276" w:lineRule="auto"/>
        <w:ind w:left="567" w:hanging="567"/>
        <w:rPr>
          <w:b/>
          <w:bCs/>
          <w:sz w:val="20"/>
        </w:rPr>
      </w:pPr>
      <w:r w:rsidRPr="001F3090">
        <w:rPr>
          <w:b/>
          <w:bCs/>
          <w:sz w:val="20"/>
        </w:rPr>
        <w:t>ARTICLE 4 – PAYMENT ARRANGEMENTS</w:t>
      </w:r>
    </w:p>
    <w:p w14:paraId="1038ACC5" w14:textId="77777777" w:rsidR="00502370" w:rsidRDefault="00502370" w:rsidP="00502370">
      <w:pPr>
        <w:spacing w:line="276" w:lineRule="auto"/>
        <w:rPr>
          <w:sz w:val="20"/>
        </w:rPr>
      </w:pPr>
      <w:r>
        <w:rPr>
          <w:sz w:val="20"/>
        </w:rPr>
        <w:t xml:space="preserve">4.1       </w:t>
      </w:r>
      <w:r w:rsidRPr="002E5618">
        <w:rPr>
          <w:sz w:val="20"/>
        </w:rPr>
        <w:t xml:space="preserve">Participants are responsible for submitting their bank details </w:t>
      </w:r>
      <w:r>
        <w:rPr>
          <w:sz w:val="20"/>
        </w:rPr>
        <w:t xml:space="preserve">to enable payment of Turing Scheme </w:t>
      </w:r>
    </w:p>
    <w:p w14:paraId="6948CC58" w14:textId="77777777" w:rsidR="00502370" w:rsidRPr="002E5618" w:rsidRDefault="00502370" w:rsidP="00502370">
      <w:pPr>
        <w:spacing w:line="276" w:lineRule="auto"/>
        <w:ind w:firstLine="567"/>
        <w:rPr>
          <w:sz w:val="20"/>
        </w:rPr>
      </w:pPr>
      <w:r>
        <w:rPr>
          <w:sz w:val="20"/>
        </w:rPr>
        <w:t>funding</w:t>
      </w:r>
      <w:r w:rsidRPr="002E5618">
        <w:rPr>
          <w:sz w:val="20"/>
        </w:rPr>
        <w:t>.</w:t>
      </w:r>
    </w:p>
    <w:p w14:paraId="28D43073" w14:textId="77777777" w:rsidR="00502370" w:rsidRPr="00002E0C" w:rsidRDefault="00502370" w:rsidP="00502370">
      <w:pPr>
        <w:pStyle w:val="ListParagraph"/>
        <w:spacing w:line="276" w:lineRule="auto"/>
        <w:ind w:left="360"/>
        <w:rPr>
          <w:sz w:val="20"/>
        </w:rPr>
      </w:pPr>
    </w:p>
    <w:p w14:paraId="6F537581" w14:textId="5208A875" w:rsidR="00502370" w:rsidRPr="008E3D72" w:rsidRDefault="00502370" w:rsidP="00502370">
      <w:pPr>
        <w:spacing w:line="276" w:lineRule="auto"/>
        <w:ind w:left="567" w:hanging="567"/>
        <w:rPr>
          <w:sz w:val="20"/>
          <w:szCs w:val="20"/>
        </w:rPr>
      </w:pPr>
      <w:r>
        <w:rPr>
          <w:sz w:val="20"/>
        </w:rPr>
        <w:t>4.2</w:t>
      </w:r>
      <w:r w:rsidRPr="008E3D72">
        <w:rPr>
          <w:sz w:val="20"/>
          <w:szCs w:val="20"/>
        </w:rPr>
        <w:tab/>
      </w:r>
      <w:r w:rsidR="00983671">
        <w:rPr>
          <w:sz w:val="20"/>
          <w:szCs w:val="20"/>
        </w:rPr>
        <w:t>Where the participant’s application is successful, p</w:t>
      </w:r>
      <w:r w:rsidRPr="008E3D72">
        <w:rPr>
          <w:sz w:val="20"/>
          <w:szCs w:val="20"/>
        </w:rPr>
        <w:t xml:space="preserve">ayments shall </w:t>
      </w:r>
      <w:r w:rsidR="00A142CA">
        <w:rPr>
          <w:sz w:val="20"/>
          <w:szCs w:val="20"/>
        </w:rPr>
        <w:t xml:space="preserve">endeavour to </w:t>
      </w:r>
      <w:r w:rsidRPr="008E3D72">
        <w:rPr>
          <w:sz w:val="20"/>
          <w:szCs w:val="20"/>
        </w:rPr>
        <w:t xml:space="preserve">be made to the participant </w:t>
      </w:r>
      <w:r w:rsidR="003C6D13">
        <w:rPr>
          <w:sz w:val="20"/>
          <w:szCs w:val="20"/>
        </w:rPr>
        <w:t>within 6 weeks</w:t>
      </w:r>
      <w:r w:rsidRPr="008E3D72">
        <w:rPr>
          <w:sz w:val="20"/>
          <w:szCs w:val="20"/>
        </w:rPr>
        <w:t xml:space="preserve"> </w:t>
      </w:r>
      <w:r w:rsidR="002F0D5C">
        <w:rPr>
          <w:sz w:val="20"/>
          <w:szCs w:val="20"/>
        </w:rPr>
        <w:t>from</w:t>
      </w:r>
      <w:r w:rsidR="002F0D5C" w:rsidRPr="008E3D72">
        <w:rPr>
          <w:sz w:val="20"/>
          <w:szCs w:val="20"/>
        </w:rPr>
        <w:t xml:space="preserve"> </w:t>
      </w:r>
      <w:r w:rsidR="00A142CA">
        <w:rPr>
          <w:sz w:val="20"/>
          <w:szCs w:val="20"/>
        </w:rPr>
        <w:t>the relevant submission date below</w:t>
      </w:r>
      <w:r w:rsidRPr="008E3D72">
        <w:rPr>
          <w:sz w:val="20"/>
          <w:szCs w:val="20"/>
        </w:rPr>
        <w:t xml:space="preserve">. Forms shall be processed after the following </w:t>
      </w:r>
      <w:r w:rsidRPr="003C6D13">
        <w:rPr>
          <w:sz w:val="20"/>
          <w:szCs w:val="20"/>
        </w:rPr>
        <w:t>deadlines for submission</w:t>
      </w:r>
      <w:r w:rsidR="003C6D13" w:rsidRPr="003C6D13">
        <w:rPr>
          <w:sz w:val="20"/>
          <w:szCs w:val="20"/>
        </w:rPr>
        <w:t xml:space="preserve"> (provisional dates included. Up to date information on website: </w:t>
      </w:r>
      <w:hyperlink r:id="rId10" w:history="1">
        <w:r w:rsidR="003C6D13" w:rsidRPr="003C6D13">
          <w:rPr>
            <w:rStyle w:val="Hyperlink"/>
            <w:sz w:val="20"/>
            <w:szCs w:val="20"/>
          </w:rPr>
          <w:t>Turing Scheme 2022-23 (Year Abroad) (warwick.ac.uk)</w:t>
        </w:r>
      </w:hyperlink>
      <w:r w:rsidR="003C6D13" w:rsidRPr="003C6D13">
        <w:rPr>
          <w:sz w:val="20"/>
          <w:szCs w:val="20"/>
        </w:rPr>
        <w:t>)</w:t>
      </w:r>
      <w:r w:rsidRPr="003C6D13">
        <w:rPr>
          <w:sz w:val="20"/>
          <w:szCs w:val="20"/>
        </w:rPr>
        <w:t>:</w:t>
      </w:r>
    </w:p>
    <w:p w14:paraId="11CD2D84" w14:textId="321B3DBC" w:rsidR="00502370" w:rsidRDefault="00502370" w:rsidP="00502370">
      <w:pPr>
        <w:spacing w:line="276" w:lineRule="auto"/>
        <w:ind w:left="567" w:hanging="567"/>
        <w:rPr>
          <w:sz w:val="20"/>
          <w:szCs w:val="20"/>
        </w:rPr>
      </w:pPr>
      <w:r w:rsidRPr="008E3D72">
        <w:rPr>
          <w:sz w:val="20"/>
          <w:szCs w:val="20"/>
        </w:rPr>
        <w:tab/>
      </w:r>
      <w:r w:rsidR="003C6D13">
        <w:rPr>
          <w:sz w:val="20"/>
          <w:szCs w:val="20"/>
        </w:rPr>
        <w:t>2022 - 19</w:t>
      </w:r>
      <w:r w:rsidR="00FE37B8">
        <w:rPr>
          <w:sz w:val="20"/>
          <w:szCs w:val="20"/>
        </w:rPr>
        <w:t xml:space="preserve"> October 2022</w:t>
      </w:r>
      <w:r w:rsidR="003C6D13">
        <w:rPr>
          <w:sz w:val="20"/>
          <w:szCs w:val="20"/>
        </w:rPr>
        <w:t>, 1</w:t>
      </w:r>
      <w:r>
        <w:rPr>
          <w:sz w:val="20"/>
          <w:szCs w:val="20"/>
        </w:rPr>
        <w:t xml:space="preserve"> December</w:t>
      </w:r>
    </w:p>
    <w:p w14:paraId="0D16F2D5" w14:textId="36BFAA25" w:rsidR="003C6D13" w:rsidRPr="008E3D72" w:rsidRDefault="003C6D13" w:rsidP="00502370">
      <w:pPr>
        <w:spacing w:line="276" w:lineRule="auto"/>
        <w:ind w:left="567" w:hanging="567"/>
        <w:rPr>
          <w:sz w:val="20"/>
          <w:szCs w:val="20"/>
        </w:rPr>
      </w:pPr>
      <w:r>
        <w:rPr>
          <w:sz w:val="20"/>
          <w:szCs w:val="20"/>
        </w:rPr>
        <w:tab/>
        <w:t>2023 – 25 January, 14 March, 9 May</w:t>
      </w:r>
    </w:p>
    <w:p w14:paraId="56E3397C" w14:textId="4C02F49C" w:rsidR="00502370" w:rsidRPr="00993BF7" w:rsidRDefault="00502370" w:rsidP="00502370">
      <w:pPr>
        <w:spacing w:line="276" w:lineRule="auto"/>
        <w:ind w:left="567" w:hanging="567"/>
        <w:rPr>
          <w:sz w:val="20"/>
        </w:rPr>
      </w:pPr>
      <w:r w:rsidRPr="008E3D72">
        <w:rPr>
          <w:sz w:val="20"/>
          <w:szCs w:val="20"/>
        </w:rPr>
        <w:tab/>
      </w:r>
    </w:p>
    <w:p w14:paraId="66213B09" w14:textId="77777777" w:rsidR="00502370" w:rsidRPr="001F3090" w:rsidRDefault="00502370" w:rsidP="00502370">
      <w:pPr>
        <w:pBdr>
          <w:bottom w:val="single" w:sz="6" w:space="1" w:color="auto"/>
        </w:pBdr>
        <w:spacing w:line="276" w:lineRule="auto"/>
        <w:rPr>
          <w:b/>
          <w:bCs/>
          <w:sz w:val="20"/>
        </w:rPr>
      </w:pPr>
      <w:r w:rsidRPr="001F3090">
        <w:rPr>
          <w:b/>
          <w:bCs/>
          <w:sz w:val="20"/>
        </w:rPr>
        <w:t>ARTICLE 5 –</w:t>
      </w:r>
      <w:r w:rsidRPr="001F3090" w:rsidDel="00DF1DE2">
        <w:rPr>
          <w:b/>
          <w:bCs/>
          <w:sz w:val="20"/>
        </w:rPr>
        <w:t xml:space="preserve"> </w:t>
      </w:r>
      <w:r w:rsidRPr="001F3090">
        <w:rPr>
          <w:b/>
          <w:bCs/>
          <w:sz w:val="20"/>
        </w:rPr>
        <w:t>INSURANCE</w:t>
      </w:r>
    </w:p>
    <w:p w14:paraId="23E2C52D" w14:textId="0D4EB478" w:rsidR="00502370" w:rsidRPr="00993BF7" w:rsidRDefault="00502370" w:rsidP="00502370">
      <w:pPr>
        <w:spacing w:line="276" w:lineRule="auto"/>
        <w:ind w:left="567" w:hanging="567"/>
        <w:rPr>
          <w:sz w:val="20"/>
        </w:rPr>
      </w:pPr>
      <w:r w:rsidRPr="00993BF7">
        <w:rPr>
          <w:sz w:val="20"/>
        </w:rPr>
        <w:t>5.1</w:t>
      </w:r>
      <w:r w:rsidRPr="00993BF7">
        <w:rPr>
          <w:sz w:val="20"/>
        </w:rPr>
        <w:tab/>
        <w:t xml:space="preserve">The participant shall </w:t>
      </w:r>
      <w:r w:rsidR="002F0D5C">
        <w:rPr>
          <w:sz w:val="20"/>
        </w:rPr>
        <w:t xml:space="preserve">ensure they </w:t>
      </w:r>
      <w:r w:rsidRPr="00993BF7">
        <w:rPr>
          <w:sz w:val="20"/>
        </w:rPr>
        <w:t>have adequate insurance coverage</w:t>
      </w:r>
      <w:r w:rsidR="002F0D5C">
        <w:rPr>
          <w:sz w:val="20"/>
        </w:rPr>
        <w:t xml:space="preserve"> in place prior to travel</w:t>
      </w:r>
      <w:r w:rsidRPr="00993BF7">
        <w:rPr>
          <w:sz w:val="20"/>
        </w:rPr>
        <w:t xml:space="preserve">. Individuals travelling abroad on behalf of the University of Warwick (including those for whom the University has responsibility), are automatically covered by a Business Travel insurance policy.  This is </w:t>
      </w:r>
      <w:r w:rsidRPr="00E517CA">
        <w:rPr>
          <w:sz w:val="20"/>
          <w:u w:val="single"/>
        </w:rPr>
        <w:t>not</w:t>
      </w:r>
      <w:r w:rsidRPr="00993BF7">
        <w:rPr>
          <w:sz w:val="20"/>
        </w:rPr>
        <w:t xml:space="preserve"> a holiday travel insurance policy and provides cover for </w:t>
      </w:r>
      <w:proofErr w:type="gramStart"/>
      <w:r w:rsidRPr="00993BF7">
        <w:rPr>
          <w:sz w:val="20"/>
        </w:rPr>
        <w:t>University</w:t>
      </w:r>
      <w:proofErr w:type="gramEnd"/>
      <w:r w:rsidRPr="00993BF7">
        <w:rPr>
          <w:sz w:val="20"/>
        </w:rPr>
        <w:t>-related business travel only</w:t>
      </w:r>
      <w:r>
        <w:rPr>
          <w:sz w:val="20"/>
        </w:rPr>
        <w:t xml:space="preserve"> (emergency medical cover only)</w:t>
      </w:r>
      <w:r w:rsidRPr="00993BF7">
        <w:rPr>
          <w:sz w:val="20"/>
        </w:rPr>
        <w:t xml:space="preserve">. </w:t>
      </w:r>
    </w:p>
    <w:p w14:paraId="4DB32152" w14:textId="4123D1C7" w:rsidR="00502370" w:rsidRDefault="00502370" w:rsidP="00502370">
      <w:pPr>
        <w:spacing w:line="276" w:lineRule="auto"/>
        <w:ind w:left="567" w:hanging="567"/>
        <w:rPr>
          <w:sz w:val="20"/>
        </w:rPr>
      </w:pPr>
      <w:r w:rsidRPr="00993BF7">
        <w:rPr>
          <w:sz w:val="20"/>
        </w:rPr>
        <w:tab/>
      </w:r>
      <w:r w:rsidRPr="00E517CA">
        <w:rPr>
          <w:sz w:val="20"/>
        </w:rPr>
        <w:t xml:space="preserve">Full details regarding this can be found on the Insurance Service website: </w:t>
      </w:r>
      <w:hyperlink r:id="rId11" w:history="1">
        <w:r w:rsidR="00170BA1" w:rsidRPr="00A7239E">
          <w:rPr>
            <w:rStyle w:val="Hyperlink"/>
            <w:sz w:val="20"/>
          </w:rPr>
          <w:t>www.warwick.ac.uk/insurance</w:t>
        </w:r>
      </w:hyperlink>
    </w:p>
    <w:p w14:paraId="08C2579E" w14:textId="2F8E42A6" w:rsidR="00170BA1" w:rsidRDefault="00170BA1" w:rsidP="00502370">
      <w:pPr>
        <w:spacing w:line="276" w:lineRule="auto"/>
        <w:ind w:left="567" w:hanging="567"/>
        <w:rPr>
          <w:sz w:val="20"/>
        </w:rPr>
      </w:pPr>
      <w:r>
        <w:rPr>
          <w:sz w:val="20"/>
        </w:rPr>
        <w:t>5.2</w:t>
      </w:r>
      <w:r>
        <w:rPr>
          <w:sz w:val="20"/>
        </w:rPr>
        <w:tab/>
        <w:t>The Business Travel Insurance does not cover travel to red listed countries.</w:t>
      </w:r>
    </w:p>
    <w:p w14:paraId="7F9F9BB7" w14:textId="1EF585BF" w:rsidR="00170BA1" w:rsidRDefault="00170BA1" w:rsidP="00502370">
      <w:pPr>
        <w:spacing w:line="276" w:lineRule="auto"/>
        <w:ind w:left="567" w:hanging="567"/>
        <w:rPr>
          <w:sz w:val="20"/>
        </w:rPr>
      </w:pPr>
      <w:r>
        <w:rPr>
          <w:sz w:val="20"/>
        </w:rPr>
        <w:t>5.3</w:t>
      </w:r>
      <w:r>
        <w:rPr>
          <w:sz w:val="20"/>
        </w:rPr>
        <w:tab/>
        <w:t xml:space="preserve">A completed risk assessment is an essential part of the process and must be submitted </w:t>
      </w:r>
      <w:r w:rsidR="003C6D13">
        <w:rPr>
          <w:sz w:val="20"/>
        </w:rPr>
        <w:t xml:space="preserve">on </w:t>
      </w:r>
      <w:proofErr w:type="spellStart"/>
      <w:r w:rsidR="003C6D13">
        <w:rPr>
          <w:sz w:val="20"/>
        </w:rPr>
        <w:t>eVision</w:t>
      </w:r>
      <w:proofErr w:type="spellEnd"/>
      <w:r>
        <w:rPr>
          <w:sz w:val="20"/>
        </w:rPr>
        <w:t>.</w:t>
      </w:r>
    </w:p>
    <w:p w14:paraId="0CD6E50C" w14:textId="3BA28EBC" w:rsidR="00502370" w:rsidRDefault="00502370" w:rsidP="00170BA1">
      <w:pPr>
        <w:spacing w:line="276" w:lineRule="auto"/>
        <w:ind w:left="567" w:hanging="567"/>
        <w:rPr>
          <w:sz w:val="20"/>
        </w:rPr>
      </w:pPr>
      <w:r>
        <w:rPr>
          <w:sz w:val="20"/>
        </w:rPr>
        <w:lastRenderedPageBreak/>
        <w:t>5.</w:t>
      </w:r>
      <w:r w:rsidR="00170BA1">
        <w:rPr>
          <w:sz w:val="20"/>
        </w:rPr>
        <w:t>4</w:t>
      </w:r>
      <w:r>
        <w:rPr>
          <w:sz w:val="20"/>
        </w:rPr>
        <w:tab/>
      </w:r>
      <w:r w:rsidRPr="00993BF7">
        <w:rPr>
          <w:sz w:val="20"/>
        </w:rPr>
        <w:t xml:space="preserve">It is recommended that </w:t>
      </w:r>
      <w:r w:rsidR="002F0D5C">
        <w:rPr>
          <w:sz w:val="20"/>
        </w:rPr>
        <w:t xml:space="preserve">participants </w:t>
      </w:r>
      <w:r w:rsidRPr="00993BF7">
        <w:rPr>
          <w:sz w:val="20"/>
        </w:rPr>
        <w:t xml:space="preserve">also </w:t>
      </w:r>
      <w:r>
        <w:rPr>
          <w:sz w:val="20"/>
        </w:rPr>
        <w:t>secure separate health insurance prior to travel</w:t>
      </w:r>
      <w:r w:rsidRPr="00993BF7">
        <w:rPr>
          <w:sz w:val="20"/>
        </w:rPr>
        <w:t xml:space="preserve">.  If a student is required to sign up to a host </w:t>
      </w:r>
      <w:r>
        <w:rPr>
          <w:sz w:val="20"/>
        </w:rPr>
        <w:t>c</w:t>
      </w:r>
      <w:r w:rsidRPr="00993BF7">
        <w:rPr>
          <w:sz w:val="20"/>
        </w:rPr>
        <w:t xml:space="preserve">ountry / </w:t>
      </w:r>
      <w:r>
        <w:rPr>
          <w:sz w:val="20"/>
        </w:rPr>
        <w:t>university</w:t>
      </w:r>
      <w:r w:rsidRPr="00993BF7">
        <w:rPr>
          <w:sz w:val="20"/>
        </w:rPr>
        <w:t xml:space="preserve"> health insurance scheme, the student will be responsible for any associated costs. </w:t>
      </w:r>
    </w:p>
    <w:p w14:paraId="7ED27E6B" w14:textId="77777777" w:rsidR="008E3877" w:rsidRDefault="008E3877" w:rsidP="00170BA1">
      <w:pPr>
        <w:rPr>
          <w:sz w:val="20"/>
        </w:rPr>
      </w:pPr>
    </w:p>
    <w:p w14:paraId="414BE573" w14:textId="1980D75B" w:rsidR="00170BA1" w:rsidRPr="001F3090" w:rsidRDefault="00170BA1" w:rsidP="00170BA1">
      <w:pPr>
        <w:rPr>
          <w:b/>
          <w:bCs/>
          <w:sz w:val="20"/>
        </w:rPr>
      </w:pPr>
      <w:r w:rsidRPr="001F3090">
        <w:rPr>
          <w:b/>
          <w:bCs/>
          <w:sz w:val="20"/>
        </w:rPr>
        <w:t>ARTICLE 6 –</w:t>
      </w:r>
      <w:r w:rsidRPr="001F3090" w:rsidDel="00DF1DE2">
        <w:rPr>
          <w:b/>
          <w:bCs/>
          <w:sz w:val="20"/>
        </w:rPr>
        <w:t xml:space="preserve"> </w:t>
      </w:r>
      <w:r w:rsidRPr="001F3090">
        <w:rPr>
          <w:b/>
          <w:bCs/>
          <w:sz w:val="20"/>
        </w:rPr>
        <w:t>DATA PROTECTION</w:t>
      </w:r>
    </w:p>
    <w:p w14:paraId="234482AA" w14:textId="17AE4904" w:rsidR="00170BA1" w:rsidRPr="001F3090" w:rsidRDefault="00170BA1" w:rsidP="00170BA1">
      <w:pPr>
        <w:pBdr>
          <w:bottom w:val="single" w:sz="6" w:space="1" w:color="auto"/>
        </w:pBdr>
        <w:spacing w:line="276" w:lineRule="auto"/>
        <w:rPr>
          <w:b/>
          <w:bCs/>
          <w:sz w:val="20"/>
        </w:rPr>
      </w:pPr>
    </w:p>
    <w:p w14:paraId="01EA716C" w14:textId="1A3FCE0E" w:rsidR="00502370" w:rsidRPr="001F3090" w:rsidRDefault="0046552A" w:rsidP="00502370">
      <w:pPr>
        <w:spacing w:after="0" w:line="360" w:lineRule="auto"/>
        <w:rPr>
          <w:sz w:val="18"/>
          <w:szCs w:val="18"/>
        </w:rPr>
      </w:pPr>
      <w:r>
        <w:rPr>
          <w:sz w:val="18"/>
          <w:szCs w:val="18"/>
        </w:rPr>
        <w:t xml:space="preserve">Please refer to our </w:t>
      </w:r>
      <w:r w:rsidR="00983671">
        <w:rPr>
          <w:sz w:val="18"/>
          <w:szCs w:val="18"/>
        </w:rPr>
        <w:t xml:space="preserve">Turing Scheme </w:t>
      </w:r>
      <w:r>
        <w:rPr>
          <w:sz w:val="18"/>
          <w:szCs w:val="18"/>
        </w:rPr>
        <w:t>privacy notice</w:t>
      </w:r>
      <w:r w:rsidR="00A142CA">
        <w:rPr>
          <w:sz w:val="18"/>
          <w:szCs w:val="18"/>
        </w:rPr>
        <w:t xml:space="preserve"> here: </w:t>
      </w:r>
      <w:hyperlink r:id="rId12" w:history="1">
        <w:r w:rsidR="00A142CA">
          <w:rPr>
            <w:rStyle w:val="Hyperlink"/>
          </w:rPr>
          <w:t>Student Privacy Notice - Security &amp; Information Management - Warwick</w:t>
        </w:r>
      </w:hyperlink>
    </w:p>
    <w:p w14:paraId="1A0DEAEB" w14:textId="77777777" w:rsidR="00502370" w:rsidRPr="001F3090" w:rsidRDefault="00502370" w:rsidP="00502370">
      <w:pPr>
        <w:spacing w:after="0" w:line="360" w:lineRule="auto"/>
        <w:rPr>
          <w:b/>
          <w:sz w:val="18"/>
          <w:szCs w:val="18"/>
        </w:rPr>
      </w:pPr>
    </w:p>
    <w:p w14:paraId="22F9F312" w14:textId="77777777" w:rsidR="00502370" w:rsidRPr="001F3090" w:rsidRDefault="00502370" w:rsidP="00502370">
      <w:pPr>
        <w:pBdr>
          <w:bottom w:val="single" w:sz="6" w:space="1" w:color="auto"/>
        </w:pBdr>
        <w:spacing w:line="276" w:lineRule="auto"/>
        <w:rPr>
          <w:b/>
          <w:bCs/>
          <w:sz w:val="20"/>
        </w:rPr>
      </w:pPr>
      <w:r w:rsidRPr="001F3090">
        <w:rPr>
          <w:b/>
          <w:bCs/>
          <w:sz w:val="20"/>
        </w:rPr>
        <w:t>ARTICLE 7 –</w:t>
      </w:r>
      <w:r w:rsidRPr="001F3090" w:rsidDel="00DF1DE2">
        <w:rPr>
          <w:b/>
          <w:bCs/>
          <w:sz w:val="20"/>
        </w:rPr>
        <w:t xml:space="preserve"> </w:t>
      </w:r>
      <w:r w:rsidRPr="001F3090">
        <w:rPr>
          <w:b/>
          <w:bCs/>
          <w:sz w:val="20"/>
        </w:rPr>
        <w:t>CHECKS AND AUDITS</w:t>
      </w:r>
    </w:p>
    <w:p w14:paraId="69EEBEC5" w14:textId="0A77A015" w:rsidR="00502370" w:rsidRPr="00A142CA" w:rsidRDefault="00502370" w:rsidP="00502370">
      <w:pPr>
        <w:spacing w:after="0" w:line="360" w:lineRule="auto"/>
        <w:rPr>
          <w:sz w:val="20"/>
          <w:szCs w:val="20"/>
        </w:rPr>
      </w:pPr>
      <w:r w:rsidRPr="00A142CA">
        <w:rPr>
          <w:sz w:val="20"/>
          <w:szCs w:val="20"/>
        </w:rPr>
        <w:t xml:space="preserve">The </w:t>
      </w:r>
      <w:r w:rsidR="00983671" w:rsidRPr="00A142CA">
        <w:rPr>
          <w:sz w:val="20"/>
          <w:szCs w:val="20"/>
        </w:rPr>
        <w:t xml:space="preserve">participant </w:t>
      </w:r>
      <w:r w:rsidR="00C13639" w:rsidRPr="00A142CA">
        <w:rPr>
          <w:sz w:val="20"/>
          <w:szCs w:val="20"/>
        </w:rPr>
        <w:t>agree</w:t>
      </w:r>
      <w:r w:rsidR="00983671" w:rsidRPr="00A142CA">
        <w:rPr>
          <w:sz w:val="20"/>
          <w:szCs w:val="20"/>
        </w:rPr>
        <w:t>s</w:t>
      </w:r>
      <w:r w:rsidRPr="00A142CA">
        <w:rPr>
          <w:sz w:val="20"/>
          <w:szCs w:val="20"/>
        </w:rPr>
        <w:t xml:space="preserve"> to provide any detailed information requested </w:t>
      </w:r>
      <w:r w:rsidR="00983671" w:rsidRPr="00A142CA">
        <w:rPr>
          <w:sz w:val="20"/>
          <w:szCs w:val="20"/>
        </w:rPr>
        <w:t xml:space="preserve">by the institution, the Turing Scheme or </w:t>
      </w:r>
      <w:r w:rsidR="003C6D13">
        <w:rPr>
          <w:sz w:val="20"/>
          <w:szCs w:val="20"/>
        </w:rPr>
        <w:t>Capita</w:t>
      </w:r>
      <w:r w:rsidRPr="00A142CA">
        <w:rPr>
          <w:sz w:val="20"/>
          <w:szCs w:val="20"/>
        </w:rPr>
        <w:t>, to check that the mobility period and the provisions of the agreement are being properly implemented.</w:t>
      </w:r>
    </w:p>
    <w:p w14:paraId="0719857B" w14:textId="77777777" w:rsidR="00502370" w:rsidRDefault="00502370" w:rsidP="00502370"/>
    <w:p w14:paraId="79226119" w14:textId="77777777" w:rsidR="00502370" w:rsidRPr="001F3090" w:rsidRDefault="00502370" w:rsidP="00502370">
      <w:pPr>
        <w:pBdr>
          <w:bottom w:val="single" w:sz="6" w:space="1" w:color="auto"/>
        </w:pBdr>
        <w:spacing w:line="276" w:lineRule="auto"/>
        <w:rPr>
          <w:b/>
          <w:bCs/>
          <w:sz w:val="20"/>
        </w:rPr>
      </w:pPr>
      <w:r>
        <w:rPr>
          <w:b/>
          <w:bCs/>
          <w:sz w:val="20"/>
        </w:rPr>
        <w:t>DECLARATION</w:t>
      </w:r>
    </w:p>
    <w:p w14:paraId="36F3FCBC" w14:textId="77777777" w:rsidR="00502370" w:rsidRDefault="00502370" w:rsidP="00502370">
      <w:r>
        <w:t>I confirm that I have read and agree to the terms stated in the Turing Scheme Grant Agreement:</w:t>
      </w:r>
    </w:p>
    <w:p w14:paraId="49338D7D" w14:textId="6C48D032" w:rsidR="00502370" w:rsidRDefault="00502370" w:rsidP="00502370"/>
    <w:p w14:paraId="4067FBC9" w14:textId="77777777" w:rsidR="008E3877" w:rsidRDefault="008E3877" w:rsidP="00502370"/>
    <w:p w14:paraId="59C7E267" w14:textId="77777777" w:rsidR="00502370" w:rsidRDefault="00502370" w:rsidP="00502370">
      <w:r>
        <w:t>Student Name</w:t>
      </w:r>
      <w:r>
        <w:tab/>
      </w:r>
      <w:r>
        <w:tab/>
        <w:t>…………………………………………………………………</w:t>
      </w:r>
      <w:proofErr w:type="gramStart"/>
      <w:r>
        <w:t>…..</w:t>
      </w:r>
      <w:proofErr w:type="gramEnd"/>
    </w:p>
    <w:p w14:paraId="64457C22" w14:textId="77777777" w:rsidR="00502370" w:rsidRDefault="00502370" w:rsidP="00502370"/>
    <w:p w14:paraId="58B801B6" w14:textId="77777777" w:rsidR="00502370" w:rsidRDefault="00502370" w:rsidP="00502370"/>
    <w:p w14:paraId="26268965" w14:textId="77777777" w:rsidR="00502370" w:rsidRDefault="00502370" w:rsidP="00502370">
      <w:r>
        <w:t>Student Signature</w:t>
      </w:r>
      <w:r>
        <w:tab/>
        <w:t>………………………………………………………………………</w:t>
      </w:r>
    </w:p>
    <w:p w14:paraId="2F71BF36" w14:textId="77777777" w:rsidR="00502370" w:rsidRDefault="00502370" w:rsidP="00502370"/>
    <w:p w14:paraId="39C13417" w14:textId="77777777" w:rsidR="00502370" w:rsidRDefault="00502370" w:rsidP="00502370"/>
    <w:p w14:paraId="43F8160B" w14:textId="77777777" w:rsidR="00502370" w:rsidRDefault="00502370" w:rsidP="00502370">
      <w:r>
        <w:t>Date</w:t>
      </w:r>
      <w:r>
        <w:tab/>
      </w:r>
      <w:r>
        <w:tab/>
      </w:r>
      <w:r>
        <w:tab/>
        <w:t>……………………………………………………………………….</w:t>
      </w:r>
    </w:p>
    <w:p w14:paraId="1F728CF9" w14:textId="77777777" w:rsidR="00502370" w:rsidRDefault="00502370" w:rsidP="00502370"/>
    <w:p w14:paraId="49C4C48F" w14:textId="36EF36D3" w:rsidR="00FE22AD" w:rsidRDefault="001B1221"/>
    <w:sectPr w:rsidR="00FE22AD">
      <w:headerReference w:type="default" r:id="rId13"/>
      <w:footerReference w:type="even"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D8D2" w14:textId="77777777" w:rsidR="005F457C" w:rsidRDefault="005F457C">
      <w:pPr>
        <w:spacing w:after="0" w:line="240" w:lineRule="auto"/>
      </w:pPr>
      <w:r>
        <w:separator/>
      </w:r>
    </w:p>
  </w:endnote>
  <w:endnote w:type="continuationSeparator" w:id="0">
    <w:p w14:paraId="73EDE00E" w14:textId="77777777" w:rsidR="005F457C" w:rsidRDefault="005F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29BD" w14:textId="77777777" w:rsidR="008E0F45" w:rsidRDefault="00502370">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1814F2" w14:textId="77777777" w:rsidR="008E0F45" w:rsidRDefault="001B122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D158" w14:textId="77777777" w:rsidR="008E0F45" w:rsidRDefault="00502370">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7</w:t>
    </w:r>
    <w:r>
      <w:rPr>
        <w:rStyle w:val="PageNumber"/>
        <w:szCs w:val="24"/>
      </w:rPr>
      <w:fldChar w:fldCharType="end"/>
    </w:r>
  </w:p>
  <w:p w14:paraId="2E87FC6E" w14:textId="77777777" w:rsidR="008D6E44" w:rsidRPr="008D6E44" w:rsidRDefault="00502370" w:rsidP="002E2033">
    <w:pPr>
      <w:pStyle w:val="Footer"/>
      <w:ind w:right="360"/>
      <w:rPr>
        <w:lang w:val="en-GB"/>
      </w:rPr>
    </w:pPr>
    <w:r w:rsidRPr="00FC67BC">
      <w:rPr>
        <w:rFonts w:ascii="Arial Narrow" w:hAnsi="Arial Narrow" w:cs="Arial"/>
        <w:sz w:val="18"/>
        <w:szCs w:val="18"/>
        <w:u w:val="single"/>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097396013"/>
      <w:docPartObj>
        <w:docPartGallery w:val="Page Numbers (Bottom of Page)"/>
        <w:docPartUnique/>
      </w:docPartObj>
    </w:sdtPr>
    <w:sdtEndPr>
      <w:rPr>
        <w:noProof/>
      </w:rPr>
    </w:sdtEndPr>
    <w:sdtContent>
      <w:p w14:paraId="3DDE2E34" w14:textId="77777777" w:rsidR="008D6E44" w:rsidRDefault="00502370">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0F9F44DB" w14:textId="77777777" w:rsidR="008D6E44" w:rsidRDefault="001B1221">
        <w:pPr>
          <w:pStyle w:val="Footer"/>
          <w:jc w:val="center"/>
          <w:rPr>
            <w:noProof/>
          </w:rPr>
        </w:pPr>
      </w:p>
      <w:p w14:paraId="6C212F5E" w14:textId="77777777" w:rsidR="00863234" w:rsidRPr="008D6E44" w:rsidRDefault="00502370" w:rsidP="008D6E44">
        <w:pPr>
          <w:pStyle w:val="Header"/>
          <w:rPr>
            <w:lang w:val="en-GB"/>
          </w:rPr>
        </w:pPr>
        <w:r w:rsidRPr="00FC67BC">
          <w:rPr>
            <w:rFonts w:ascii="Arial Narrow" w:hAnsi="Arial Narrow" w:cs="Arial"/>
            <w:sz w:val="18"/>
            <w:szCs w:val="18"/>
            <w:u w:val="single"/>
            <w:lang w:val="en-GB"/>
          </w:rPr>
          <w:t xml:space="preserve">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 xml:space="preserve"> May </w:t>
        </w:r>
        <w:r w:rsidRPr="00FC67BC">
          <w:rPr>
            <w:rFonts w:ascii="Arial Narrow" w:hAnsi="Arial Narrow" w:cs="Arial"/>
            <w:sz w:val="18"/>
            <w:szCs w:val="18"/>
            <w:u w:val="single"/>
            <w:lang w:val="en-GB"/>
          </w:rPr>
          <w:t>2015</w:t>
        </w:r>
      </w:p>
    </w:sdtContent>
  </w:sdt>
  <w:p w14:paraId="502310A0" w14:textId="77777777" w:rsidR="008E0F45" w:rsidRPr="00863234" w:rsidRDefault="001B1221" w:rsidP="00863234">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EA6C" w14:textId="77777777" w:rsidR="005F457C" w:rsidRDefault="005F457C">
      <w:pPr>
        <w:spacing w:after="0" w:line="240" w:lineRule="auto"/>
      </w:pPr>
      <w:r>
        <w:separator/>
      </w:r>
    </w:p>
  </w:footnote>
  <w:footnote w:type="continuationSeparator" w:id="0">
    <w:p w14:paraId="17E86222" w14:textId="77777777" w:rsidR="005F457C" w:rsidRDefault="005F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F24B" w14:textId="77777777" w:rsidR="008E0F45" w:rsidRDefault="00502370" w:rsidP="00107272">
    <w:pPr>
      <w:pStyle w:val="Header"/>
      <w:tabs>
        <w:tab w:val="left" w:pos="1500"/>
        <w:tab w:val="center" w:pos="4535"/>
        <w:tab w:val="left" w:pos="7344"/>
      </w:tabs>
      <w:jc w:val="left"/>
      <w:rPr>
        <w:szCs w:val="24"/>
      </w:rPr>
    </w:pPr>
    <w:r>
      <w:rPr>
        <w:szCs w:val="24"/>
      </w:rPr>
      <w:tab/>
    </w:r>
    <w:r>
      <w:rPr>
        <w:szCs w:val="24"/>
      </w:rPr>
      <w:tab/>
    </w: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11AA"/>
    <w:multiLevelType w:val="multilevel"/>
    <w:tmpl w:val="C8948EF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941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70"/>
    <w:rsid w:val="0013220A"/>
    <w:rsid w:val="00170BA1"/>
    <w:rsid w:val="001B1221"/>
    <w:rsid w:val="002B15F1"/>
    <w:rsid w:val="002F0D5C"/>
    <w:rsid w:val="00300FE7"/>
    <w:rsid w:val="003C6D13"/>
    <w:rsid w:val="0046552A"/>
    <w:rsid w:val="004A7425"/>
    <w:rsid w:val="00502370"/>
    <w:rsid w:val="005F457C"/>
    <w:rsid w:val="006534C6"/>
    <w:rsid w:val="007658FE"/>
    <w:rsid w:val="007C3B15"/>
    <w:rsid w:val="007E6A6E"/>
    <w:rsid w:val="00855631"/>
    <w:rsid w:val="008621BE"/>
    <w:rsid w:val="008A4240"/>
    <w:rsid w:val="008D5DD1"/>
    <w:rsid w:val="008E3877"/>
    <w:rsid w:val="00983671"/>
    <w:rsid w:val="00A142CA"/>
    <w:rsid w:val="00A82E3E"/>
    <w:rsid w:val="00A92201"/>
    <w:rsid w:val="00C13639"/>
    <w:rsid w:val="00D31F11"/>
    <w:rsid w:val="00D95D4D"/>
    <w:rsid w:val="00F26A4C"/>
    <w:rsid w:val="00FE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DDD9"/>
  <w15:chartTrackingRefBased/>
  <w15:docId w15:val="{07A4FB83-B329-4B46-9AC3-A6D3C84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70"/>
    <w:pPr>
      <w:spacing w:after="0" w:line="240" w:lineRule="auto"/>
      <w:ind w:left="720"/>
    </w:pPr>
    <w:rPr>
      <w:rFonts w:ascii="Calibri" w:hAnsi="Calibri" w:cs="Calibri"/>
    </w:rPr>
  </w:style>
  <w:style w:type="paragraph" w:customStyle="1" w:styleId="Text1">
    <w:name w:val="Text 1"/>
    <w:basedOn w:val="Normal"/>
    <w:rsid w:val="00502370"/>
    <w:pPr>
      <w:spacing w:after="240" w:line="240" w:lineRule="auto"/>
      <w:ind w:left="482"/>
      <w:jc w:val="both"/>
    </w:pPr>
    <w:rPr>
      <w:rFonts w:ascii="Times New Roman" w:eastAsia="Times New Roman" w:hAnsi="Times New Roman" w:cs="Times New Roman"/>
      <w:sz w:val="24"/>
      <w:szCs w:val="20"/>
      <w:lang w:val="fr-FR"/>
    </w:rPr>
  </w:style>
  <w:style w:type="paragraph" w:styleId="Footer">
    <w:name w:val="footer"/>
    <w:basedOn w:val="Normal"/>
    <w:link w:val="FooterChar"/>
    <w:rsid w:val="00502370"/>
    <w:pPr>
      <w:spacing w:after="0" w:line="240" w:lineRule="auto"/>
      <w:ind w:right="-567"/>
    </w:pPr>
    <w:rPr>
      <w:rFonts w:ascii="Arial" w:eastAsia="Times New Roman" w:hAnsi="Arial" w:cs="Times New Roman"/>
      <w:sz w:val="16"/>
      <w:szCs w:val="20"/>
      <w:lang w:val="fr-FR" w:eastAsia="x-none"/>
    </w:rPr>
  </w:style>
  <w:style w:type="character" w:customStyle="1" w:styleId="FooterChar">
    <w:name w:val="Footer Char"/>
    <w:basedOn w:val="DefaultParagraphFont"/>
    <w:link w:val="Footer"/>
    <w:rsid w:val="00502370"/>
    <w:rPr>
      <w:rFonts w:ascii="Arial" w:eastAsia="Times New Roman" w:hAnsi="Arial" w:cs="Times New Roman"/>
      <w:sz w:val="16"/>
      <w:szCs w:val="20"/>
      <w:lang w:val="fr-FR" w:eastAsia="x-none"/>
    </w:rPr>
  </w:style>
  <w:style w:type="paragraph" w:styleId="Header">
    <w:name w:val="header"/>
    <w:basedOn w:val="Normal"/>
    <w:link w:val="HeaderChar"/>
    <w:rsid w:val="0050237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HeaderChar">
    <w:name w:val="Header Char"/>
    <w:basedOn w:val="DefaultParagraphFont"/>
    <w:link w:val="Header"/>
    <w:rsid w:val="00502370"/>
    <w:rPr>
      <w:rFonts w:ascii="Times New Roman" w:eastAsia="Times New Roman" w:hAnsi="Times New Roman" w:cs="Times New Roman"/>
      <w:sz w:val="24"/>
      <w:szCs w:val="20"/>
      <w:lang w:val="fr-FR" w:eastAsia="x-none"/>
    </w:rPr>
  </w:style>
  <w:style w:type="character" w:styleId="Hyperlink">
    <w:name w:val="Hyperlink"/>
    <w:rsid w:val="00502370"/>
    <w:rPr>
      <w:color w:val="0000FF"/>
      <w:u w:val="single"/>
    </w:rPr>
  </w:style>
  <w:style w:type="character" w:styleId="PageNumber">
    <w:name w:val="page number"/>
    <w:rsid w:val="00502370"/>
    <w:rPr>
      <w:rFonts w:cs="Times New Roman"/>
    </w:rPr>
  </w:style>
  <w:style w:type="character" w:styleId="UnresolvedMention">
    <w:name w:val="Unresolved Mention"/>
    <w:basedOn w:val="DefaultParagraphFont"/>
    <w:uiPriority w:val="99"/>
    <w:semiHidden/>
    <w:unhideWhenUsed/>
    <w:rsid w:val="00170BA1"/>
    <w:rPr>
      <w:color w:val="605E5C"/>
      <w:shd w:val="clear" w:color="auto" w:fill="E1DFDD"/>
    </w:rPr>
  </w:style>
  <w:style w:type="character" w:styleId="CommentReference">
    <w:name w:val="annotation reference"/>
    <w:basedOn w:val="DefaultParagraphFont"/>
    <w:uiPriority w:val="99"/>
    <w:semiHidden/>
    <w:unhideWhenUsed/>
    <w:rsid w:val="00F26A4C"/>
    <w:rPr>
      <w:sz w:val="16"/>
      <w:szCs w:val="16"/>
    </w:rPr>
  </w:style>
  <w:style w:type="paragraph" w:styleId="CommentText">
    <w:name w:val="annotation text"/>
    <w:basedOn w:val="Normal"/>
    <w:link w:val="CommentTextChar"/>
    <w:uiPriority w:val="99"/>
    <w:semiHidden/>
    <w:unhideWhenUsed/>
    <w:rsid w:val="00F26A4C"/>
    <w:pPr>
      <w:spacing w:line="240" w:lineRule="auto"/>
    </w:pPr>
    <w:rPr>
      <w:sz w:val="20"/>
      <w:szCs w:val="20"/>
    </w:rPr>
  </w:style>
  <w:style w:type="character" w:customStyle="1" w:styleId="CommentTextChar">
    <w:name w:val="Comment Text Char"/>
    <w:basedOn w:val="DefaultParagraphFont"/>
    <w:link w:val="CommentText"/>
    <w:uiPriority w:val="99"/>
    <w:semiHidden/>
    <w:rsid w:val="00F26A4C"/>
    <w:rPr>
      <w:sz w:val="20"/>
      <w:szCs w:val="20"/>
    </w:rPr>
  </w:style>
  <w:style w:type="paragraph" w:styleId="CommentSubject">
    <w:name w:val="annotation subject"/>
    <w:basedOn w:val="CommentText"/>
    <w:next w:val="CommentText"/>
    <w:link w:val="CommentSubjectChar"/>
    <w:uiPriority w:val="99"/>
    <w:semiHidden/>
    <w:unhideWhenUsed/>
    <w:rsid w:val="00F26A4C"/>
    <w:rPr>
      <w:b/>
      <w:bCs/>
    </w:rPr>
  </w:style>
  <w:style w:type="character" w:customStyle="1" w:styleId="CommentSubjectChar">
    <w:name w:val="Comment Subject Char"/>
    <w:basedOn w:val="CommentTextChar"/>
    <w:link w:val="CommentSubject"/>
    <w:uiPriority w:val="99"/>
    <w:semiHidden/>
    <w:rsid w:val="00F26A4C"/>
    <w:rPr>
      <w:b/>
      <w:bCs/>
      <w:sz w:val="20"/>
      <w:szCs w:val="20"/>
    </w:rPr>
  </w:style>
  <w:style w:type="character" w:styleId="FollowedHyperlink">
    <w:name w:val="FollowedHyperlink"/>
    <w:basedOn w:val="DefaultParagraphFont"/>
    <w:uiPriority w:val="99"/>
    <w:semiHidden/>
    <w:unhideWhenUsed/>
    <w:rsid w:val="00A14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arwick.ac.uk/services/legalandcomplianceservices/dataprotection/privacynotices/student-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wick.ac.uk/insura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arwick.ac.uk/services/studentopportunity/studentmobility/studyabroad/turing/" TargetMode="External"/><Relationship Id="rId4" Type="http://schemas.openxmlformats.org/officeDocument/2006/relationships/webSettings" Target="webSettings.xml"/><Relationship Id="rId9" Type="http://schemas.openxmlformats.org/officeDocument/2006/relationships/hyperlink" Target="https://www.turing-scheme.org.uk/wp-content/uploads/Turing-Scheme-Programme-Guid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5395</Characters>
  <Application>Microsoft Office Word</Application>
  <DocSecurity>0</DocSecurity>
  <Lines>449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Maria</dc:creator>
  <cp:keywords/>
  <dc:description/>
  <cp:lastModifiedBy>Fox, Maria</cp:lastModifiedBy>
  <cp:revision>2</cp:revision>
  <dcterms:created xsi:type="dcterms:W3CDTF">2022-10-04T11:08:00Z</dcterms:created>
  <dcterms:modified xsi:type="dcterms:W3CDTF">2022-10-04T11:08:00Z</dcterms:modified>
</cp:coreProperties>
</file>