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B57B64" w:rsidRPr="00B57B64" w:rsidRDefault="00B57B64" w:rsidP="00B57B64">
      <w:pPr>
        <w:autoSpaceDE w:val="0"/>
        <w:autoSpaceDN w:val="0"/>
        <w:adjustRightInd w:val="0"/>
        <w:jc w:val="center"/>
        <w:rPr>
          <w:rFonts w:ascii="Verdana" w:hAnsi="Verdana" w:cs="Arial"/>
          <w:b/>
          <w:bCs/>
          <w:sz w:val="22"/>
          <w:szCs w:val="22"/>
          <w:lang w:eastAsia="en-US"/>
        </w:rPr>
      </w:pPr>
      <w:r w:rsidRPr="00B57B64">
        <w:rPr>
          <w:rFonts w:ascii="Verdana" w:hAnsi="Verdana"/>
          <w:sz w:val="22"/>
          <w:szCs w:val="22"/>
          <w:lang w:eastAsia="en-US"/>
        </w:rPr>
        <w:object w:dxaOrig="4575" w:dyaOrig="15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6pt;height:75.6pt" o:ole="">
            <v:imagedata r:id="rId8" o:title=""/>
          </v:shape>
          <o:OLEObject Type="Embed" ProgID="PBrush" ShapeID="_x0000_i1025" DrawAspect="Content" ObjectID="_1550050581" r:id="rId9"/>
        </w:object>
      </w:r>
    </w:p>
    <w:p w:rsidR="00B57B64" w:rsidRPr="00B57B64" w:rsidRDefault="00B57B64" w:rsidP="00456FEC">
      <w:pPr>
        <w:autoSpaceDE w:val="0"/>
        <w:autoSpaceDN w:val="0"/>
        <w:adjustRightInd w:val="0"/>
        <w:rPr>
          <w:rFonts w:ascii="Verdana" w:hAnsi="Verdana" w:cs="Arial"/>
          <w:b/>
          <w:bCs/>
          <w:sz w:val="22"/>
          <w:szCs w:val="22"/>
          <w:lang w:eastAsia="en-US"/>
        </w:rPr>
      </w:pPr>
    </w:p>
    <w:p w:rsidR="008E2D64" w:rsidRPr="00B57B64" w:rsidRDefault="008E2D64" w:rsidP="00B57B64">
      <w:pPr>
        <w:pStyle w:val="Heading1"/>
      </w:pPr>
      <w:r w:rsidRPr="00B57B64">
        <w:t>Guidance for Good Practice:</w:t>
      </w:r>
      <w:r w:rsidR="00B57B64" w:rsidRPr="00B57B64">
        <w:t xml:space="preserve"> </w:t>
      </w:r>
      <w:r w:rsidRPr="00B57B64">
        <w:t>Institutional Marking Practices for Dyslexic Students</w:t>
      </w:r>
    </w:p>
    <w:p w:rsidR="0067094C" w:rsidRDefault="0067094C">
      <w:pPr>
        <w:pStyle w:val="TOC2"/>
        <w:tabs>
          <w:tab w:val="right" w:leader="dot" w:pos="9016"/>
        </w:tabs>
        <w:rPr>
          <w:noProof/>
        </w:rPr>
      </w:pPr>
      <w:r>
        <w:rPr>
          <w:lang w:eastAsia="en-US"/>
        </w:rPr>
        <w:fldChar w:fldCharType="begin"/>
      </w:r>
      <w:r>
        <w:rPr>
          <w:lang w:eastAsia="en-US"/>
        </w:rPr>
        <w:instrText xml:space="preserve"> TOC \o "2-2" \h \z \u \t "Title,1" </w:instrText>
      </w:r>
      <w:r>
        <w:rPr>
          <w:lang w:eastAsia="en-US"/>
        </w:rPr>
        <w:fldChar w:fldCharType="separate"/>
      </w:r>
      <w:hyperlink w:anchor="_Toc445911613" w:history="1">
        <w:r w:rsidRPr="00DA0795">
          <w:rPr>
            <w:rStyle w:val="Hyperlink"/>
            <w:noProof/>
            <w:lang w:eastAsia="en-US"/>
          </w:rPr>
          <w:t>Background</w:t>
        </w:r>
        <w:r>
          <w:rPr>
            <w:noProof/>
            <w:webHidden/>
          </w:rPr>
          <w:tab/>
        </w:r>
        <w:r>
          <w:rPr>
            <w:noProof/>
            <w:webHidden/>
          </w:rPr>
          <w:fldChar w:fldCharType="begin"/>
        </w:r>
        <w:r>
          <w:rPr>
            <w:noProof/>
            <w:webHidden/>
          </w:rPr>
          <w:instrText xml:space="preserve"> PAGEREF _Toc445911613 \h </w:instrText>
        </w:r>
        <w:r>
          <w:rPr>
            <w:noProof/>
            <w:webHidden/>
          </w:rPr>
        </w:r>
        <w:r>
          <w:rPr>
            <w:noProof/>
            <w:webHidden/>
          </w:rPr>
          <w:fldChar w:fldCharType="separate"/>
        </w:r>
        <w:r>
          <w:rPr>
            <w:noProof/>
            <w:webHidden/>
          </w:rPr>
          <w:t>1</w:t>
        </w:r>
        <w:r>
          <w:rPr>
            <w:noProof/>
            <w:webHidden/>
          </w:rPr>
          <w:fldChar w:fldCharType="end"/>
        </w:r>
      </w:hyperlink>
    </w:p>
    <w:p w:rsidR="0067094C" w:rsidRDefault="009D0379">
      <w:pPr>
        <w:pStyle w:val="TOC2"/>
        <w:tabs>
          <w:tab w:val="right" w:leader="dot" w:pos="9016"/>
        </w:tabs>
        <w:rPr>
          <w:noProof/>
        </w:rPr>
      </w:pPr>
      <w:hyperlink w:anchor="_Toc445911614" w:history="1">
        <w:r w:rsidR="0067094C" w:rsidRPr="00DA0795">
          <w:rPr>
            <w:rStyle w:val="Hyperlink"/>
            <w:noProof/>
            <w:lang w:eastAsia="en-US"/>
          </w:rPr>
          <w:t>Academic Standards</w:t>
        </w:r>
        <w:r w:rsidR="0067094C">
          <w:rPr>
            <w:noProof/>
            <w:webHidden/>
          </w:rPr>
          <w:tab/>
        </w:r>
        <w:r w:rsidR="0067094C">
          <w:rPr>
            <w:noProof/>
            <w:webHidden/>
          </w:rPr>
          <w:fldChar w:fldCharType="begin"/>
        </w:r>
        <w:r w:rsidR="0067094C">
          <w:rPr>
            <w:noProof/>
            <w:webHidden/>
          </w:rPr>
          <w:instrText xml:space="preserve"> PAGEREF _Toc445911614 \h </w:instrText>
        </w:r>
        <w:r w:rsidR="0067094C">
          <w:rPr>
            <w:noProof/>
            <w:webHidden/>
          </w:rPr>
        </w:r>
        <w:r w:rsidR="0067094C">
          <w:rPr>
            <w:noProof/>
            <w:webHidden/>
          </w:rPr>
          <w:fldChar w:fldCharType="separate"/>
        </w:r>
        <w:r w:rsidR="0067094C">
          <w:rPr>
            <w:noProof/>
            <w:webHidden/>
          </w:rPr>
          <w:t>2</w:t>
        </w:r>
        <w:r w:rsidR="0067094C">
          <w:rPr>
            <w:noProof/>
            <w:webHidden/>
          </w:rPr>
          <w:fldChar w:fldCharType="end"/>
        </w:r>
      </w:hyperlink>
    </w:p>
    <w:p w:rsidR="0067094C" w:rsidRDefault="009D0379">
      <w:pPr>
        <w:pStyle w:val="TOC2"/>
        <w:tabs>
          <w:tab w:val="right" w:leader="dot" w:pos="9016"/>
        </w:tabs>
        <w:rPr>
          <w:noProof/>
        </w:rPr>
      </w:pPr>
      <w:hyperlink w:anchor="_Toc445911615" w:history="1">
        <w:r w:rsidR="0067094C" w:rsidRPr="00DA0795">
          <w:rPr>
            <w:rStyle w:val="Hyperlink"/>
            <w:noProof/>
            <w:lang w:eastAsia="en-US"/>
          </w:rPr>
          <w:t>Marking with due consideration for the effects of dyslexia</w:t>
        </w:r>
        <w:r w:rsidR="0067094C">
          <w:rPr>
            <w:noProof/>
            <w:webHidden/>
          </w:rPr>
          <w:tab/>
        </w:r>
        <w:r w:rsidR="0067094C">
          <w:rPr>
            <w:noProof/>
            <w:webHidden/>
          </w:rPr>
          <w:fldChar w:fldCharType="begin"/>
        </w:r>
        <w:r w:rsidR="0067094C">
          <w:rPr>
            <w:noProof/>
            <w:webHidden/>
          </w:rPr>
          <w:instrText xml:space="preserve"> PAGEREF _Toc445911615 \h </w:instrText>
        </w:r>
        <w:r w:rsidR="0067094C">
          <w:rPr>
            <w:noProof/>
            <w:webHidden/>
          </w:rPr>
        </w:r>
        <w:r w:rsidR="0067094C">
          <w:rPr>
            <w:noProof/>
            <w:webHidden/>
          </w:rPr>
          <w:fldChar w:fldCharType="separate"/>
        </w:r>
        <w:r w:rsidR="0067094C">
          <w:rPr>
            <w:noProof/>
            <w:webHidden/>
          </w:rPr>
          <w:t>3</w:t>
        </w:r>
        <w:r w:rsidR="0067094C">
          <w:rPr>
            <w:noProof/>
            <w:webHidden/>
          </w:rPr>
          <w:fldChar w:fldCharType="end"/>
        </w:r>
      </w:hyperlink>
    </w:p>
    <w:p w:rsidR="0067094C" w:rsidRDefault="009D0379">
      <w:pPr>
        <w:pStyle w:val="TOC2"/>
        <w:tabs>
          <w:tab w:val="right" w:leader="dot" w:pos="9016"/>
        </w:tabs>
        <w:rPr>
          <w:noProof/>
        </w:rPr>
      </w:pPr>
      <w:hyperlink w:anchor="_Toc445911616" w:history="1">
        <w:r w:rsidR="0067094C" w:rsidRPr="00DA0795">
          <w:rPr>
            <w:rStyle w:val="Hyperlink"/>
            <w:noProof/>
            <w:lang w:eastAsia="en-US"/>
          </w:rPr>
          <w:t>Coursework and examinations differentiation</w:t>
        </w:r>
        <w:r w:rsidR="0067094C">
          <w:rPr>
            <w:noProof/>
            <w:webHidden/>
          </w:rPr>
          <w:tab/>
        </w:r>
        <w:r w:rsidR="0067094C">
          <w:rPr>
            <w:noProof/>
            <w:webHidden/>
          </w:rPr>
          <w:fldChar w:fldCharType="begin"/>
        </w:r>
        <w:r w:rsidR="0067094C">
          <w:rPr>
            <w:noProof/>
            <w:webHidden/>
          </w:rPr>
          <w:instrText xml:space="preserve"> PAGEREF _Toc445911616 \h </w:instrText>
        </w:r>
        <w:r w:rsidR="0067094C">
          <w:rPr>
            <w:noProof/>
            <w:webHidden/>
          </w:rPr>
        </w:r>
        <w:r w:rsidR="0067094C">
          <w:rPr>
            <w:noProof/>
            <w:webHidden/>
          </w:rPr>
          <w:fldChar w:fldCharType="separate"/>
        </w:r>
        <w:r w:rsidR="0067094C">
          <w:rPr>
            <w:noProof/>
            <w:webHidden/>
          </w:rPr>
          <w:t>3</w:t>
        </w:r>
        <w:r w:rsidR="0067094C">
          <w:rPr>
            <w:noProof/>
            <w:webHidden/>
          </w:rPr>
          <w:fldChar w:fldCharType="end"/>
        </w:r>
      </w:hyperlink>
    </w:p>
    <w:p w:rsidR="0067094C" w:rsidRDefault="009D0379">
      <w:pPr>
        <w:pStyle w:val="TOC2"/>
        <w:tabs>
          <w:tab w:val="right" w:leader="dot" w:pos="9016"/>
        </w:tabs>
        <w:rPr>
          <w:noProof/>
        </w:rPr>
      </w:pPr>
      <w:hyperlink w:anchor="_Toc445911617" w:history="1">
        <w:r w:rsidR="0067094C" w:rsidRPr="00DA0795">
          <w:rPr>
            <w:rStyle w:val="Hyperlink"/>
            <w:noProof/>
            <w:lang w:eastAsia="en-US"/>
          </w:rPr>
          <w:t>Examinations</w:t>
        </w:r>
        <w:r w:rsidR="0067094C">
          <w:rPr>
            <w:noProof/>
            <w:webHidden/>
          </w:rPr>
          <w:tab/>
        </w:r>
        <w:r w:rsidR="0067094C">
          <w:rPr>
            <w:noProof/>
            <w:webHidden/>
          </w:rPr>
          <w:fldChar w:fldCharType="begin"/>
        </w:r>
        <w:r w:rsidR="0067094C">
          <w:rPr>
            <w:noProof/>
            <w:webHidden/>
          </w:rPr>
          <w:instrText xml:space="preserve"> PAGEREF _Toc445911617 \h </w:instrText>
        </w:r>
        <w:r w:rsidR="0067094C">
          <w:rPr>
            <w:noProof/>
            <w:webHidden/>
          </w:rPr>
        </w:r>
        <w:r w:rsidR="0067094C">
          <w:rPr>
            <w:noProof/>
            <w:webHidden/>
          </w:rPr>
          <w:fldChar w:fldCharType="separate"/>
        </w:r>
        <w:r w:rsidR="0067094C">
          <w:rPr>
            <w:noProof/>
            <w:webHidden/>
          </w:rPr>
          <w:t>3</w:t>
        </w:r>
        <w:r w:rsidR="0067094C">
          <w:rPr>
            <w:noProof/>
            <w:webHidden/>
          </w:rPr>
          <w:fldChar w:fldCharType="end"/>
        </w:r>
      </w:hyperlink>
    </w:p>
    <w:p w:rsidR="0067094C" w:rsidRDefault="009D0379">
      <w:pPr>
        <w:pStyle w:val="TOC2"/>
        <w:tabs>
          <w:tab w:val="right" w:leader="dot" w:pos="9016"/>
        </w:tabs>
        <w:rPr>
          <w:noProof/>
        </w:rPr>
      </w:pPr>
      <w:hyperlink w:anchor="_Toc445911618" w:history="1">
        <w:r w:rsidR="0067094C" w:rsidRPr="00DA0795">
          <w:rPr>
            <w:rStyle w:val="Hyperlink"/>
            <w:noProof/>
            <w:lang w:eastAsia="en-US"/>
          </w:rPr>
          <w:t>Coursework</w:t>
        </w:r>
        <w:r w:rsidR="0067094C">
          <w:rPr>
            <w:noProof/>
            <w:webHidden/>
          </w:rPr>
          <w:tab/>
        </w:r>
        <w:r w:rsidR="0067094C">
          <w:rPr>
            <w:noProof/>
            <w:webHidden/>
          </w:rPr>
          <w:fldChar w:fldCharType="begin"/>
        </w:r>
        <w:r w:rsidR="0067094C">
          <w:rPr>
            <w:noProof/>
            <w:webHidden/>
          </w:rPr>
          <w:instrText xml:space="preserve"> PAGEREF _Toc445911618 \h </w:instrText>
        </w:r>
        <w:r w:rsidR="0067094C">
          <w:rPr>
            <w:noProof/>
            <w:webHidden/>
          </w:rPr>
        </w:r>
        <w:r w:rsidR="0067094C">
          <w:rPr>
            <w:noProof/>
            <w:webHidden/>
          </w:rPr>
          <w:fldChar w:fldCharType="separate"/>
        </w:r>
        <w:r w:rsidR="0067094C">
          <w:rPr>
            <w:noProof/>
            <w:webHidden/>
          </w:rPr>
          <w:t>3</w:t>
        </w:r>
        <w:r w:rsidR="0067094C">
          <w:rPr>
            <w:noProof/>
            <w:webHidden/>
          </w:rPr>
          <w:fldChar w:fldCharType="end"/>
        </w:r>
      </w:hyperlink>
    </w:p>
    <w:p w:rsidR="0067094C" w:rsidRDefault="009D0379">
      <w:pPr>
        <w:pStyle w:val="TOC2"/>
        <w:tabs>
          <w:tab w:val="right" w:leader="dot" w:pos="9016"/>
        </w:tabs>
        <w:rPr>
          <w:noProof/>
        </w:rPr>
      </w:pPr>
      <w:hyperlink w:anchor="_Toc445911619" w:history="1">
        <w:r w:rsidR="0067094C" w:rsidRPr="00DA0795">
          <w:rPr>
            <w:rStyle w:val="Hyperlink"/>
            <w:noProof/>
            <w:lang w:eastAsia="en-US"/>
          </w:rPr>
          <w:t>Subject and Professional Differentiation</w:t>
        </w:r>
        <w:r w:rsidR="0067094C">
          <w:rPr>
            <w:noProof/>
            <w:webHidden/>
          </w:rPr>
          <w:tab/>
        </w:r>
        <w:r w:rsidR="0067094C">
          <w:rPr>
            <w:noProof/>
            <w:webHidden/>
          </w:rPr>
          <w:fldChar w:fldCharType="begin"/>
        </w:r>
        <w:r w:rsidR="0067094C">
          <w:rPr>
            <w:noProof/>
            <w:webHidden/>
          </w:rPr>
          <w:instrText xml:space="preserve"> PAGEREF _Toc445911619 \h </w:instrText>
        </w:r>
        <w:r w:rsidR="0067094C">
          <w:rPr>
            <w:noProof/>
            <w:webHidden/>
          </w:rPr>
        </w:r>
        <w:r w:rsidR="0067094C">
          <w:rPr>
            <w:noProof/>
            <w:webHidden/>
          </w:rPr>
          <w:fldChar w:fldCharType="separate"/>
        </w:r>
        <w:r w:rsidR="0067094C">
          <w:rPr>
            <w:noProof/>
            <w:webHidden/>
          </w:rPr>
          <w:t>4</w:t>
        </w:r>
        <w:r w:rsidR="0067094C">
          <w:rPr>
            <w:noProof/>
            <w:webHidden/>
          </w:rPr>
          <w:fldChar w:fldCharType="end"/>
        </w:r>
      </w:hyperlink>
    </w:p>
    <w:p w:rsidR="0067094C" w:rsidRDefault="009D0379">
      <w:pPr>
        <w:pStyle w:val="TOC2"/>
        <w:tabs>
          <w:tab w:val="right" w:leader="dot" w:pos="9016"/>
        </w:tabs>
        <w:rPr>
          <w:noProof/>
        </w:rPr>
      </w:pPr>
      <w:hyperlink w:anchor="_Toc445911620" w:history="1">
        <w:r w:rsidR="0067094C" w:rsidRPr="00DA0795">
          <w:rPr>
            <w:rStyle w:val="Hyperlink"/>
            <w:noProof/>
            <w:lang w:eastAsia="en-US"/>
          </w:rPr>
          <w:t>Alternative Forms of Assessment</w:t>
        </w:r>
        <w:r w:rsidR="0067094C">
          <w:rPr>
            <w:noProof/>
            <w:webHidden/>
          </w:rPr>
          <w:tab/>
        </w:r>
        <w:r w:rsidR="0067094C">
          <w:rPr>
            <w:noProof/>
            <w:webHidden/>
          </w:rPr>
          <w:fldChar w:fldCharType="begin"/>
        </w:r>
        <w:r w:rsidR="0067094C">
          <w:rPr>
            <w:noProof/>
            <w:webHidden/>
          </w:rPr>
          <w:instrText xml:space="preserve"> PAGEREF _Toc445911620 \h </w:instrText>
        </w:r>
        <w:r w:rsidR="0067094C">
          <w:rPr>
            <w:noProof/>
            <w:webHidden/>
          </w:rPr>
        </w:r>
        <w:r w:rsidR="0067094C">
          <w:rPr>
            <w:noProof/>
            <w:webHidden/>
          </w:rPr>
          <w:fldChar w:fldCharType="separate"/>
        </w:r>
        <w:r w:rsidR="0067094C">
          <w:rPr>
            <w:noProof/>
            <w:webHidden/>
          </w:rPr>
          <w:t>5</w:t>
        </w:r>
        <w:r w:rsidR="0067094C">
          <w:rPr>
            <w:noProof/>
            <w:webHidden/>
          </w:rPr>
          <w:fldChar w:fldCharType="end"/>
        </w:r>
      </w:hyperlink>
    </w:p>
    <w:p w:rsidR="0067094C" w:rsidRDefault="009D0379">
      <w:pPr>
        <w:pStyle w:val="TOC2"/>
        <w:tabs>
          <w:tab w:val="right" w:leader="dot" w:pos="9016"/>
        </w:tabs>
        <w:rPr>
          <w:noProof/>
        </w:rPr>
      </w:pPr>
      <w:hyperlink w:anchor="_Toc445911621" w:history="1">
        <w:r w:rsidR="0067094C" w:rsidRPr="00DA0795">
          <w:rPr>
            <w:rStyle w:val="Hyperlink"/>
            <w:noProof/>
            <w:lang w:eastAsia="en-US"/>
          </w:rPr>
          <w:t>The importance of detailed and specific general marking guidelines</w:t>
        </w:r>
        <w:r w:rsidR="0067094C">
          <w:rPr>
            <w:noProof/>
            <w:webHidden/>
          </w:rPr>
          <w:tab/>
        </w:r>
        <w:r w:rsidR="0067094C">
          <w:rPr>
            <w:noProof/>
            <w:webHidden/>
          </w:rPr>
          <w:fldChar w:fldCharType="begin"/>
        </w:r>
        <w:r w:rsidR="0067094C">
          <w:rPr>
            <w:noProof/>
            <w:webHidden/>
          </w:rPr>
          <w:instrText xml:space="preserve"> PAGEREF _Toc445911621 \h </w:instrText>
        </w:r>
        <w:r w:rsidR="0067094C">
          <w:rPr>
            <w:noProof/>
            <w:webHidden/>
          </w:rPr>
        </w:r>
        <w:r w:rsidR="0067094C">
          <w:rPr>
            <w:noProof/>
            <w:webHidden/>
          </w:rPr>
          <w:fldChar w:fldCharType="separate"/>
        </w:r>
        <w:r w:rsidR="0067094C">
          <w:rPr>
            <w:noProof/>
            <w:webHidden/>
          </w:rPr>
          <w:t>6</w:t>
        </w:r>
        <w:r w:rsidR="0067094C">
          <w:rPr>
            <w:noProof/>
            <w:webHidden/>
          </w:rPr>
          <w:fldChar w:fldCharType="end"/>
        </w:r>
      </w:hyperlink>
    </w:p>
    <w:p w:rsidR="0067094C" w:rsidRDefault="009D0379">
      <w:pPr>
        <w:pStyle w:val="TOC2"/>
        <w:tabs>
          <w:tab w:val="right" w:leader="dot" w:pos="9016"/>
        </w:tabs>
        <w:rPr>
          <w:noProof/>
        </w:rPr>
      </w:pPr>
      <w:hyperlink w:anchor="_Toc445911622" w:history="1">
        <w:r w:rsidR="0067094C" w:rsidRPr="00DA0795">
          <w:rPr>
            <w:rStyle w:val="Hyperlink"/>
            <w:noProof/>
            <w:lang w:eastAsia="en-US"/>
          </w:rPr>
          <w:t>References</w:t>
        </w:r>
        <w:r w:rsidR="0067094C">
          <w:rPr>
            <w:noProof/>
            <w:webHidden/>
          </w:rPr>
          <w:tab/>
        </w:r>
        <w:r w:rsidR="0067094C">
          <w:rPr>
            <w:noProof/>
            <w:webHidden/>
          </w:rPr>
          <w:fldChar w:fldCharType="begin"/>
        </w:r>
        <w:r w:rsidR="0067094C">
          <w:rPr>
            <w:noProof/>
            <w:webHidden/>
          </w:rPr>
          <w:instrText xml:space="preserve"> PAGEREF _Toc445911622 \h </w:instrText>
        </w:r>
        <w:r w:rsidR="0067094C">
          <w:rPr>
            <w:noProof/>
            <w:webHidden/>
          </w:rPr>
        </w:r>
        <w:r w:rsidR="0067094C">
          <w:rPr>
            <w:noProof/>
            <w:webHidden/>
          </w:rPr>
          <w:fldChar w:fldCharType="separate"/>
        </w:r>
        <w:r w:rsidR="0067094C">
          <w:rPr>
            <w:noProof/>
            <w:webHidden/>
          </w:rPr>
          <w:t>6</w:t>
        </w:r>
        <w:r w:rsidR="0067094C">
          <w:rPr>
            <w:noProof/>
            <w:webHidden/>
          </w:rPr>
          <w:fldChar w:fldCharType="end"/>
        </w:r>
      </w:hyperlink>
    </w:p>
    <w:p w:rsidR="008E2D64" w:rsidRPr="00B57B64" w:rsidRDefault="0067094C" w:rsidP="0067094C">
      <w:pPr>
        <w:pStyle w:val="Heading2"/>
        <w:rPr>
          <w:lang w:eastAsia="en-US"/>
        </w:rPr>
      </w:pPr>
      <w:r>
        <w:rPr>
          <w:lang w:eastAsia="en-US"/>
        </w:rPr>
        <w:fldChar w:fldCharType="end"/>
      </w:r>
      <w:bookmarkStart w:id="1" w:name="_Toc445911613"/>
      <w:r w:rsidR="008E2D64" w:rsidRPr="00B57B64">
        <w:rPr>
          <w:lang w:eastAsia="en-US"/>
        </w:rPr>
        <w:t>Background</w:t>
      </w:r>
      <w:bookmarkEnd w:id="1"/>
    </w:p>
    <w:p w:rsidR="008E2D64" w:rsidRPr="00B57B64" w:rsidRDefault="00B57B64" w:rsidP="00B57B64">
      <w:pPr>
        <w:autoSpaceDE w:val="0"/>
        <w:autoSpaceDN w:val="0"/>
        <w:adjustRightInd w:val="0"/>
        <w:rPr>
          <w:rFonts w:ascii="Verdana" w:hAnsi="Verdana"/>
          <w:sz w:val="22"/>
          <w:szCs w:val="22"/>
        </w:rPr>
      </w:pPr>
      <w:r w:rsidRPr="00B57B64">
        <w:rPr>
          <w:rFonts w:ascii="Verdana" w:hAnsi="Verdana"/>
          <w:sz w:val="22"/>
          <w:szCs w:val="22"/>
        </w:rPr>
        <w:t>T</w:t>
      </w:r>
      <w:r w:rsidR="008E2D64" w:rsidRPr="00B57B64">
        <w:rPr>
          <w:rFonts w:ascii="Verdana" w:hAnsi="Verdana"/>
          <w:iCs/>
          <w:sz w:val="22"/>
          <w:szCs w:val="22"/>
        </w:rPr>
        <w:t xml:space="preserve">he </w:t>
      </w:r>
      <w:r w:rsidRPr="00B57B64">
        <w:rPr>
          <w:rFonts w:ascii="Verdana" w:hAnsi="Verdana" w:cs="Arial"/>
          <w:sz w:val="22"/>
          <w:szCs w:val="22"/>
          <w:lang w:eastAsia="en-US"/>
        </w:rPr>
        <w:t xml:space="preserve">Equality Act 2010 maintains </w:t>
      </w:r>
      <w:r w:rsidRPr="00B57B64">
        <w:rPr>
          <w:rFonts w:ascii="Verdana" w:hAnsi="Verdana"/>
          <w:iCs/>
          <w:sz w:val="22"/>
          <w:szCs w:val="22"/>
        </w:rPr>
        <w:t xml:space="preserve">the </w:t>
      </w:r>
      <w:r w:rsidR="008E2D64" w:rsidRPr="00B57B64">
        <w:rPr>
          <w:rFonts w:ascii="Verdana" w:hAnsi="Verdana"/>
          <w:sz w:val="22"/>
          <w:szCs w:val="22"/>
        </w:rPr>
        <w:t xml:space="preserve">obligation </w:t>
      </w:r>
      <w:r w:rsidRPr="00B57B64">
        <w:rPr>
          <w:rFonts w:ascii="Verdana" w:hAnsi="Verdana"/>
          <w:sz w:val="22"/>
          <w:szCs w:val="22"/>
        </w:rPr>
        <w:t xml:space="preserve">on institutions </w:t>
      </w:r>
      <w:r w:rsidR="008E2D64" w:rsidRPr="00B57B64">
        <w:rPr>
          <w:rFonts w:ascii="Verdana" w:hAnsi="Verdana"/>
          <w:sz w:val="22"/>
          <w:szCs w:val="22"/>
        </w:rPr>
        <w:t>not to discriminate against disabled students (including SpLD students) by subjecting them to 'less favourable treatment' or by failing to make a reasonable adjustment to policies, procedures, provisions or the physical environment, in order to overcome a disadvantage encountered by a disabled student. Adjustments should be made where they enable disabled students to demonstrate the achievement of the learning outcomes that the institution requires to be shown for the award of credit and/or qualifications.</w:t>
      </w:r>
    </w:p>
    <w:p w:rsidR="008E2D64" w:rsidRPr="00B57B64" w:rsidRDefault="008E2D64" w:rsidP="00854699">
      <w:pPr>
        <w:autoSpaceDE w:val="0"/>
        <w:autoSpaceDN w:val="0"/>
        <w:adjustRightInd w:val="0"/>
        <w:rPr>
          <w:rFonts w:ascii="Verdana" w:hAnsi="Verdana" w:cs="Arial"/>
          <w:sz w:val="22"/>
          <w:szCs w:val="22"/>
          <w:lang w:eastAsia="en-US"/>
        </w:rPr>
      </w:pPr>
    </w:p>
    <w:p w:rsidR="008E2D64" w:rsidRPr="00B57B64" w:rsidRDefault="00B57B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T</w:t>
      </w:r>
      <w:r w:rsidR="008E2D64" w:rsidRPr="00B57B64">
        <w:rPr>
          <w:rFonts w:ascii="Verdana" w:hAnsi="Verdana" w:cs="Arial"/>
          <w:sz w:val="22"/>
          <w:szCs w:val="22"/>
          <w:lang w:eastAsia="en-US"/>
        </w:rPr>
        <w:t>he QAA revised Code of Practice for the assurance of academic quality and standards in higher education (2010) confirms that:</w:t>
      </w:r>
    </w:p>
    <w:p w:rsidR="008E2D64" w:rsidRPr="00B57B64" w:rsidRDefault="008E2D64" w:rsidP="00B57B64">
      <w:pPr>
        <w:autoSpaceDE w:val="0"/>
        <w:autoSpaceDN w:val="0"/>
        <w:adjustRightInd w:val="0"/>
        <w:ind w:left="720" w:right="804"/>
        <w:rPr>
          <w:rStyle w:val="Strong"/>
          <w:rFonts w:ascii="Verdana" w:hAnsi="Verdana"/>
          <w:b w:val="0"/>
          <w:bCs w:val="0"/>
          <w:sz w:val="22"/>
          <w:szCs w:val="22"/>
        </w:rPr>
      </w:pPr>
      <w:r w:rsidRPr="00B57B64">
        <w:rPr>
          <w:rStyle w:val="Strong"/>
          <w:rFonts w:ascii="Verdana" w:hAnsi="Verdana"/>
          <w:b w:val="0"/>
          <w:bCs w:val="0"/>
          <w:sz w:val="22"/>
          <w:szCs w:val="22"/>
        </w:rPr>
        <w:t>The educational disadvantage and exclusion faced by many disabled people is not an inevitable result of their impairments or health conditions, but arises from social, attitud</w:t>
      </w:r>
      <w:r w:rsidR="00B57B64">
        <w:rPr>
          <w:rStyle w:val="Strong"/>
          <w:rFonts w:ascii="Verdana" w:hAnsi="Verdana"/>
          <w:b w:val="0"/>
          <w:bCs w:val="0"/>
          <w:sz w:val="22"/>
          <w:szCs w:val="22"/>
        </w:rPr>
        <w:t>inal and environmental barriers</w:t>
      </w:r>
      <w:r w:rsidRPr="00B57B64">
        <w:rPr>
          <w:rStyle w:val="Strong"/>
          <w:rFonts w:ascii="Verdana" w:hAnsi="Verdana"/>
          <w:b w:val="0"/>
          <w:bCs w:val="0"/>
          <w:sz w:val="22"/>
          <w:szCs w:val="22"/>
        </w:rPr>
        <w:t xml:space="preserve"> (precept 1)</w:t>
      </w:r>
    </w:p>
    <w:p w:rsidR="008E2D64" w:rsidRPr="00B57B64" w:rsidRDefault="008E2D64" w:rsidP="00456FEC">
      <w:pPr>
        <w:autoSpaceDE w:val="0"/>
        <w:autoSpaceDN w:val="0"/>
        <w:adjustRightInd w:val="0"/>
        <w:rPr>
          <w:rStyle w:val="Strong"/>
          <w:rFonts w:ascii="Verdana" w:hAnsi="Verdana"/>
          <w:sz w:val="22"/>
          <w:szCs w:val="22"/>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sz w:val="22"/>
          <w:szCs w:val="22"/>
        </w:rPr>
        <w:t>These are general statements about students with impairments and not specifically about dyslexic students.  T</w:t>
      </w:r>
      <w:r w:rsidRPr="00B57B64">
        <w:rPr>
          <w:rFonts w:ascii="Verdana" w:hAnsi="Verdana" w:cs="Arial"/>
          <w:sz w:val="22"/>
          <w:szCs w:val="22"/>
          <w:lang w:eastAsia="en-US"/>
        </w:rPr>
        <w:t xml:space="preserve">he Singleton Report: Dyslexia in Higher Education (1999) supported the view that academic staff should discount as far as possible errors in spelling, grammar and punctuation in dyslexic students’ work, and that marking instead should be based on content, ideas and critical acumen (Singleton </w:t>
      </w:r>
      <w:r w:rsidRPr="00B57B64">
        <w:rPr>
          <w:rFonts w:ascii="Verdana" w:hAnsi="Verdana" w:cs="Arial"/>
          <w:i/>
          <w:iCs/>
          <w:sz w:val="22"/>
          <w:szCs w:val="22"/>
          <w:lang w:eastAsia="en-US"/>
        </w:rPr>
        <w:t>et al</w:t>
      </w:r>
      <w:r w:rsidRPr="00B57B64">
        <w:rPr>
          <w:rFonts w:ascii="Verdana" w:hAnsi="Verdana" w:cs="Arial"/>
          <w:sz w:val="22"/>
          <w:szCs w:val="22"/>
          <w:lang w:eastAsia="en-US"/>
        </w:rPr>
        <w:t>, 1999).</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Weaknesses exhibited in writing are explicable in terms of the nature of the student’s Specific Learning Difficulty (SpLD).  Institutions therefore need to consider the best way of ensuring that dyslexic learners are not disadvantaged by the assessment process. </w:t>
      </w:r>
    </w:p>
    <w:p w:rsidR="008E2D64" w:rsidRPr="00B57B64" w:rsidRDefault="008E2D64"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lastRenderedPageBreak/>
        <w:t>This document asserts that consideration should be given to dyslexic students in the marking of their work. This is not an easy or straightforward proposal and there are a number of arguments and issues that surround this question. It is not the intention of this paper to suggest a policy that is applicable to all institutions, as circumstances related to specific institutions, subject areas and courses need to be considered. There are, however, a number of guiding principles and issues that need to be explored when attempting to develop such procedures.</w:t>
      </w:r>
    </w:p>
    <w:p w:rsidR="008E2D64" w:rsidRPr="00B57B64" w:rsidRDefault="008E2D64" w:rsidP="0067094C">
      <w:pPr>
        <w:pStyle w:val="Heading2"/>
        <w:rPr>
          <w:lang w:eastAsia="en-US"/>
        </w:rPr>
      </w:pPr>
      <w:bookmarkStart w:id="2" w:name="_Toc445911614"/>
      <w:r w:rsidRPr="00B57B64">
        <w:rPr>
          <w:lang w:eastAsia="en-US"/>
        </w:rPr>
        <w:t>Academic Standards</w:t>
      </w:r>
      <w:bookmarkEnd w:id="2"/>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Assessors in Higher Education are naturally concerned about compromising academic standards when making allowances for dyslexia in the marking of coursework or examination scripts. They should be reassured that ever since SENDA, the need to maintain academic standards is a fundamental premise within the law. In fact, the terms of possible justification for treating a disabled student less favourably than other students include the “necessity to maintain academic standards or the necessity to maintain standards of any other prescribed kind or occurring under prescribed circumstances.”</w:t>
      </w:r>
    </w:p>
    <w:p w:rsidR="00B57B64" w:rsidRPr="00B57B64" w:rsidRDefault="00B57B64"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However, it is the way that learning outcomes are defined and assessed that are crucial.</w:t>
      </w:r>
    </w:p>
    <w:p w:rsidR="00B57B64" w:rsidRDefault="00B57B64" w:rsidP="00F425F6">
      <w:pPr>
        <w:autoSpaceDE w:val="0"/>
        <w:autoSpaceDN w:val="0"/>
        <w:adjustRightInd w:val="0"/>
        <w:rPr>
          <w:rStyle w:val="Strong"/>
          <w:rFonts w:ascii="Verdana" w:hAnsi="Verdana"/>
          <w:b w:val="0"/>
          <w:bCs w:val="0"/>
          <w:sz w:val="22"/>
          <w:szCs w:val="22"/>
        </w:rPr>
      </w:pPr>
      <w:r>
        <w:rPr>
          <w:rStyle w:val="Strong"/>
          <w:rFonts w:ascii="Verdana" w:hAnsi="Verdana"/>
          <w:b w:val="0"/>
          <w:bCs w:val="0"/>
          <w:sz w:val="22"/>
          <w:szCs w:val="22"/>
        </w:rPr>
        <w:t xml:space="preserve">QAA take the view that </w:t>
      </w:r>
    </w:p>
    <w:p w:rsidR="008E2D64" w:rsidRPr="00B57B64" w:rsidRDefault="008E2D64" w:rsidP="00B57B64">
      <w:pPr>
        <w:autoSpaceDE w:val="0"/>
        <w:autoSpaceDN w:val="0"/>
        <w:adjustRightInd w:val="0"/>
        <w:ind w:left="720" w:right="946"/>
        <w:rPr>
          <w:rFonts w:ascii="Verdana" w:hAnsi="Verdana"/>
          <w:sz w:val="22"/>
          <w:szCs w:val="22"/>
        </w:rPr>
      </w:pPr>
      <w:r w:rsidRPr="00B57B64">
        <w:rPr>
          <w:rStyle w:val="Strong"/>
          <w:rFonts w:ascii="Verdana" w:hAnsi="Verdana"/>
          <w:b w:val="0"/>
          <w:bCs w:val="0"/>
          <w:sz w:val="22"/>
          <w:szCs w:val="22"/>
        </w:rPr>
        <w:t>academic assessment practices must ensure that disabled students are given the opportunity to demonstrate the achievement of learning ou</w:t>
      </w:r>
      <w:r w:rsidR="00B57B64" w:rsidRPr="00B57B64">
        <w:rPr>
          <w:rStyle w:val="Strong"/>
          <w:rFonts w:ascii="Verdana" w:hAnsi="Verdana"/>
          <w:b w:val="0"/>
          <w:bCs w:val="0"/>
          <w:sz w:val="22"/>
          <w:szCs w:val="22"/>
        </w:rPr>
        <w:t>tcomes and competence standards</w:t>
      </w:r>
      <w:r w:rsidR="00B57B64">
        <w:rPr>
          <w:rStyle w:val="Strong"/>
          <w:rFonts w:ascii="Verdana" w:hAnsi="Verdana"/>
          <w:b w:val="0"/>
          <w:bCs w:val="0"/>
          <w:sz w:val="22"/>
          <w:szCs w:val="22"/>
        </w:rPr>
        <w:t xml:space="preserve">  [precept 12] and </w:t>
      </w:r>
      <w:r w:rsidRPr="00B57B64">
        <w:rPr>
          <w:rStyle w:val="Strong"/>
          <w:rFonts w:ascii="Verdana" w:hAnsi="Verdana"/>
          <w:b w:val="0"/>
          <w:bCs w:val="0"/>
          <w:sz w:val="22"/>
          <w:szCs w:val="22"/>
        </w:rPr>
        <w:t>w</w:t>
      </w:r>
      <w:r w:rsidRPr="00B57B64">
        <w:rPr>
          <w:rFonts w:ascii="Verdana" w:hAnsi="Verdana"/>
          <w:sz w:val="22"/>
          <w:szCs w:val="22"/>
        </w:rPr>
        <w:t>hilst there is no duty to make any adjustment to a competence standard itself, the duty does apply to the assessment of that standard, that is, to the process of enabling a student to demonstr</w:t>
      </w:r>
      <w:r w:rsidR="00B57B64">
        <w:rPr>
          <w:rFonts w:ascii="Verdana" w:hAnsi="Verdana"/>
          <w:sz w:val="22"/>
          <w:szCs w:val="22"/>
        </w:rPr>
        <w:t>ate that they meet the standard</w:t>
      </w:r>
      <w:r w:rsidRPr="00B57B64">
        <w:rPr>
          <w:rFonts w:ascii="Verdana" w:hAnsi="Verdana"/>
          <w:sz w:val="22"/>
          <w:szCs w:val="22"/>
        </w:rPr>
        <w:t>.</w:t>
      </w:r>
    </w:p>
    <w:p w:rsidR="008E2D64" w:rsidRPr="00B57B64" w:rsidRDefault="008E2D64" w:rsidP="00F425F6">
      <w:pPr>
        <w:autoSpaceDE w:val="0"/>
        <w:autoSpaceDN w:val="0"/>
        <w:adjustRightInd w:val="0"/>
        <w:rPr>
          <w:rFonts w:ascii="Verdana" w:hAnsi="Verdana"/>
          <w:sz w:val="22"/>
          <w:szCs w:val="22"/>
        </w:rPr>
      </w:pPr>
    </w:p>
    <w:p w:rsidR="008E2D64" w:rsidRPr="00B57B64" w:rsidRDefault="008E2D64" w:rsidP="0067094C">
      <w:pPr>
        <w:autoSpaceDE w:val="0"/>
        <w:autoSpaceDN w:val="0"/>
        <w:adjustRightInd w:val="0"/>
        <w:rPr>
          <w:rFonts w:ascii="Verdana" w:hAnsi="Verdana"/>
          <w:sz w:val="22"/>
          <w:szCs w:val="22"/>
        </w:rPr>
      </w:pPr>
      <w:r w:rsidRPr="00B57B64">
        <w:rPr>
          <w:rFonts w:ascii="Verdana" w:hAnsi="Verdana"/>
          <w:sz w:val="22"/>
          <w:szCs w:val="22"/>
        </w:rPr>
        <w:t>Reasonable adjustments (e.g. extra time, using a word processor or a scribe) can be applied to the process, and alternative assessments can be devised to permit demonstration of attainment of the learning outcome.</w:t>
      </w:r>
      <w:r w:rsidR="0067094C">
        <w:rPr>
          <w:rFonts w:ascii="Verdana" w:hAnsi="Verdana"/>
          <w:sz w:val="22"/>
          <w:szCs w:val="22"/>
        </w:rPr>
        <w:t xml:space="preserve"> </w:t>
      </w:r>
      <w:r w:rsidRPr="00B57B64">
        <w:rPr>
          <w:rFonts w:ascii="Verdana" w:hAnsi="Verdana"/>
          <w:sz w:val="22"/>
          <w:szCs w:val="22"/>
        </w:rPr>
        <w:t>Learning outcomes must be specified in ways that do not discriminate – they should focus on justifiable skills in handling knowledge – the requirement to handwrite, speak or visual observe may be essential in some circumstance, but generally alternatives are possible.</w:t>
      </w:r>
    </w:p>
    <w:p w:rsidR="008E2D64" w:rsidRPr="00B57B64" w:rsidRDefault="008E2D64"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The purpose of coursework and examinations is for students to demonstrate knowledge and understanding. There must be no difference in the requirement for students with dyslexia to provide evidence of learning than for their peers. </w:t>
      </w:r>
    </w:p>
    <w:p w:rsidR="008E2D64" w:rsidRPr="00B57B64" w:rsidRDefault="008E2D64" w:rsidP="0067094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If</w:t>
      </w:r>
      <w:r w:rsidR="0067094C">
        <w:rPr>
          <w:rFonts w:ascii="Verdana" w:hAnsi="Verdana" w:cs="Arial"/>
          <w:sz w:val="22"/>
          <w:szCs w:val="22"/>
          <w:lang w:eastAsia="en-US"/>
        </w:rPr>
        <w:t>,</w:t>
      </w:r>
      <w:r w:rsidRPr="00B57B64">
        <w:rPr>
          <w:rFonts w:ascii="Verdana" w:hAnsi="Verdana" w:cs="Arial"/>
          <w:sz w:val="22"/>
          <w:szCs w:val="22"/>
          <w:lang w:eastAsia="en-US"/>
        </w:rPr>
        <w:t xml:space="preserve"> when all possible reasonable adjustments have been made, a dyslexic student is not able to demonstrate academic competence as prescribed by the course requirements, he or she will not be able to complete the course successfully.</w:t>
      </w:r>
      <w:r w:rsidR="0067094C">
        <w:rPr>
          <w:rFonts w:ascii="Verdana" w:hAnsi="Verdana" w:cs="Arial"/>
          <w:sz w:val="22"/>
          <w:szCs w:val="22"/>
          <w:lang w:eastAsia="en-US"/>
        </w:rPr>
        <w:t xml:space="preserve"> </w:t>
      </w:r>
      <w:r w:rsidRPr="00B57B64">
        <w:rPr>
          <w:rFonts w:ascii="Verdana" w:hAnsi="Verdana" w:cs="Arial"/>
          <w:sz w:val="22"/>
          <w:szCs w:val="22"/>
          <w:lang w:eastAsia="en-US"/>
        </w:rPr>
        <w:t>Reasonable adjustments, which in the case of students with dyslexia may include differential marking criteria, cannot involve failure to penalise lack of knowledge.</w:t>
      </w:r>
      <w:r w:rsidR="0067094C">
        <w:rPr>
          <w:rFonts w:ascii="Verdana" w:hAnsi="Verdana" w:cs="Arial"/>
          <w:sz w:val="22"/>
          <w:szCs w:val="22"/>
          <w:lang w:eastAsia="en-US"/>
        </w:rPr>
        <w:t xml:space="preserve"> </w:t>
      </w:r>
      <w:r w:rsidRPr="00B57B64">
        <w:rPr>
          <w:rFonts w:ascii="Verdana" w:hAnsi="Verdana" w:cs="Arial"/>
          <w:sz w:val="22"/>
          <w:szCs w:val="22"/>
          <w:lang w:eastAsia="en-US"/>
        </w:rPr>
        <w:t>However, as a direct result of their specific learning difficulty, the standard of written work of students with dyslexia may differ from that of their peers, and it is these subtle differences for which assessors may need to make adjustments.</w:t>
      </w:r>
    </w:p>
    <w:p w:rsidR="008E2D64" w:rsidRPr="00B57B64" w:rsidRDefault="008E2D64" w:rsidP="0067094C">
      <w:pPr>
        <w:pStyle w:val="Heading2"/>
        <w:rPr>
          <w:lang w:eastAsia="en-US"/>
        </w:rPr>
      </w:pPr>
      <w:bookmarkStart w:id="3" w:name="_Toc445911615"/>
      <w:r w:rsidRPr="00B57B64">
        <w:rPr>
          <w:lang w:eastAsia="en-US"/>
        </w:rPr>
        <w:lastRenderedPageBreak/>
        <w:t>Marking with due consideration for the effects of dyslexia</w:t>
      </w:r>
      <w:bookmarkEnd w:id="3"/>
    </w:p>
    <w:p w:rsidR="008E2D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To ensure that students with dyslexia are not treated less favourably than other students for reasons of their disability it is important that assessors are aware of the manifestations of dyslexia in Higher Education. They will then be able to give due consideration to dyslexia-related factors when marking coursework or examination scripts.</w:t>
      </w:r>
    </w:p>
    <w:p w:rsidR="0067094C" w:rsidRPr="00B57B64" w:rsidRDefault="0067094C"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Students with dyslexia typically experience difficulty producing written work as  quickly as other students; they are likely to make more spelling errors even in word processed work; their punctuation and grammar may be weak and they often omit, repeat or insert small function words or word endings. While not without structure, dyslexic students’ written assignments may lack the “polish” demonstrated by their peers. Assessors might reasonably, in normal circumstances, consider such work “shoddy” or careless, and might deduct marks for poor presentation. However, in the case of dyslexic students, such errors should be understood and overlooked unless accuracy is of vital importance in the subject being assessed (see subject differentiation below).</w:t>
      </w:r>
    </w:p>
    <w:p w:rsidR="008E2D64" w:rsidRPr="00B57B64" w:rsidRDefault="008E2D64" w:rsidP="00456FEC">
      <w:pPr>
        <w:autoSpaceDE w:val="0"/>
        <w:autoSpaceDN w:val="0"/>
        <w:adjustRightInd w:val="0"/>
        <w:rPr>
          <w:rFonts w:ascii="Verdana" w:hAnsi="Verdana" w:cs="Arial"/>
          <w:b/>
          <w:bCs/>
          <w:sz w:val="22"/>
          <w:szCs w:val="22"/>
          <w:lang w:eastAsia="en-US"/>
        </w:rPr>
      </w:pPr>
    </w:p>
    <w:p w:rsidR="008E2D64" w:rsidRPr="00B57B64" w:rsidRDefault="008E2D64" w:rsidP="0067094C">
      <w:pPr>
        <w:pStyle w:val="Heading2"/>
        <w:rPr>
          <w:lang w:eastAsia="en-US"/>
        </w:rPr>
      </w:pPr>
      <w:bookmarkStart w:id="4" w:name="_Toc445911616"/>
      <w:r w:rsidRPr="00B57B64">
        <w:rPr>
          <w:lang w:eastAsia="en-US"/>
        </w:rPr>
        <w:t>Coursework and examinations differentiation</w:t>
      </w:r>
      <w:bookmarkEnd w:id="4"/>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There are differing views on whether coursework and examinations undertaken by dyslexic students should be treated in a similar way. </w:t>
      </w:r>
    </w:p>
    <w:p w:rsidR="008E2D64" w:rsidRPr="00B57B64" w:rsidRDefault="008E2D64" w:rsidP="0067094C">
      <w:pPr>
        <w:pStyle w:val="Heading2"/>
        <w:rPr>
          <w:lang w:eastAsia="en-US"/>
        </w:rPr>
      </w:pPr>
      <w:bookmarkStart w:id="5" w:name="_Toc445911617"/>
      <w:r w:rsidRPr="00B57B64">
        <w:rPr>
          <w:lang w:eastAsia="en-US"/>
        </w:rPr>
        <w:t>Examinations</w:t>
      </w:r>
      <w:bookmarkEnd w:id="5"/>
      <w:r w:rsidRPr="00B57B64">
        <w:rPr>
          <w:lang w:eastAsia="en-US"/>
        </w:rPr>
        <w:t xml:space="preserve"> </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One school of thought argues that the extra time (and any other adjustments such as readers, scribes etc) granted to dyslexic candidates in an examination should be sufficient adjustment. However, the provision of extra time in examinations is often to allow for slower processing or memory recall, or slower handwriting; the dyslexic candidate is likely to make only marginal improvements to spelling, grammar and punctuation and will continue to exhibit difficulties with written expression.  The Singleton Report (1999) argues that examiners marking the work of a dyslexic candidate should be alerted to those difficulties and take them into consideration when marking. As most universities employ anonymous marking [for example via the student’s ID number] flagging a script as that of a dyslexic student poses little risk of identifying the individual and without this the dyslexic candidate will be unfairly discriminated against. Students should however be given the option of whether or not to flag their work for markers. </w:t>
      </w:r>
    </w:p>
    <w:p w:rsidR="008E2D64" w:rsidRPr="00B57B64" w:rsidRDefault="008E2D64" w:rsidP="0067094C">
      <w:pPr>
        <w:pStyle w:val="Heading2"/>
        <w:rPr>
          <w:lang w:eastAsia="en-US"/>
        </w:rPr>
      </w:pPr>
      <w:bookmarkStart w:id="6" w:name="_Toc445911618"/>
      <w:r w:rsidRPr="00B57B64">
        <w:rPr>
          <w:lang w:eastAsia="en-US"/>
        </w:rPr>
        <w:t>Coursework</w:t>
      </w:r>
      <w:bookmarkEnd w:id="6"/>
    </w:p>
    <w:p w:rsidR="008E2D64" w:rsidRPr="00B57B64" w:rsidRDefault="008E2D64" w:rsidP="0067094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There are similar concerns expressed over differentiated marking for coursework and assignments. In some HEIs the coursework of students with SpLDs is not flagged as it is assumed that, without the time constraints of the exam, students are able to spend more time and to use the full range of assisti</w:t>
      </w:r>
      <w:r w:rsidR="0067094C">
        <w:rPr>
          <w:rFonts w:ascii="Verdana" w:hAnsi="Verdana" w:cs="Arial"/>
          <w:sz w:val="22"/>
          <w:szCs w:val="22"/>
          <w:lang w:eastAsia="en-US"/>
        </w:rPr>
        <w:t>ve technology to ‘proof</w:t>
      </w:r>
      <w:r w:rsidRPr="00B57B64">
        <w:rPr>
          <w:rFonts w:ascii="Verdana" w:hAnsi="Verdana" w:cs="Arial"/>
          <w:sz w:val="22"/>
          <w:szCs w:val="22"/>
          <w:lang w:eastAsia="en-US"/>
        </w:rPr>
        <w:t>read</w:t>
      </w:r>
      <w:r w:rsidR="0067094C">
        <w:rPr>
          <w:rFonts w:ascii="Verdana" w:hAnsi="Verdana" w:cs="Arial"/>
          <w:sz w:val="22"/>
          <w:szCs w:val="22"/>
          <w:lang w:eastAsia="en-US"/>
        </w:rPr>
        <w:t xml:space="preserve">’ and edit </w:t>
      </w:r>
      <w:r w:rsidRPr="00B57B64">
        <w:rPr>
          <w:rFonts w:ascii="Verdana" w:hAnsi="Verdana" w:cs="Arial"/>
          <w:sz w:val="22"/>
          <w:szCs w:val="22"/>
          <w:lang w:eastAsia="en-US"/>
        </w:rPr>
        <w:t>their own work or to access support from specialist dyslexia tutors. Accordingly all students should have access to these opportunities whether through the DSA or through the institution’s obligation to provide accessible and inclusive learning. Thus, with support mechanisms in place, the dyslexic student should be on a par with non-dyslexic colleagues.</w:t>
      </w:r>
    </w:p>
    <w:p w:rsidR="008E2D64" w:rsidRPr="00B57B64" w:rsidRDefault="008E2D64"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However, it is a common misunderstanding that the role of the dyslexia tutor is to correct errors in their students’ work. The dyslexia tutor is employed to </w:t>
      </w:r>
      <w:r w:rsidRPr="00B57B64">
        <w:rPr>
          <w:rFonts w:ascii="Verdana" w:hAnsi="Verdana" w:cs="Arial"/>
          <w:i/>
          <w:iCs/>
          <w:sz w:val="22"/>
          <w:szCs w:val="22"/>
          <w:lang w:eastAsia="en-US"/>
        </w:rPr>
        <w:t xml:space="preserve">teach </w:t>
      </w:r>
      <w:r w:rsidRPr="00B57B64">
        <w:rPr>
          <w:rFonts w:ascii="Verdana" w:hAnsi="Verdana" w:cs="Arial"/>
          <w:sz w:val="22"/>
          <w:szCs w:val="22"/>
          <w:lang w:eastAsia="en-US"/>
        </w:rPr>
        <w:t xml:space="preserve">the dyslexic student to develop strategies that they can employ themselves and become independent; the role is </w:t>
      </w:r>
      <w:r w:rsidRPr="00B57B64">
        <w:rPr>
          <w:rFonts w:ascii="Verdana" w:hAnsi="Verdana" w:cs="Arial"/>
          <w:b/>
          <w:i/>
          <w:iCs/>
          <w:sz w:val="22"/>
          <w:szCs w:val="22"/>
          <w:lang w:eastAsia="en-US"/>
        </w:rPr>
        <w:t>not</w:t>
      </w:r>
      <w:r w:rsidRPr="00B57B64">
        <w:rPr>
          <w:rFonts w:ascii="Verdana" w:hAnsi="Verdana" w:cs="Arial"/>
          <w:i/>
          <w:iCs/>
          <w:sz w:val="22"/>
          <w:szCs w:val="22"/>
          <w:lang w:eastAsia="en-US"/>
        </w:rPr>
        <w:t xml:space="preserve"> </w:t>
      </w:r>
      <w:r w:rsidRPr="00B57B64">
        <w:rPr>
          <w:rFonts w:ascii="Verdana" w:hAnsi="Verdana" w:cs="Arial"/>
          <w:sz w:val="22"/>
          <w:szCs w:val="22"/>
          <w:lang w:eastAsia="en-US"/>
        </w:rPr>
        <w:t xml:space="preserve">to proofread a student’s work. In reality, even with the use of assistive technology and support from a dyslexia tutor, many students with dyslexia will still be unable to correct their errors despite their best efforts. Many students with SpLDs do not have access to a dyslexia tutor.  Flagging up coursework compensates for these disparities. </w:t>
      </w:r>
    </w:p>
    <w:p w:rsidR="008E2D64" w:rsidRPr="00B57B64" w:rsidRDefault="008E2D64" w:rsidP="0067094C">
      <w:pPr>
        <w:pStyle w:val="Heading2"/>
        <w:rPr>
          <w:lang w:eastAsia="en-US"/>
        </w:rPr>
      </w:pPr>
      <w:bookmarkStart w:id="7" w:name="_Toc445911619"/>
      <w:r w:rsidRPr="00B57B64">
        <w:rPr>
          <w:lang w:eastAsia="en-US"/>
        </w:rPr>
        <w:t>Subject and Professional Differentiation</w:t>
      </w:r>
      <w:bookmarkEnd w:id="7"/>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One of the important principles of disability legislation is that any accommodation made for the dyslexic candidate should not undermine academic standards. The issue of differential marking may pose more difficulties for some subject areas than others. Certain subject areas (e.g. languages) may be explicitly assessing competence with grammar, spelling and written expression. There may also be professional considerations in some areas, such as law, education, medicine and allied subjects, where accrediting bodies external to the institution have expectations as to standards and formats of written expression.  Competency standards must not be compromised, but the way they are assessed should be differentiated.</w:t>
      </w:r>
    </w:p>
    <w:p w:rsidR="0067094C" w:rsidRDefault="0067094C" w:rsidP="00456FEC">
      <w:pPr>
        <w:autoSpaceDE w:val="0"/>
        <w:autoSpaceDN w:val="0"/>
        <w:adjustRightInd w:val="0"/>
        <w:rPr>
          <w:rFonts w:ascii="Verdana" w:hAnsi="Verdana" w:cs="Arial"/>
          <w:sz w:val="22"/>
          <w:szCs w:val="22"/>
          <w:lang w:eastAsia="en-US"/>
        </w:rPr>
      </w:pPr>
    </w:p>
    <w:p w:rsidR="008E2D64" w:rsidRPr="00B57B64" w:rsidRDefault="0067094C" w:rsidP="0067094C">
      <w:pPr>
        <w:autoSpaceDE w:val="0"/>
        <w:autoSpaceDN w:val="0"/>
        <w:adjustRightInd w:val="0"/>
        <w:rPr>
          <w:rFonts w:ascii="Verdana" w:hAnsi="Verdana" w:cs="Arial"/>
          <w:sz w:val="22"/>
          <w:szCs w:val="22"/>
          <w:lang w:eastAsia="en-US"/>
        </w:rPr>
      </w:pPr>
      <w:r>
        <w:rPr>
          <w:rFonts w:ascii="Verdana" w:hAnsi="Verdana" w:cs="Arial"/>
          <w:sz w:val="22"/>
          <w:szCs w:val="22"/>
          <w:lang w:eastAsia="en-US"/>
        </w:rPr>
        <w:t>These decisions need to be made at institutional or faculty  level, not by individual members of staff.</w:t>
      </w:r>
      <w:r w:rsidR="008E2D64" w:rsidRPr="00B57B64">
        <w:rPr>
          <w:rFonts w:ascii="Verdana" w:hAnsi="Verdana" w:cs="Arial"/>
          <w:sz w:val="22"/>
          <w:szCs w:val="22"/>
          <w:lang w:eastAsia="en-US"/>
        </w:rPr>
        <w:t xml:space="preserve"> Each programme needs to have clear aims and objectives, taking into consideration professional considerations. QAA </w:t>
      </w:r>
      <w:r>
        <w:rPr>
          <w:rFonts w:ascii="Verdana" w:hAnsi="Verdana" w:cs="Arial"/>
          <w:sz w:val="22"/>
          <w:szCs w:val="22"/>
          <w:lang w:eastAsia="en-US"/>
        </w:rPr>
        <w:t>(2010) states that s</w:t>
      </w:r>
      <w:r w:rsidR="008E2D64" w:rsidRPr="00B57B64">
        <w:rPr>
          <w:rFonts w:ascii="Verdana" w:hAnsi="Verdana"/>
          <w:sz w:val="22"/>
          <w:szCs w:val="22"/>
        </w:rPr>
        <w:t>taff should be a</w:t>
      </w:r>
      <w:r>
        <w:rPr>
          <w:rFonts w:ascii="Verdana" w:hAnsi="Verdana"/>
          <w:sz w:val="22"/>
          <w:szCs w:val="22"/>
        </w:rPr>
        <w:t>ware of their anticipatory duty…</w:t>
      </w:r>
      <w:r w:rsidR="008E2D64" w:rsidRPr="00B57B64">
        <w:rPr>
          <w:rFonts w:ascii="Verdana" w:hAnsi="Verdana"/>
          <w:sz w:val="22"/>
          <w:szCs w:val="22"/>
        </w:rPr>
        <w:t xml:space="preserve">to provide flexible and inclusive approaches to learning and teaching to ensure that all students, including disabled students, are able to demonstrate that they meet intended learning outcomes and so minimise the need for reasonable adjustments. </w:t>
      </w:r>
      <w:r>
        <w:rPr>
          <w:rFonts w:ascii="Verdana" w:hAnsi="Verdana"/>
          <w:sz w:val="22"/>
          <w:szCs w:val="22"/>
        </w:rPr>
        <w:t xml:space="preserve">This is reiterated by BIS (2014) which seeks to integrate inclusive practice to reduce the need for adjustments. </w:t>
      </w:r>
      <w:r w:rsidR="008E2D64" w:rsidRPr="00B57B64">
        <w:rPr>
          <w:rFonts w:ascii="Verdana" w:hAnsi="Verdana"/>
          <w:sz w:val="22"/>
          <w:szCs w:val="22"/>
        </w:rPr>
        <w:t>Degree programmes and individual modules should be designed with the learning difficulties of dyslexic students in mind. Learning outcomes</w:t>
      </w:r>
      <w:r w:rsidR="008E2D64" w:rsidRPr="00B57B64">
        <w:rPr>
          <w:rFonts w:ascii="Verdana" w:hAnsi="Verdana" w:cs="Arial"/>
          <w:sz w:val="22"/>
          <w:szCs w:val="22"/>
          <w:lang w:eastAsia="en-US"/>
        </w:rPr>
        <w:t xml:space="preserve"> should give weighting to the importance of written language skills and thus consider the extent to which dyslexia, and any other disability, can be taken into consideration and the type of accommodation that can be allowed. The marking criteria need to be made explicit to all applicants to the course or programme.</w:t>
      </w:r>
    </w:p>
    <w:p w:rsidR="008E2D64" w:rsidRPr="00B57B64" w:rsidRDefault="008E2D64"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b/>
          <w:bCs/>
          <w:sz w:val="22"/>
          <w:szCs w:val="22"/>
          <w:lang w:eastAsia="en-US"/>
        </w:rPr>
      </w:pPr>
      <w:r w:rsidRPr="00B57B64">
        <w:rPr>
          <w:rFonts w:ascii="Verdana" w:hAnsi="Verdana" w:cs="Arial"/>
          <w:b/>
          <w:bCs/>
          <w:sz w:val="22"/>
          <w:szCs w:val="22"/>
          <w:lang w:eastAsia="en-US"/>
        </w:rPr>
        <w:t>Institutional Procedures</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Individual support needs of students with dyslexia vary, and the institution must ensure that support appropriate to the students’ needs is offered. Therefore, in order to ensure equity (i.e. that like cases receive the same treatment), it is important that institutions develop clear policies and procedures for the identification of students with dyslexia, and the evaluation of their support needs. Singleton </w:t>
      </w:r>
      <w:r w:rsidRPr="00B57B64">
        <w:rPr>
          <w:rFonts w:ascii="Verdana" w:hAnsi="Verdana" w:cs="Arial"/>
          <w:i/>
          <w:iCs/>
          <w:sz w:val="22"/>
          <w:szCs w:val="22"/>
          <w:lang w:eastAsia="en-US"/>
        </w:rPr>
        <w:t xml:space="preserve">et al </w:t>
      </w:r>
      <w:r w:rsidRPr="00B57B64">
        <w:rPr>
          <w:rFonts w:ascii="Verdana" w:hAnsi="Verdana" w:cs="Arial"/>
          <w:sz w:val="22"/>
          <w:szCs w:val="22"/>
          <w:lang w:eastAsia="en-US"/>
        </w:rPr>
        <w:t>(1999) recommends that a suitable</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member of staff is identified as the Dyslexia Coordinator</w:t>
      </w:r>
      <w:r w:rsidR="0067094C">
        <w:rPr>
          <w:rFonts w:ascii="Verdana" w:hAnsi="Verdana" w:cs="Arial"/>
          <w:sz w:val="22"/>
          <w:szCs w:val="22"/>
          <w:lang w:eastAsia="en-US"/>
        </w:rPr>
        <w:t xml:space="preserve"> (or similar title)</w:t>
      </w:r>
      <w:r w:rsidRPr="00B57B64">
        <w:rPr>
          <w:rFonts w:ascii="Verdana" w:hAnsi="Verdana" w:cs="Arial"/>
          <w:sz w:val="22"/>
          <w:szCs w:val="22"/>
          <w:lang w:eastAsia="en-US"/>
        </w:rPr>
        <w:t>, to coordinate support provision and help ensure parity of provision across the institution. It is proposed that any procedures developed should include the following elements:</w:t>
      </w:r>
    </w:p>
    <w:p w:rsidR="008E2D64" w:rsidRPr="00B57B64" w:rsidRDefault="008E2D64" w:rsidP="0046280A">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lastRenderedPageBreak/>
        <w:t>Students should be required to provide appropriate evidence of their dyslexia to the Dyslexia Coordinator</w:t>
      </w:r>
    </w:p>
    <w:p w:rsidR="008E2D64" w:rsidRPr="00B57B64" w:rsidRDefault="008E2D64" w:rsidP="0046280A">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Prior to disclosure of any information contained in the assessment (even within the institution) the student should give explicit consent to disclosure</w:t>
      </w:r>
    </w:p>
    <w:p w:rsidR="008E2D64" w:rsidRPr="00B57B64" w:rsidRDefault="008E2D64" w:rsidP="0046280A">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The Dyslexia Coordinator should recommend appropriate academic adjustments  in accordance with the nature of the individual’s learning profile</w:t>
      </w:r>
    </w:p>
    <w:p w:rsidR="008E2D64" w:rsidRPr="00B57B64" w:rsidRDefault="008E2D64" w:rsidP="00456FEC">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Recommendations for academic adjustments should be notified in writing to programme staff and any central assessment body, with a copy of this notification being issued to the student </w:t>
      </w:r>
    </w:p>
    <w:p w:rsidR="008E2D64" w:rsidRPr="00B57B64" w:rsidRDefault="008E2D64" w:rsidP="00456FEC">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it is also highly desirable that a central record is kept of any recommendations made, and that the effectiveness of the process is monitored. </w:t>
      </w:r>
    </w:p>
    <w:p w:rsidR="008E2D64" w:rsidRPr="0067094C" w:rsidRDefault="008E2D64" w:rsidP="0067094C">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In addition, to ensure all staff are aware of the issues, staff development should accompany the introduction of new procedures.</w:t>
      </w:r>
    </w:p>
    <w:p w:rsidR="008E2D64" w:rsidRPr="00B57B64" w:rsidRDefault="008E2D64" w:rsidP="0067094C">
      <w:pPr>
        <w:pStyle w:val="Heading2"/>
        <w:rPr>
          <w:lang w:eastAsia="en-US"/>
        </w:rPr>
      </w:pPr>
      <w:bookmarkStart w:id="8" w:name="_Toc445911620"/>
      <w:r w:rsidRPr="00B57B64">
        <w:rPr>
          <w:lang w:eastAsia="en-US"/>
        </w:rPr>
        <w:t>Alternative Forms of Assessment</w:t>
      </w:r>
      <w:bookmarkEnd w:id="8"/>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In the small number of cases where students are severely affected by dyslexia, the academic adjustments commonly made may not be sufficient to provide appropriate support. It could therefore be necessary to consider alternative modes of assessment – for example, a </w:t>
      </w:r>
      <w:r w:rsidRPr="00B57B64">
        <w:rPr>
          <w:rFonts w:ascii="Verdana" w:hAnsi="Verdana" w:cs="Arial"/>
          <w:i/>
          <w:iCs/>
          <w:sz w:val="22"/>
          <w:szCs w:val="22"/>
          <w:lang w:eastAsia="en-US"/>
        </w:rPr>
        <w:t xml:space="preserve">viva voce </w:t>
      </w:r>
      <w:r w:rsidRPr="00B57B64">
        <w:rPr>
          <w:rFonts w:ascii="Verdana" w:hAnsi="Verdana" w:cs="Arial"/>
          <w:sz w:val="22"/>
          <w:szCs w:val="22"/>
          <w:lang w:eastAsia="en-US"/>
        </w:rPr>
        <w:t>rather than written work. When deciding whether an alternative format for assessment is appropriate, it is important to consider the learning outcomes against which students are assessed. It may be the case that, due to professional requirements or the need to demonstrate a part</w:t>
      </w:r>
      <w:r w:rsidR="0067094C">
        <w:rPr>
          <w:rFonts w:ascii="Verdana" w:hAnsi="Verdana" w:cs="Arial"/>
          <w:sz w:val="22"/>
          <w:szCs w:val="22"/>
          <w:lang w:eastAsia="en-US"/>
        </w:rPr>
        <w:t>icular skill (for example, well-</w:t>
      </w:r>
      <w:r w:rsidRPr="00B57B64">
        <w:rPr>
          <w:rFonts w:ascii="Verdana" w:hAnsi="Verdana" w:cs="Arial"/>
          <w:sz w:val="22"/>
          <w:szCs w:val="22"/>
          <w:lang w:eastAsia="en-US"/>
        </w:rPr>
        <w:t xml:space="preserve">structured written arguments), alternative assessment cannot be offered. </w:t>
      </w:r>
    </w:p>
    <w:p w:rsidR="0067094C" w:rsidRDefault="0067094C"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The important aspect here is that consideration of alternative forms of assessment should be informed both by student need and the maintenance of academic standards/professional requirements. An unambiguous academic rationale should be available for the final decision, so that the student is clear about the grounds on which the alternative assessment was/was not arranged.</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When differential assessment is offered institutions should not disclose this to anyone outside the institution without the student’s consent. If, for example, such information is included in a reference, Singleton indicates that a positive approach should be adopted; that the student has had the opportunity to demonstrate knowledge. In cases where the student refuses permission to disclose, it may be that the referee cannot supply a reference.</w:t>
      </w:r>
    </w:p>
    <w:p w:rsidR="008E2D64" w:rsidRPr="00B57B64" w:rsidRDefault="008E2D64" w:rsidP="0067094C">
      <w:pPr>
        <w:pStyle w:val="Heading2"/>
        <w:rPr>
          <w:lang w:eastAsia="en-US"/>
        </w:rPr>
      </w:pPr>
      <w:bookmarkStart w:id="9" w:name="_Toc445911621"/>
      <w:r w:rsidRPr="00B57B64">
        <w:rPr>
          <w:lang w:eastAsia="en-US"/>
        </w:rPr>
        <w:t>The importance of detailed and specific general marking guidelines</w:t>
      </w:r>
      <w:bookmarkEnd w:id="9"/>
    </w:p>
    <w:p w:rsidR="008E2D64" w:rsidRPr="00B57B64" w:rsidRDefault="008E2D64" w:rsidP="0067094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It is good, and increasingly general practice for course coordinators to devise very clear marking criteria and guidelines for coursework and examinations, so that there is consistency between markers in the awarding of grades. Such guidelines normally stipulate the information and knowledge that needs to be conveyed in order to be </w:t>
      </w:r>
      <w:r w:rsidR="0067094C">
        <w:rPr>
          <w:rFonts w:ascii="Verdana" w:hAnsi="Verdana" w:cs="Arial"/>
          <w:sz w:val="22"/>
          <w:szCs w:val="22"/>
          <w:lang w:eastAsia="en-US"/>
        </w:rPr>
        <w:t>meet specified grade ranges</w:t>
      </w:r>
      <w:r w:rsidRPr="00B57B64">
        <w:rPr>
          <w:rFonts w:ascii="Verdana" w:hAnsi="Verdana" w:cs="Arial"/>
          <w:sz w:val="22"/>
          <w:szCs w:val="22"/>
          <w:lang w:eastAsia="en-US"/>
        </w:rPr>
        <w:t xml:space="preserve">. It is rare for spelling to be included as a marking criterion and therefore students, whether dyslexic or not, should not be penalised for spelling errors. The same would apply to minor inaccuracies and errors in punctuation frequently made by students with </w:t>
      </w:r>
      <w:r w:rsidRPr="00B57B64">
        <w:rPr>
          <w:rFonts w:ascii="Verdana" w:hAnsi="Verdana" w:cs="Arial"/>
          <w:sz w:val="22"/>
          <w:szCs w:val="22"/>
          <w:lang w:eastAsia="en-US"/>
        </w:rPr>
        <w:lastRenderedPageBreak/>
        <w:t>dyslexia. The same principle applies to other possible marking criteria such as grammar and punctuation. There should be no need to differentiate between</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the scripts of dyslexic and non-dyslexic students on the basis of these features of their writing if they are not being assessed explicitly. </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In subjects such as Pharmacology or English Language, in which correct spelling is deemed important, the number of marks that can be lost for poor spelling should be stipulated. Usually only a small percentage (2-5%) of marks is likely to be assigned to spelling. It may be therefore, that students with dyslexia will lose a small percentage of marks because of their weak spelling; but if spelling is important in their particular discipline, they may have to accept this. The emphasis for students in this situation will then shift from special accommodations to appropriate tuition so that they can develop the skills they need.</w:t>
      </w:r>
    </w:p>
    <w:p w:rsidR="0067094C" w:rsidRDefault="0067094C" w:rsidP="0046280A">
      <w:pPr>
        <w:autoSpaceDE w:val="0"/>
        <w:autoSpaceDN w:val="0"/>
        <w:adjustRightInd w:val="0"/>
        <w:rPr>
          <w:rFonts w:ascii="Verdana" w:hAnsi="Verdana" w:cs="Arial"/>
          <w:b/>
          <w:bCs/>
          <w:sz w:val="22"/>
          <w:szCs w:val="22"/>
          <w:lang w:eastAsia="en-US"/>
        </w:rPr>
      </w:pPr>
    </w:p>
    <w:p w:rsidR="008E2D64" w:rsidRPr="0067094C" w:rsidRDefault="0067094C" w:rsidP="0046280A">
      <w:pPr>
        <w:autoSpaceDE w:val="0"/>
        <w:autoSpaceDN w:val="0"/>
        <w:adjustRightInd w:val="0"/>
        <w:rPr>
          <w:rFonts w:ascii="Verdana" w:hAnsi="Verdana" w:cs="Arial"/>
          <w:i/>
          <w:iCs/>
          <w:sz w:val="22"/>
          <w:szCs w:val="22"/>
          <w:lang w:eastAsia="en-US"/>
        </w:rPr>
      </w:pPr>
      <w:r w:rsidRPr="0067094C">
        <w:rPr>
          <w:rFonts w:ascii="Verdana" w:hAnsi="Verdana" w:cs="Arial"/>
          <w:i/>
          <w:iCs/>
          <w:sz w:val="22"/>
          <w:szCs w:val="22"/>
          <w:lang w:eastAsia="en-US"/>
        </w:rPr>
        <w:t>This</w:t>
      </w:r>
      <w:r w:rsidR="008E2D64" w:rsidRPr="0067094C">
        <w:rPr>
          <w:rFonts w:ascii="Verdana" w:hAnsi="Verdana" w:cs="Arial"/>
          <w:i/>
          <w:iCs/>
          <w:sz w:val="22"/>
          <w:szCs w:val="22"/>
          <w:lang w:eastAsia="en-US"/>
        </w:rPr>
        <w:t xml:space="preserve"> document was adapted from the original guidance produced in 2003 in line with the later Disability Discrimination Act 2005 and the Equality Act 2010 and especially the QAA Code of Practice [section n3 disabled students] issued in 2010.</w:t>
      </w:r>
      <w:r w:rsidRPr="0067094C">
        <w:rPr>
          <w:rFonts w:ascii="Verdana" w:hAnsi="Verdana" w:cs="Arial"/>
          <w:i/>
          <w:iCs/>
          <w:sz w:val="22"/>
          <w:szCs w:val="22"/>
          <w:lang w:eastAsia="en-US"/>
        </w:rPr>
        <w:t xml:space="preserve"> The second revision follows the BIS changes to Disabled Students’ Allowances implemented in 2015. </w:t>
      </w:r>
    </w:p>
    <w:p w:rsidR="008E2D64" w:rsidRPr="00B57B64" w:rsidRDefault="008E2D64" w:rsidP="0067094C">
      <w:pPr>
        <w:pStyle w:val="Heading2"/>
        <w:rPr>
          <w:lang w:eastAsia="en-US"/>
        </w:rPr>
      </w:pPr>
      <w:bookmarkStart w:id="10" w:name="_Toc445911622"/>
      <w:r w:rsidRPr="00B57B64">
        <w:rPr>
          <w:lang w:eastAsia="en-US"/>
        </w:rPr>
        <w:t>References</w:t>
      </w:r>
      <w:bookmarkEnd w:id="10"/>
    </w:p>
    <w:p w:rsidR="008E2D64" w:rsidRDefault="008E2D64" w:rsidP="002D404D">
      <w:pPr>
        <w:pStyle w:val="Default"/>
        <w:rPr>
          <w:rFonts w:ascii="Verdana" w:hAnsi="Verdana"/>
          <w:sz w:val="22"/>
          <w:szCs w:val="22"/>
        </w:rPr>
      </w:pPr>
    </w:p>
    <w:p w:rsidR="0067094C" w:rsidRPr="00B57B64" w:rsidRDefault="0067094C" w:rsidP="002D404D">
      <w:pPr>
        <w:pStyle w:val="Default"/>
        <w:rPr>
          <w:rFonts w:ascii="Verdana" w:hAnsi="Verdana"/>
          <w:sz w:val="22"/>
          <w:szCs w:val="22"/>
        </w:rPr>
      </w:pPr>
      <w:r>
        <w:rPr>
          <w:rFonts w:ascii="Verdana" w:hAnsi="Verdana"/>
          <w:sz w:val="22"/>
          <w:szCs w:val="22"/>
        </w:rPr>
        <w:t xml:space="preserve">BIS (2014) </w:t>
      </w:r>
      <w:r w:rsidRPr="0067094C">
        <w:rPr>
          <w:rFonts w:ascii="Verdana" w:hAnsi="Verdana"/>
          <w:sz w:val="22"/>
          <w:szCs w:val="22"/>
        </w:rPr>
        <w:t>guidance_document_-_second_draft_for_publication_16.10.2014</w:t>
      </w:r>
      <w:r>
        <w:rPr>
          <w:rFonts w:ascii="Verdana" w:hAnsi="Verdana"/>
          <w:sz w:val="22"/>
          <w:szCs w:val="22"/>
        </w:rPr>
        <w:t xml:space="preserve"> </w:t>
      </w:r>
    </w:p>
    <w:p w:rsidR="0067094C" w:rsidRDefault="0067094C" w:rsidP="0067094C">
      <w:pPr>
        <w:autoSpaceDE w:val="0"/>
        <w:autoSpaceDN w:val="0"/>
        <w:adjustRightInd w:val="0"/>
        <w:rPr>
          <w:rStyle w:val="Hyperlink"/>
          <w:rFonts w:ascii="Verdana" w:hAnsi="Verdana" w:cs="Arial"/>
          <w:sz w:val="22"/>
          <w:szCs w:val="22"/>
          <w:lang w:val="fr-FR" w:eastAsia="en-US"/>
        </w:rPr>
      </w:pPr>
      <w:r w:rsidRPr="0067094C">
        <w:rPr>
          <w:rFonts w:ascii="Verdana" w:hAnsi="Verdana" w:cs="Arial"/>
          <w:sz w:val="22"/>
          <w:szCs w:val="22"/>
          <w:lang w:val="fr-FR" w:eastAsia="en-US"/>
        </w:rPr>
        <w:t xml:space="preserve">QAA COP section 3 </w:t>
      </w:r>
      <w:hyperlink r:id="rId10" w:history="1">
        <w:r w:rsidRPr="0067094C">
          <w:rPr>
            <w:rStyle w:val="Hyperlink"/>
            <w:rFonts w:ascii="Verdana" w:hAnsi="Verdana" w:cs="Arial"/>
            <w:sz w:val="22"/>
            <w:szCs w:val="22"/>
            <w:lang w:val="fr-FR" w:eastAsia="en-US"/>
          </w:rPr>
          <w:t>http://www.qaa.ac.uk/academicinfrastructure/codeOfPractice/section3/Section3Disabilities2010.asp</w:t>
        </w:r>
      </w:hyperlink>
    </w:p>
    <w:p w:rsidR="0067094C" w:rsidRPr="0067094C" w:rsidRDefault="0067094C" w:rsidP="0067094C">
      <w:pPr>
        <w:autoSpaceDE w:val="0"/>
        <w:autoSpaceDN w:val="0"/>
        <w:adjustRightInd w:val="0"/>
        <w:rPr>
          <w:rFonts w:ascii="Verdana" w:hAnsi="Verdana" w:cs="Arial"/>
          <w:sz w:val="22"/>
          <w:szCs w:val="22"/>
          <w:lang w:val="fr-FR" w:eastAsia="en-US"/>
        </w:rPr>
      </w:pPr>
    </w:p>
    <w:p w:rsidR="008E2D64" w:rsidRPr="00B57B64" w:rsidRDefault="008E2D64" w:rsidP="002D404D">
      <w:pPr>
        <w:pStyle w:val="Default"/>
        <w:spacing w:after="120"/>
        <w:ind w:left="420" w:hanging="420"/>
        <w:rPr>
          <w:rFonts w:ascii="Verdana" w:hAnsi="Verdana"/>
          <w:sz w:val="22"/>
          <w:szCs w:val="22"/>
        </w:rPr>
      </w:pPr>
      <w:r w:rsidRPr="00B57B64">
        <w:rPr>
          <w:rFonts w:ascii="Verdana" w:hAnsi="Verdana"/>
          <w:sz w:val="22"/>
          <w:szCs w:val="22"/>
        </w:rPr>
        <w:t xml:space="preserve">Singleton, C.H. (Chair) (1999) </w:t>
      </w:r>
      <w:r w:rsidRPr="00B57B64">
        <w:rPr>
          <w:rFonts w:ascii="Verdana" w:hAnsi="Verdana"/>
          <w:i/>
          <w:iCs/>
          <w:sz w:val="22"/>
          <w:szCs w:val="22"/>
        </w:rPr>
        <w:t>Dyslexia in Higher Education: policy, provision and practic</w:t>
      </w:r>
      <w:r w:rsidRPr="00B57B64">
        <w:rPr>
          <w:rFonts w:ascii="Verdana" w:hAnsi="Verdana"/>
          <w:sz w:val="22"/>
          <w:szCs w:val="22"/>
        </w:rPr>
        <w:t xml:space="preserve">e. (Report of the National Working Party on Dyslexia in Higher Education.) Hull: University of Hull on behalf of the Higher Education Funding Councils of England and Scotland. </w:t>
      </w:r>
    </w:p>
    <w:p w:rsidR="008E2D64" w:rsidRPr="00B57B64" w:rsidRDefault="008E2D64" w:rsidP="0046280A">
      <w:pPr>
        <w:autoSpaceDE w:val="0"/>
        <w:autoSpaceDN w:val="0"/>
        <w:adjustRightInd w:val="0"/>
        <w:rPr>
          <w:rFonts w:ascii="Verdana" w:hAnsi="Verdana" w:cs="Arial"/>
          <w:b/>
          <w:bCs/>
          <w:sz w:val="22"/>
          <w:szCs w:val="22"/>
          <w:lang w:val="en-US" w:eastAsia="en-US"/>
        </w:rPr>
      </w:pPr>
    </w:p>
    <w:p w:rsidR="008E2D64" w:rsidRPr="00B57B64" w:rsidRDefault="008E2D64" w:rsidP="0046280A">
      <w:pPr>
        <w:autoSpaceDE w:val="0"/>
        <w:autoSpaceDN w:val="0"/>
        <w:adjustRightInd w:val="0"/>
        <w:rPr>
          <w:rFonts w:ascii="Verdana" w:hAnsi="Verdana" w:cs="Arial"/>
          <w:b/>
          <w:bCs/>
          <w:sz w:val="22"/>
          <w:szCs w:val="22"/>
          <w:lang w:val="fr-FR" w:eastAsia="en-US"/>
        </w:rPr>
      </w:pPr>
    </w:p>
    <w:p w:rsidR="008E2D64" w:rsidRPr="00B57B64" w:rsidRDefault="008E2D64" w:rsidP="0046280A">
      <w:pPr>
        <w:autoSpaceDE w:val="0"/>
        <w:autoSpaceDN w:val="0"/>
        <w:adjustRightInd w:val="0"/>
        <w:rPr>
          <w:rFonts w:ascii="Verdana" w:hAnsi="Verdana" w:cs="Arial"/>
          <w:b/>
          <w:bCs/>
          <w:sz w:val="22"/>
          <w:szCs w:val="22"/>
          <w:lang w:val="fr-FR" w:eastAsia="en-US"/>
        </w:rPr>
      </w:pPr>
    </w:p>
    <w:sectPr w:rsidR="008E2D64" w:rsidRPr="00B57B64" w:rsidSect="008216D8">
      <w:headerReference w:type="even" r:id="rId11"/>
      <w:headerReference w:type="default" r:id="rId12"/>
      <w:footerReference w:type="default" r:id="rId13"/>
      <w:head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1DD6" w:rsidRDefault="00F91DD6">
      <w:r>
        <w:separator/>
      </w:r>
    </w:p>
  </w:endnote>
  <w:endnote w:type="continuationSeparator" w:id="0">
    <w:p w:rsidR="00F91DD6" w:rsidRDefault="00F91D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094C" w:rsidRDefault="0067094C" w:rsidP="00B57B64">
    <w:pPr>
      <w:pStyle w:val="Footer"/>
      <w:rPr>
        <w:sz w:val="20"/>
        <w:szCs w:val="20"/>
      </w:rPr>
    </w:pPr>
  </w:p>
  <w:p w:rsidR="00B57B64" w:rsidRPr="00B57B64" w:rsidRDefault="00B57B64" w:rsidP="00B57B64">
    <w:pPr>
      <w:pStyle w:val="Footer"/>
      <w:rPr>
        <w:sz w:val="20"/>
        <w:szCs w:val="20"/>
      </w:rPr>
    </w:pPr>
    <w:r w:rsidRPr="00B57B64">
      <w:rPr>
        <w:sz w:val="20"/>
        <w:szCs w:val="20"/>
      </w:rPr>
      <w:t xml:space="preserve">Prepared by John Conway and Judy Turner on behalf of ADSHE   July 2011 </w:t>
    </w:r>
  </w:p>
  <w:p w:rsidR="00B57B64" w:rsidRDefault="00B57B64" w:rsidP="00B57B64">
    <w:pPr>
      <w:pStyle w:val="Footer"/>
      <w:tabs>
        <w:tab w:val="left" w:pos="301"/>
        <w:tab w:val="right" w:pos="9026"/>
      </w:tabs>
    </w:pPr>
    <w:r w:rsidRPr="00B57B64">
      <w:rPr>
        <w:sz w:val="20"/>
        <w:szCs w:val="20"/>
      </w:rPr>
      <w:t xml:space="preserve">Revised by Jane Warren March 2016  </w:t>
    </w:r>
    <w:r>
      <w:t xml:space="preserve">  </w:t>
    </w:r>
    <w:r>
      <w:tab/>
    </w:r>
    <w:r>
      <w:tab/>
    </w:r>
    <w:r>
      <w:tab/>
    </w:r>
    <w:r>
      <w:fldChar w:fldCharType="begin"/>
    </w:r>
    <w:r>
      <w:instrText xml:space="preserve"> PAGE   \* MERGEFORMAT </w:instrText>
    </w:r>
    <w:r>
      <w:fldChar w:fldCharType="separate"/>
    </w:r>
    <w:r w:rsidR="009D0379">
      <w:rPr>
        <w:noProof/>
      </w:rPr>
      <w:t>2</w:t>
    </w:r>
    <w:r>
      <w:rPr>
        <w:noProof/>
      </w:rPr>
      <w:fldChar w:fldCharType="end"/>
    </w:r>
  </w:p>
  <w:p w:rsidR="008E2D64" w:rsidRDefault="008E2D64" w:rsidP="00B57B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1DD6" w:rsidRDefault="00F91DD6">
      <w:r>
        <w:separator/>
      </w:r>
    </w:p>
  </w:footnote>
  <w:footnote w:type="continuationSeparator" w:id="0">
    <w:p w:rsidR="00F91DD6" w:rsidRDefault="00F91D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094C" w:rsidRDefault="009D0379">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371469" o:spid="_x0000_s2050" type="#_x0000_t136" style="position:absolute;margin-left:0;margin-top:0;width:454.5pt;height:181.8pt;rotation:315;z-index:-251658752;mso-position-horizontal:center;mso-position-horizontal-relative:margin;mso-position-vertical:center;mso-position-vertical-relative:margin" o:allowincell="f" fillcolor="#ddd8c2" stroked="f">
          <v:fill opacity=".5"/>
          <v:textpath style="font-family:&quot;Arial&quot;;font-size:1pt" string="ADSHE"/>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094C" w:rsidRDefault="009D0379">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371470" o:spid="_x0000_s2051" type="#_x0000_t136" style="position:absolute;margin-left:0;margin-top:0;width:454.5pt;height:181.8pt;rotation:315;z-index:-251657728;mso-position-horizontal:center;mso-position-horizontal-relative:margin;mso-position-vertical:center;mso-position-vertical-relative:margin" o:allowincell="f" fillcolor="#ddd8c2" stroked="f">
          <v:fill opacity=".5"/>
          <v:textpath style="font-family:&quot;Arial&quot;;font-size:1pt" string="ADSHE"/>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094C" w:rsidRDefault="009D0379">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371468" o:spid="_x0000_s2049" type="#_x0000_t136" style="position:absolute;margin-left:0;margin-top:0;width:454.5pt;height:181.8pt;rotation:315;z-index:-251659776;mso-position-horizontal:center;mso-position-horizontal-relative:margin;mso-position-vertical:center;mso-position-vertical-relative:margin" o:allowincell="f" fillcolor="#ddd8c2" stroked="f">
          <v:fill opacity=".5"/>
          <v:textpath style="font-family:&quot;Arial&quot;;font-size:1pt" string="ADSHE"/>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0507E01"/>
    <w:multiLevelType w:val="hybridMultilevel"/>
    <w:tmpl w:val="7F9607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D306B4B"/>
    <w:multiLevelType w:val="hybridMultilevel"/>
    <w:tmpl w:val="E64EE6EE"/>
    <w:lvl w:ilvl="0" w:tplc="937CAA12">
      <w:start w:val="1"/>
      <w:numFmt w:val="upperLetter"/>
      <w:lvlText w:val="%1)"/>
      <w:lvlJc w:val="left"/>
      <w:pPr>
        <w:ind w:left="786" w:hanging="360"/>
      </w:pPr>
      <w:rPr>
        <w:rFonts w:cs="Times New Roman" w:hint="default"/>
      </w:rPr>
    </w:lvl>
    <w:lvl w:ilvl="1" w:tplc="08090019" w:tentative="1">
      <w:start w:val="1"/>
      <w:numFmt w:val="lowerLetter"/>
      <w:lvlText w:val="%2."/>
      <w:lvlJc w:val="left"/>
      <w:pPr>
        <w:ind w:left="1506" w:hanging="360"/>
      </w:pPr>
      <w:rPr>
        <w:rFonts w:cs="Times New Roman"/>
      </w:rPr>
    </w:lvl>
    <w:lvl w:ilvl="2" w:tplc="0809001B" w:tentative="1">
      <w:start w:val="1"/>
      <w:numFmt w:val="lowerRoman"/>
      <w:lvlText w:val="%3."/>
      <w:lvlJc w:val="right"/>
      <w:pPr>
        <w:ind w:left="2226" w:hanging="180"/>
      </w:pPr>
      <w:rPr>
        <w:rFonts w:cs="Times New Roman"/>
      </w:rPr>
    </w:lvl>
    <w:lvl w:ilvl="3" w:tplc="0809000F" w:tentative="1">
      <w:start w:val="1"/>
      <w:numFmt w:val="decimal"/>
      <w:lvlText w:val="%4."/>
      <w:lvlJc w:val="left"/>
      <w:pPr>
        <w:ind w:left="2946" w:hanging="360"/>
      </w:pPr>
      <w:rPr>
        <w:rFonts w:cs="Times New Roman"/>
      </w:rPr>
    </w:lvl>
    <w:lvl w:ilvl="4" w:tplc="08090019" w:tentative="1">
      <w:start w:val="1"/>
      <w:numFmt w:val="lowerLetter"/>
      <w:lvlText w:val="%5."/>
      <w:lvlJc w:val="left"/>
      <w:pPr>
        <w:ind w:left="3666" w:hanging="360"/>
      </w:pPr>
      <w:rPr>
        <w:rFonts w:cs="Times New Roman"/>
      </w:rPr>
    </w:lvl>
    <w:lvl w:ilvl="5" w:tplc="0809001B" w:tentative="1">
      <w:start w:val="1"/>
      <w:numFmt w:val="lowerRoman"/>
      <w:lvlText w:val="%6."/>
      <w:lvlJc w:val="right"/>
      <w:pPr>
        <w:ind w:left="4386" w:hanging="180"/>
      </w:pPr>
      <w:rPr>
        <w:rFonts w:cs="Times New Roman"/>
      </w:rPr>
    </w:lvl>
    <w:lvl w:ilvl="6" w:tplc="0809000F" w:tentative="1">
      <w:start w:val="1"/>
      <w:numFmt w:val="decimal"/>
      <w:lvlText w:val="%7."/>
      <w:lvlJc w:val="left"/>
      <w:pPr>
        <w:ind w:left="5106" w:hanging="360"/>
      </w:pPr>
      <w:rPr>
        <w:rFonts w:cs="Times New Roman"/>
      </w:rPr>
    </w:lvl>
    <w:lvl w:ilvl="7" w:tplc="08090019" w:tentative="1">
      <w:start w:val="1"/>
      <w:numFmt w:val="lowerLetter"/>
      <w:lvlText w:val="%8."/>
      <w:lvlJc w:val="left"/>
      <w:pPr>
        <w:ind w:left="5826" w:hanging="360"/>
      </w:pPr>
      <w:rPr>
        <w:rFonts w:cs="Times New Roman"/>
      </w:rPr>
    </w:lvl>
    <w:lvl w:ilvl="8" w:tplc="0809001B" w:tentative="1">
      <w:start w:val="1"/>
      <w:numFmt w:val="lowerRoman"/>
      <w:lvlText w:val="%9."/>
      <w:lvlJc w:val="right"/>
      <w:pPr>
        <w:ind w:left="6546"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fullPage" w:percent="83"/>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6FEC"/>
    <w:rsid w:val="00001A04"/>
    <w:rsid w:val="00010AAE"/>
    <w:rsid w:val="000331C9"/>
    <w:rsid w:val="00100E09"/>
    <w:rsid w:val="001302E4"/>
    <w:rsid w:val="0013551C"/>
    <w:rsid w:val="00167B4B"/>
    <w:rsid w:val="001C6D90"/>
    <w:rsid w:val="001F5488"/>
    <w:rsid w:val="00286648"/>
    <w:rsid w:val="002D404D"/>
    <w:rsid w:val="002E024E"/>
    <w:rsid w:val="004308FA"/>
    <w:rsid w:val="00456FEC"/>
    <w:rsid w:val="0046280A"/>
    <w:rsid w:val="00472BBC"/>
    <w:rsid w:val="004A1AB9"/>
    <w:rsid w:val="0052380B"/>
    <w:rsid w:val="00541D7C"/>
    <w:rsid w:val="0067094C"/>
    <w:rsid w:val="006B5B46"/>
    <w:rsid w:val="006C69D0"/>
    <w:rsid w:val="006E78D7"/>
    <w:rsid w:val="0078324F"/>
    <w:rsid w:val="00787F68"/>
    <w:rsid w:val="00811DE2"/>
    <w:rsid w:val="008216D8"/>
    <w:rsid w:val="00823A09"/>
    <w:rsid w:val="00831294"/>
    <w:rsid w:val="00854699"/>
    <w:rsid w:val="008D42C4"/>
    <w:rsid w:val="008E2D64"/>
    <w:rsid w:val="00902931"/>
    <w:rsid w:val="009850DA"/>
    <w:rsid w:val="009D0379"/>
    <w:rsid w:val="00A71CE1"/>
    <w:rsid w:val="00AF3207"/>
    <w:rsid w:val="00B05DB9"/>
    <w:rsid w:val="00B57B64"/>
    <w:rsid w:val="00B87A86"/>
    <w:rsid w:val="00C13E84"/>
    <w:rsid w:val="00C91EBA"/>
    <w:rsid w:val="00D604FF"/>
    <w:rsid w:val="00E01A5B"/>
    <w:rsid w:val="00E3583C"/>
    <w:rsid w:val="00F41AF8"/>
    <w:rsid w:val="00F425F6"/>
    <w:rsid w:val="00F61AA0"/>
    <w:rsid w:val="00F65B4E"/>
    <w:rsid w:val="00F91DD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5:docId w15:val="{227DD942-FC13-439D-B406-5B8FF624B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31C9"/>
    <w:rPr>
      <w:rFonts w:ascii="Arial" w:hAnsi="Arial"/>
      <w:sz w:val="24"/>
      <w:szCs w:val="24"/>
    </w:rPr>
  </w:style>
  <w:style w:type="paragraph" w:styleId="Heading1">
    <w:name w:val="heading 1"/>
    <w:basedOn w:val="Normal"/>
    <w:next w:val="Normal"/>
    <w:link w:val="Heading1Char"/>
    <w:autoRedefine/>
    <w:uiPriority w:val="99"/>
    <w:qFormat/>
    <w:rsid w:val="00C13E84"/>
    <w:pPr>
      <w:keepNext/>
      <w:spacing w:before="240" w:after="60"/>
      <w:outlineLvl w:val="0"/>
    </w:pPr>
    <w:rPr>
      <w:b/>
      <w:bCs/>
      <w:kern w:val="32"/>
      <w:sz w:val="32"/>
      <w:szCs w:val="32"/>
      <w:lang w:eastAsia="en-US"/>
    </w:rPr>
  </w:style>
  <w:style w:type="paragraph" w:styleId="Heading2">
    <w:name w:val="heading 2"/>
    <w:basedOn w:val="Normal"/>
    <w:next w:val="Normal"/>
    <w:link w:val="Heading2Char"/>
    <w:unhideWhenUsed/>
    <w:qFormat/>
    <w:locked/>
    <w:rsid w:val="00B57B64"/>
    <w:pPr>
      <w:keepNext/>
      <w:spacing w:before="240" w:after="120"/>
      <w:outlineLvl w:val="1"/>
    </w:pPr>
    <w:rPr>
      <w:rFonts w:ascii="Verdana" w:eastAsia="SimSun" w:hAnsi="Verdana"/>
      <w:b/>
      <w:bCs/>
      <w:i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C13E84"/>
    <w:rPr>
      <w:rFonts w:ascii="Comic Sans MS" w:hAnsi="Comic Sans MS" w:cs="Times New Roman"/>
      <w:b/>
      <w:bCs/>
      <w:kern w:val="32"/>
      <w:sz w:val="32"/>
      <w:szCs w:val="32"/>
    </w:rPr>
  </w:style>
  <w:style w:type="character" w:styleId="Emphasis">
    <w:name w:val="Emphasis"/>
    <w:uiPriority w:val="99"/>
    <w:qFormat/>
    <w:rsid w:val="00C13E84"/>
    <w:rPr>
      <w:rFonts w:ascii="Comic Sans MS" w:hAnsi="Comic Sans MS" w:cs="Times New Roman"/>
      <w:iCs/>
      <w:sz w:val="28"/>
    </w:rPr>
  </w:style>
  <w:style w:type="paragraph" w:styleId="Title">
    <w:name w:val="Title"/>
    <w:basedOn w:val="Normal"/>
    <w:next w:val="Normal"/>
    <w:link w:val="TitleChar"/>
    <w:autoRedefine/>
    <w:uiPriority w:val="99"/>
    <w:qFormat/>
    <w:rsid w:val="00C13E84"/>
    <w:pPr>
      <w:spacing w:before="240" w:after="60"/>
      <w:jc w:val="center"/>
      <w:outlineLvl w:val="0"/>
    </w:pPr>
    <w:rPr>
      <w:b/>
      <w:bCs/>
      <w:kern w:val="28"/>
      <w:sz w:val="32"/>
      <w:szCs w:val="32"/>
      <w:lang w:eastAsia="en-US"/>
    </w:rPr>
  </w:style>
  <w:style w:type="character" w:customStyle="1" w:styleId="TitleChar">
    <w:name w:val="Title Char"/>
    <w:link w:val="Title"/>
    <w:uiPriority w:val="99"/>
    <w:locked/>
    <w:rsid w:val="00C13E84"/>
    <w:rPr>
      <w:rFonts w:ascii="Comic Sans MS" w:hAnsi="Comic Sans MS" w:cs="Times New Roman"/>
      <w:b/>
      <w:bCs/>
      <w:kern w:val="28"/>
      <w:sz w:val="32"/>
      <w:szCs w:val="32"/>
    </w:rPr>
  </w:style>
  <w:style w:type="character" w:styleId="Strong">
    <w:name w:val="Strong"/>
    <w:uiPriority w:val="99"/>
    <w:qFormat/>
    <w:locked/>
    <w:rsid w:val="00854699"/>
    <w:rPr>
      <w:rFonts w:cs="Times New Roman"/>
      <w:b/>
      <w:bCs/>
    </w:rPr>
  </w:style>
  <w:style w:type="character" w:styleId="Hyperlink">
    <w:name w:val="Hyperlink"/>
    <w:uiPriority w:val="99"/>
    <w:rsid w:val="002D404D"/>
    <w:rPr>
      <w:rFonts w:cs="Times New Roman"/>
      <w:color w:val="0000FF"/>
      <w:u w:val="single"/>
    </w:rPr>
  </w:style>
  <w:style w:type="paragraph" w:customStyle="1" w:styleId="Default">
    <w:name w:val="Default"/>
    <w:uiPriority w:val="99"/>
    <w:rsid w:val="002D404D"/>
    <w:pPr>
      <w:autoSpaceDE w:val="0"/>
      <w:autoSpaceDN w:val="0"/>
      <w:adjustRightInd w:val="0"/>
    </w:pPr>
    <w:rPr>
      <w:rFonts w:ascii="Arial" w:hAnsi="Arial" w:cs="Arial"/>
      <w:color w:val="000000"/>
      <w:sz w:val="24"/>
      <w:szCs w:val="24"/>
      <w:lang w:val="en-US" w:eastAsia="en-US"/>
    </w:rPr>
  </w:style>
  <w:style w:type="paragraph" w:styleId="BalloonText">
    <w:name w:val="Balloon Text"/>
    <w:basedOn w:val="Normal"/>
    <w:link w:val="BalloonTextChar"/>
    <w:uiPriority w:val="99"/>
    <w:semiHidden/>
    <w:rsid w:val="00D604FF"/>
    <w:rPr>
      <w:rFonts w:ascii="Tahoma" w:hAnsi="Tahoma" w:cs="Tahoma"/>
      <w:sz w:val="16"/>
      <w:szCs w:val="16"/>
    </w:rPr>
  </w:style>
  <w:style w:type="character" w:customStyle="1" w:styleId="BalloonTextChar">
    <w:name w:val="Balloon Text Char"/>
    <w:link w:val="BalloonText"/>
    <w:uiPriority w:val="99"/>
    <w:semiHidden/>
    <w:locked/>
    <w:rPr>
      <w:rFonts w:ascii="Times New Roman" w:hAnsi="Times New Roman" w:cs="Times New Roman"/>
      <w:sz w:val="2"/>
    </w:rPr>
  </w:style>
  <w:style w:type="paragraph" w:styleId="Header">
    <w:name w:val="header"/>
    <w:basedOn w:val="Normal"/>
    <w:link w:val="HeaderChar"/>
    <w:uiPriority w:val="99"/>
    <w:rsid w:val="00B87A86"/>
    <w:pPr>
      <w:tabs>
        <w:tab w:val="center" w:pos="4320"/>
        <w:tab w:val="right" w:pos="8640"/>
      </w:tabs>
    </w:pPr>
  </w:style>
  <w:style w:type="character" w:customStyle="1" w:styleId="HeaderChar">
    <w:name w:val="Header Char"/>
    <w:link w:val="Header"/>
    <w:uiPriority w:val="99"/>
    <w:semiHidden/>
    <w:rsid w:val="00222CCB"/>
    <w:rPr>
      <w:rFonts w:ascii="Arial" w:hAnsi="Arial"/>
      <w:sz w:val="24"/>
      <w:szCs w:val="24"/>
    </w:rPr>
  </w:style>
  <w:style w:type="paragraph" w:styleId="Footer">
    <w:name w:val="footer"/>
    <w:basedOn w:val="Normal"/>
    <w:link w:val="FooterChar"/>
    <w:uiPriority w:val="99"/>
    <w:rsid w:val="00B87A86"/>
    <w:pPr>
      <w:tabs>
        <w:tab w:val="center" w:pos="4320"/>
        <w:tab w:val="right" w:pos="8640"/>
      </w:tabs>
    </w:pPr>
  </w:style>
  <w:style w:type="character" w:customStyle="1" w:styleId="FooterChar">
    <w:name w:val="Footer Char"/>
    <w:link w:val="Footer"/>
    <w:uiPriority w:val="99"/>
    <w:rsid w:val="00222CCB"/>
    <w:rPr>
      <w:rFonts w:ascii="Arial" w:hAnsi="Arial"/>
      <w:sz w:val="24"/>
      <w:szCs w:val="24"/>
    </w:rPr>
  </w:style>
  <w:style w:type="character" w:styleId="PageNumber">
    <w:name w:val="page number"/>
    <w:uiPriority w:val="99"/>
    <w:rsid w:val="00B87A86"/>
    <w:rPr>
      <w:rFonts w:cs="Times New Roman"/>
    </w:rPr>
  </w:style>
  <w:style w:type="character" w:customStyle="1" w:styleId="Heading2Char">
    <w:name w:val="Heading 2 Char"/>
    <w:link w:val="Heading2"/>
    <w:rsid w:val="00B57B64"/>
    <w:rPr>
      <w:rFonts w:ascii="Verdana" w:eastAsia="SimSun" w:hAnsi="Verdana" w:cs="Times New Roman"/>
      <w:b/>
      <w:bCs/>
      <w:iCs/>
      <w:sz w:val="24"/>
      <w:szCs w:val="28"/>
    </w:rPr>
  </w:style>
  <w:style w:type="paragraph" w:styleId="TOC1">
    <w:name w:val="toc 1"/>
    <w:basedOn w:val="Normal"/>
    <w:next w:val="Normal"/>
    <w:autoRedefine/>
    <w:uiPriority w:val="39"/>
    <w:locked/>
    <w:rsid w:val="0067094C"/>
  </w:style>
  <w:style w:type="paragraph" w:styleId="TOC2">
    <w:name w:val="toc 2"/>
    <w:basedOn w:val="Normal"/>
    <w:next w:val="Normal"/>
    <w:autoRedefine/>
    <w:uiPriority w:val="39"/>
    <w:locked/>
    <w:rsid w:val="0067094C"/>
    <w:pPr>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qaa.ac.uk/academicinfrastructure/codeOfPractice/section3/Section3Disabilities2010.asp"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D9788-B5D4-4360-B232-807F8F0DE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49626462</Template>
  <TotalTime>0</TotalTime>
  <Pages>6</Pages>
  <Words>2536</Words>
  <Characters>14460</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Guidance for Good Practice:</vt:lpstr>
    </vt:vector>
  </TitlesOfParts>
  <Company>Royal Agricultural College</Company>
  <LinksUpToDate>false</LinksUpToDate>
  <CharactersWithSpaces>16963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for Good Practice:</dc:title>
  <dc:creator>John Conway</dc:creator>
  <cp:lastModifiedBy>Walter, Sue</cp:lastModifiedBy>
  <cp:revision>2</cp:revision>
  <dcterms:created xsi:type="dcterms:W3CDTF">2017-03-03T12:50:00Z</dcterms:created>
  <dcterms:modified xsi:type="dcterms:W3CDTF">2017-03-03T12:50:00Z</dcterms:modified>
</cp:coreProperties>
</file>