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BC1" w:rsidRDefault="003B44E0">
      <w:r>
        <w:rPr>
          <w:noProof/>
          <w:lang w:eastAsia="en-GB"/>
        </w:rPr>
        <w:drawing>
          <wp:inline distT="0" distB="0" distL="0" distR="0" wp14:anchorId="558360F8" wp14:editId="2C2BDEEB">
            <wp:extent cx="4770755" cy="1055370"/>
            <wp:effectExtent l="0" t="0" r="0" b="0"/>
            <wp:docPr id="1" name="Picture 1" descr="\\MARLON\User56\u\u1374399\Desktop\EU flag-Erasmus+_vect_POS.jpg"/>
            <wp:cNvGraphicFramePr/>
            <a:graphic xmlns:a="http://schemas.openxmlformats.org/drawingml/2006/main">
              <a:graphicData uri="http://schemas.openxmlformats.org/drawingml/2006/picture">
                <pic:pic xmlns:pic="http://schemas.openxmlformats.org/drawingml/2006/picture">
                  <pic:nvPicPr>
                    <pic:cNvPr id="1" name="Picture 1" descr="\\MARLON\User56\u\u1374399\Desktop\EU flag-Erasmus+_vect_POS.jpg"/>
                    <pic:cNvPicPr/>
                  </pic:nvPicPr>
                  <pic:blipFill rotWithShape="1">
                    <a:blip r:embed="rId5" cstate="print">
                      <a:extLst>
                        <a:ext uri="{28A0092B-C50C-407E-A947-70E740481C1C}">
                          <a14:useLocalDpi xmlns:a14="http://schemas.microsoft.com/office/drawing/2010/main" val="0"/>
                        </a:ext>
                      </a:extLst>
                    </a:blip>
                    <a:srcRect l="5021" t="13975" r="3247" b="14977"/>
                    <a:stretch/>
                  </pic:blipFill>
                  <pic:spPr bwMode="auto">
                    <a:xfrm>
                      <a:off x="0" y="0"/>
                      <a:ext cx="4770755" cy="1055370"/>
                    </a:xfrm>
                    <a:prstGeom prst="rect">
                      <a:avLst/>
                    </a:prstGeom>
                    <a:noFill/>
                    <a:ln>
                      <a:noFill/>
                    </a:ln>
                    <a:extLst>
                      <a:ext uri="{53640926-AAD7-44D8-BBD7-CCE9431645EC}">
                        <a14:shadowObscured xmlns:a14="http://schemas.microsoft.com/office/drawing/2010/main"/>
                      </a:ext>
                    </a:extLst>
                  </pic:spPr>
                </pic:pic>
              </a:graphicData>
            </a:graphic>
          </wp:inline>
        </w:drawing>
      </w:r>
    </w:p>
    <w:p w:rsidR="003B44E0" w:rsidRDefault="003B44E0"/>
    <w:p w:rsidR="003B44E0" w:rsidRDefault="003B44E0"/>
    <w:p w:rsidR="003B44E0" w:rsidRDefault="003B44E0">
      <w:pPr>
        <w:rPr>
          <w:rFonts w:ascii="Arial" w:hAnsi="Arial" w:cs="Arial"/>
          <w:b/>
          <w:sz w:val="24"/>
          <w:szCs w:val="24"/>
        </w:rPr>
      </w:pPr>
      <w:r>
        <w:rPr>
          <w:rFonts w:ascii="Arial" w:hAnsi="Arial" w:cs="Arial"/>
          <w:b/>
          <w:sz w:val="24"/>
          <w:szCs w:val="24"/>
        </w:rPr>
        <w:t>EDUFIN Research Project: Developing participative processes for the generation of a financial education curriculum addressed to young adults at risk</w:t>
      </w:r>
    </w:p>
    <w:p w:rsidR="003B44E0" w:rsidRDefault="003B44E0">
      <w:pPr>
        <w:rPr>
          <w:rFonts w:ascii="Arial" w:hAnsi="Arial" w:cs="Arial"/>
          <w:sz w:val="24"/>
          <w:szCs w:val="24"/>
        </w:rPr>
      </w:pPr>
      <w:proofErr w:type="spellStart"/>
      <w:r>
        <w:rPr>
          <w:rFonts w:ascii="Arial" w:hAnsi="Arial" w:cs="Arial"/>
          <w:sz w:val="24"/>
          <w:szCs w:val="24"/>
        </w:rPr>
        <w:t>Edufin</w:t>
      </w:r>
      <w:proofErr w:type="spellEnd"/>
      <w:r>
        <w:rPr>
          <w:rFonts w:ascii="Arial" w:hAnsi="Arial" w:cs="Arial"/>
          <w:sz w:val="24"/>
          <w:szCs w:val="24"/>
        </w:rPr>
        <w:t xml:space="preserve"> is a European project led by </w:t>
      </w:r>
      <w:r w:rsidR="00826786">
        <w:rPr>
          <w:rFonts w:ascii="Arial" w:hAnsi="Arial" w:cs="Arial"/>
          <w:sz w:val="24"/>
          <w:szCs w:val="24"/>
        </w:rPr>
        <w:t>an adult education</w:t>
      </w:r>
      <w:r w:rsidR="00A32811">
        <w:rPr>
          <w:rFonts w:ascii="Arial" w:hAnsi="Arial" w:cs="Arial"/>
          <w:sz w:val="24"/>
          <w:szCs w:val="24"/>
        </w:rPr>
        <w:t xml:space="preserve"> provider</w:t>
      </w:r>
      <w:r w:rsidR="00826786">
        <w:rPr>
          <w:rFonts w:ascii="Arial" w:hAnsi="Arial" w:cs="Arial"/>
          <w:sz w:val="24"/>
          <w:szCs w:val="24"/>
        </w:rPr>
        <w:t xml:space="preserve"> </w:t>
      </w:r>
      <w:r w:rsidR="00E00A46">
        <w:rPr>
          <w:rFonts w:ascii="Arial" w:hAnsi="Arial" w:cs="Arial"/>
          <w:sz w:val="24"/>
          <w:szCs w:val="24"/>
        </w:rPr>
        <w:t xml:space="preserve">organisation </w:t>
      </w:r>
      <w:bookmarkStart w:id="0" w:name="_GoBack"/>
      <w:bookmarkEnd w:id="0"/>
      <w:r w:rsidR="00826786">
        <w:rPr>
          <w:rFonts w:ascii="Arial" w:hAnsi="Arial" w:cs="Arial"/>
          <w:sz w:val="24"/>
          <w:szCs w:val="24"/>
        </w:rPr>
        <w:t xml:space="preserve">in Barcelona, Spain (AGORA). </w:t>
      </w:r>
    </w:p>
    <w:p w:rsidR="00826786" w:rsidRDefault="00826786" w:rsidP="00826786">
      <w:pPr>
        <w:rPr>
          <w:rFonts w:ascii="Arial" w:hAnsi="Arial" w:cs="Arial"/>
          <w:sz w:val="24"/>
          <w:szCs w:val="24"/>
        </w:rPr>
      </w:pPr>
      <w:r w:rsidRPr="00826786">
        <w:rPr>
          <w:rFonts w:ascii="Arial" w:hAnsi="Arial" w:cs="Arial"/>
          <w:sz w:val="24"/>
          <w:szCs w:val="24"/>
        </w:rPr>
        <w:t>Financial markets have become increasingly complex and, in consequence, individuals</w:t>
      </w:r>
      <w:r>
        <w:rPr>
          <w:rFonts w:ascii="Arial" w:hAnsi="Arial" w:cs="Arial"/>
          <w:sz w:val="24"/>
          <w:szCs w:val="24"/>
        </w:rPr>
        <w:t xml:space="preserve"> </w:t>
      </w:r>
      <w:r w:rsidRPr="00826786">
        <w:rPr>
          <w:rFonts w:ascii="Arial" w:hAnsi="Arial" w:cs="Arial"/>
          <w:sz w:val="24"/>
          <w:szCs w:val="24"/>
        </w:rPr>
        <w:t xml:space="preserve">need to improve their understanding of financial products and services. In addition, individuals today have greater responsibility for their financial well-being. A wide process of financial education is required in order to configure a critical and informed citizenship able to understand and make fundamental decisions </w:t>
      </w:r>
      <w:r w:rsidR="00A32811" w:rsidRPr="00826786">
        <w:rPr>
          <w:rFonts w:ascii="Arial" w:hAnsi="Arial" w:cs="Arial"/>
          <w:sz w:val="24"/>
          <w:szCs w:val="24"/>
        </w:rPr>
        <w:t xml:space="preserve">on </w:t>
      </w:r>
      <w:r w:rsidR="00A32811">
        <w:rPr>
          <w:rFonts w:ascii="Arial" w:hAnsi="Arial" w:cs="Arial"/>
          <w:sz w:val="24"/>
          <w:szCs w:val="24"/>
        </w:rPr>
        <w:t>aspects</w:t>
      </w:r>
      <w:r w:rsidRPr="00826786">
        <w:rPr>
          <w:rFonts w:ascii="Arial" w:hAnsi="Arial" w:cs="Arial"/>
          <w:sz w:val="24"/>
          <w:szCs w:val="24"/>
        </w:rPr>
        <w:t xml:space="preserve"> related</w:t>
      </w:r>
      <w:r>
        <w:rPr>
          <w:rFonts w:ascii="Arial" w:hAnsi="Arial" w:cs="Arial"/>
          <w:sz w:val="24"/>
          <w:szCs w:val="24"/>
        </w:rPr>
        <w:t xml:space="preserve"> </w:t>
      </w:r>
      <w:r w:rsidRPr="00826786">
        <w:rPr>
          <w:rFonts w:ascii="Arial" w:hAnsi="Arial" w:cs="Arial"/>
          <w:sz w:val="24"/>
          <w:szCs w:val="24"/>
        </w:rPr>
        <w:t>to the financial system</w:t>
      </w:r>
      <w:r>
        <w:rPr>
          <w:rFonts w:ascii="Arial" w:hAnsi="Arial" w:cs="Arial"/>
          <w:sz w:val="24"/>
          <w:szCs w:val="24"/>
        </w:rPr>
        <w:t xml:space="preserve">. </w:t>
      </w:r>
      <w:r w:rsidRPr="00826786">
        <w:rPr>
          <w:rFonts w:ascii="Arial" w:hAnsi="Arial" w:cs="Arial"/>
          <w:sz w:val="24"/>
          <w:szCs w:val="24"/>
        </w:rPr>
        <w:t xml:space="preserve"> However, financial education is especially low among certain demographic groups, including young adults at risk. </w:t>
      </w:r>
      <w:r>
        <w:rPr>
          <w:rFonts w:ascii="Arial" w:hAnsi="Arial" w:cs="Arial"/>
          <w:sz w:val="24"/>
          <w:szCs w:val="24"/>
        </w:rPr>
        <w:t>R</w:t>
      </w:r>
      <w:r w:rsidRPr="00826786">
        <w:rPr>
          <w:rFonts w:ascii="Arial" w:hAnsi="Arial" w:cs="Arial"/>
          <w:sz w:val="24"/>
          <w:szCs w:val="24"/>
        </w:rPr>
        <w:t>esearch show</w:t>
      </w:r>
      <w:r>
        <w:rPr>
          <w:rFonts w:ascii="Arial" w:hAnsi="Arial" w:cs="Arial"/>
          <w:sz w:val="24"/>
          <w:szCs w:val="24"/>
        </w:rPr>
        <w:t>s</w:t>
      </w:r>
      <w:r w:rsidRPr="00826786">
        <w:rPr>
          <w:rFonts w:ascii="Arial" w:hAnsi="Arial" w:cs="Arial"/>
          <w:sz w:val="24"/>
          <w:szCs w:val="24"/>
        </w:rPr>
        <w:t xml:space="preserve"> that most young adults at risk make financial decisions and deal with complex financial products despite lacking basic financial and quantitative knowledge. Moreover, the inclusion of the voices of the young adults is not taken into account when elaborating any curricula on financial education although it is essential to meet the real necessities and demands on financial education and for them to become more active, independent and enterprising.</w:t>
      </w:r>
      <w:r w:rsidR="00BF538A">
        <w:rPr>
          <w:rFonts w:ascii="Arial" w:hAnsi="Arial" w:cs="Arial"/>
          <w:sz w:val="24"/>
          <w:szCs w:val="24"/>
        </w:rPr>
        <w:t xml:space="preserve"> A </w:t>
      </w:r>
      <w:r w:rsidR="00BF538A" w:rsidRPr="00826786">
        <w:rPr>
          <w:rFonts w:ascii="Arial" w:hAnsi="Arial" w:cs="Arial"/>
          <w:sz w:val="24"/>
          <w:szCs w:val="24"/>
        </w:rPr>
        <w:t>critical communicative methodology</w:t>
      </w:r>
      <w:r w:rsidR="00BF538A">
        <w:rPr>
          <w:rFonts w:ascii="Arial" w:hAnsi="Arial" w:cs="Arial"/>
          <w:sz w:val="24"/>
          <w:szCs w:val="24"/>
        </w:rPr>
        <w:t xml:space="preserve"> will be used. </w:t>
      </w:r>
      <w:r w:rsidRPr="00826786">
        <w:rPr>
          <w:rFonts w:ascii="Arial" w:hAnsi="Arial" w:cs="Arial"/>
          <w:sz w:val="24"/>
          <w:szCs w:val="24"/>
        </w:rPr>
        <w:t>The project</w:t>
      </w:r>
      <w:r>
        <w:rPr>
          <w:rFonts w:ascii="Arial" w:hAnsi="Arial" w:cs="Arial"/>
          <w:sz w:val="24"/>
          <w:szCs w:val="24"/>
        </w:rPr>
        <w:t xml:space="preserve">’s </w:t>
      </w:r>
      <w:r w:rsidRPr="00826786">
        <w:rPr>
          <w:rFonts w:ascii="Arial" w:hAnsi="Arial" w:cs="Arial"/>
          <w:sz w:val="24"/>
          <w:szCs w:val="24"/>
        </w:rPr>
        <w:t xml:space="preserve">main aim </w:t>
      </w:r>
      <w:r>
        <w:rPr>
          <w:rFonts w:ascii="Arial" w:hAnsi="Arial" w:cs="Arial"/>
          <w:sz w:val="24"/>
          <w:szCs w:val="24"/>
        </w:rPr>
        <w:t xml:space="preserve">is </w:t>
      </w:r>
      <w:r w:rsidRPr="00826786">
        <w:rPr>
          <w:rFonts w:ascii="Arial" w:hAnsi="Arial" w:cs="Arial"/>
          <w:sz w:val="24"/>
          <w:szCs w:val="24"/>
        </w:rPr>
        <w:t xml:space="preserve">the establishment of a learning curriculum on financial education based on the </w:t>
      </w:r>
      <w:r>
        <w:rPr>
          <w:rFonts w:ascii="Arial" w:hAnsi="Arial" w:cs="Arial"/>
          <w:sz w:val="24"/>
          <w:szCs w:val="24"/>
        </w:rPr>
        <w:t xml:space="preserve">needs </w:t>
      </w:r>
      <w:r w:rsidRPr="00826786">
        <w:rPr>
          <w:rFonts w:ascii="Arial" w:hAnsi="Arial" w:cs="Arial"/>
          <w:sz w:val="24"/>
          <w:szCs w:val="24"/>
        </w:rPr>
        <w:t>of young adults</w:t>
      </w:r>
      <w:r>
        <w:rPr>
          <w:rFonts w:ascii="Arial" w:hAnsi="Arial" w:cs="Arial"/>
          <w:sz w:val="24"/>
          <w:szCs w:val="24"/>
        </w:rPr>
        <w:t xml:space="preserve"> (aged 18 – 34)</w:t>
      </w:r>
      <w:r w:rsidRPr="00826786">
        <w:rPr>
          <w:rFonts w:ascii="Arial" w:hAnsi="Arial" w:cs="Arial"/>
          <w:sz w:val="24"/>
          <w:szCs w:val="24"/>
        </w:rPr>
        <w:t xml:space="preserve"> at risk</w:t>
      </w:r>
      <w:r>
        <w:rPr>
          <w:rFonts w:ascii="Arial" w:hAnsi="Arial" w:cs="Arial"/>
          <w:sz w:val="24"/>
          <w:szCs w:val="24"/>
        </w:rPr>
        <w:t xml:space="preserve"> on financial literacy. </w:t>
      </w:r>
    </w:p>
    <w:p w:rsidR="00BF538A" w:rsidRPr="00A32811" w:rsidRDefault="00826786" w:rsidP="00826786">
      <w:pPr>
        <w:rPr>
          <w:rFonts w:ascii="Arial" w:hAnsi="Arial" w:cs="Arial"/>
          <w:sz w:val="24"/>
          <w:szCs w:val="24"/>
        </w:rPr>
      </w:pPr>
      <w:r w:rsidRPr="00A32811">
        <w:rPr>
          <w:rFonts w:ascii="Arial" w:hAnsi="Arial" w:cs="Arial"/>
          <w:sz w:val="24"/>
          <w:szCs w:val="24"/>
        </w:rPr>
        <w:t xml:space="preserve"> </w:t>
      </w:r>
      <w:r w:rsidR="00BF538A" w:rsidRPr="00A32811">
        <w:rPr>
          <w:rFonts w:ascii="Arial" w:hAnsi="Arial" w:cs="Arial"/>
          <w:sz w:val="24"/>
          <w:szCs w:val="24"/>
        </w:rPr>
        <w:t xml:space="preserve">The partners involved in the project are: </w:t>
      </w:r>
    </w:p>
    <w:p w:rsidR="00A32811" w:rsidRPr="00A32811" w:rsidRDefault="00E00A46" w:rsidP="00A32811">
      <w:pPr>
        <w:pStyle w:val="ListParagraph"/>
        <w:numPr>
          <w:ilvl w:val="0"/>
          <w:numId w:val="2"/>
        </w:numPr>
        <w:rPr>
          <w:rFonts w:ascii="Arial" w:hAnsi="Arial" w:cs="Arial"/>
          <w:sz w:val="24"/>
          <w:szCs w:val="24"/>
        </w:rPr>
      </w:pPr>
      <w:hyperlink r:id="rId6" w:tgtFrame="_blank" w:history="1">
        <w:proofErr w:type="spellStart"/>
        <w:r w:rsidR="00A32811" w:rsidRPr="00A32811">
          <w:rPr>
            <w:rStyle w:val="Hyperlink"/>
            <w:rFonts w:ascii="Arial" w:hAnsi="Arial" w:cs="Arial"/>
            <w:sz w:val="24"/>
            <w:szCs w:val="24"/>
          </w:rPr>
          <w:t>Asociacion</w:t>
        </w:r>
        <w:proofErr w:type="spellEnd"/>
        <w:r w:rsidR="00A32811" w:rsidRPr="00A32811">
          <w:rPr>
            <w:rStyle w:val="Hyperlink"/>
            <w:rFonts w:ascii="Arial" w:hAnsi="Arial" w:cs="Arial"/>
            <w:sz w:val="24"/>
            <w:szCs w:val="24"/>
          </w:rPr>
          <w:t xml:space="preserve"> de Personas </w:t>
        </w:r>
        <w:proofErr w:type="spellStart"/>
        <w:r w:rsidR="00A32811" w:rsidRPr="00A32811">
          <w:rPr>
            <w:rStyle w:val="Hyperlink"/>
            <w:rFonts w:ascii="Arial" w:hAnsi="Arial" w:cs="Arial"/>
            <w:sz w:val="24"/>
            <w:szCs w:val="24"/>
          </w:rPr>
          <w:t>Participantes</w:t>
        </w:r>
        <w:proofErr w:type="spellEnd"/>
        <w:r w:rsidR="00A32811" w:rsidRPr="00A32811">
          <w:rPr>
            <w:rStyle w:val="Hyperlink"/>
            <w:rFonts w:ascii="Arial" w:hAnsi="Arial" w:cs="Arial"/>
            <w:sz w:val="24"/>
            <w:szCs w:val="24"/>
          </w:rPr>
          <w:t xml:space="preserve"> (AGORA), Spain</w:t>
        </w:r>
        <w:r w:rsidR="00A32811" w:rsidRPr="00A32811">
          <w:rPr>
            <w:noProof/>
            <w:color w:val="0000FF"/>
            <w:lang w:eastAsia="en-GB"/>
          </w:rPr>
          <w:drawing>
            <wp:inline distT="0" distB="0" distL="0" distR="0">
              <wp:extent cx="9525" cy="9525"/>
              <wp:effectExtent l="0" t="0" r="0" b="0"/>
              <wp:docPr id="7" name="Picture 7" descr="http://www2.warwick.ac.uk/static_war/images/shim.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warwick.ac.uk/static_war/images/shim.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A32811" w:rsidRPr="00A32811">
        <w:rPr>
          <w:rFonts w:ascii="Arial" w:hAnsi="Arial" w:cs="Arial"/>
          <w:sz w:val="24"/>
          <w:szCs w:val="24"/>
        </w:rPr>
        <w:t xml:space="preserve"> (co-ordinator)</w:t>
      </w:r>
    </w:p>
    <w:p w:rsidR="00A32811" w:rsidRPr="00A32811" w:rsidRDefault="00E00A46" w:rsidP="00A32811">
      <w:pPr>
        <w:pStyle w:val="ListParagraph"/>
        <w:numPr>
          <w:ilvl w:val="0"/>
          <w:numId w:val="2"/>
        </w:numPr>
        <w:rPr>
          <w:rFonts w:ascii="Arial" w:hAnsi="Arial" w:cs="Arial"/>
          <w:sz w:val="24"/>
          <w:szCs w:val="24"/>
        </w:rPr>
      </w:pPr>
      <w:hyperlink r:id="rId8" w:history="1">
        <w:r w:rsidR="00A32811" w:rsidRPr="00A32811">
          <w:rPr>
            <w:rStyle w:val="Hyperlink"/>
            <w:rFonts w:ascii="Arial" w:hAnsi="Arial" w:cs="Arial"/>
            <w:sz w:val="24"/>
            <w:szCs w:val="24"/>
          </w:rPr>
          <w:t>The University of Warwick</w:t>
        </w:r>
      </w:hyperlink>
    </w:p>
    <w:p w:rsidR="00A32811" w:rsidRPr="00A32811" w:rsidRDefault="00E00A46" w:rsidP="00A32811">
      <w:pPr>
        <w:pStyle w:val="ListParagraph"/>
        <w:numPr>
          <w:ilvl w:val="0"/>
          <w:numId w:val="2"/>
        </w:numPr>
        <w:rPr>
          <w:rFonts w:ascii="Arial" w:hAnsi="Arial" w:cs="Arial"/>
          <w:sz w:val="24"/>
          <w:szCs w:val="24"/>
        </w:rPr>
      </w:pPr>
      <w:hyperlink r:id="rId9" w:tgtFrame="_blank" w:history="1">
        <w:r w:rsidR="00A32811" w:rsidRPr="00A32811">
          <w:rPr>
            <w:rStyle w:val="Hyperlink"/>
            <w:rFonts w:ascii="Arial" w:hAnsi="Arial" w:cs="Arial"/>
            <w:sz w:val="24"/>
            <w:szCs w:val="24"/>
          </w:rPr>
          <w:t xml:space="preserve">Centro </w:t>
        </w:r>
        <w:proofErr w:type="spellStart"/>
        <w:r w:rsidR="00A32811" w:rsidRPr="00A32811">
          <w:rPr>
            <w:rStyle w:val="Hyperlink"/>
            <w:rFonts w:ascii="Arial" w:hAnsi="Arial" w:cs="Arial"/>
            <w:sz w:val="24"/>
            <w:szCs w:val="24"/>
          </w:rPr>
          <w:t>Studi</w:t>
        </w:r>
        <w:proofErr w:type="spellEnd"/>
        <w:r w:rsidR="00A32811" w:rsidRPr="00A32811">
          <w:rPr>
            <w:rStyle w:val="Hyperlink"/>
            <w:rFonts w:ascii="Arial" w:hAnsi="Arial" w:cs="Arial"/>
            <w:sz w:val="24"/>
            <w:szCs w:val="24"/>
          </w:rPr>
          <w:t xml:space="preserve"> e </w:t>
        </w:r>
        <w:proofErr w:type="spellStart"/>
        <w:r w:rsidR="00A32811" w:rsidRPr="00A32811">
          <w:rPr>
            <w:rStyle w:val="Hyperlink"/>
            <w:rFonts w:ascii="Arial" w:hAnsi="Arial" w:cs="Arial"/>
            <w:sz w:val="24"/>
            <w:szCs w:val="24"/>
          </w:rPr>
          <w:t>Formazione</w:t>
        </w:r>
        <w:proofErr w:type="spellEnd"/>
        <w:r w:rsidR="00A32811" w:rsidRPr="00A32811">
          <w:rPr>
            <w:rStyle w:val="Hyperlink"/>
            <w:rFonts w:ascii="Arial" w:hAnsi="Arial" w:cs="Arial"/>
            <w:sz w:val="24"/>
            <w:szCs w:val="24"/>
          </w:rPr>
          <w:t xml:space="preserve"> Villa </w:t>
        </w:r>
        <w:proofErr w:type="spellStart"/>
        <w:r w:rsidR="00A32811" w:rsidRPr="00A32811">
          <w:rPr>
            <w:rStyle w:val="Hyperlink"/>
            <w:rFonts w:ascii="Arial" w:hAnsi="Arial" w:cs="Arial"/>
            <w:sz w:val="24"/>
            <w:szCs w:val="24"/>
          </w:rPr>
          <w:t>Montesca</w:t>
        </w:r>
        <w:proofErr w:type="spellEnd"/>
        <w:r w:rsidR="00A32811" w:rsidRPr="00A32811">
          <w:rPr>
            <w:rStyle w:val="Hyperlink"/>
            <w:rFonts w:ascii="Arial" w:hAnsi="Arial" w:cs="Arial"/>
            <w:sz w:val="24"/>
            <w:szCs w:val="24"/>
          </w:rPr>
          <w:t>, Italy</w:t>
        </w:r>
        <w:r w:rsidR="00A32811" w:rsidRPr="00A32811">
          <w:rPr>
            <w:noProof/>
            <w:color w:val="0000FF"/>
            <w:lang w:eastAsia="en-GB"/>
          </w:rPr>
          <w:drawing>
            <wp:inline distT="0" distB="0" distL="0" distR="0">
              <wp:extent cx="9525" cy="9525"/>
              <wp:effectExtent l="0" t="0" r="0" b="0"/>
              <wp:docPr id="6" name="Picture 6" descr="http://www2.warwick.ac.uk/static_war/images/shim.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warwick.ac.uk/static_war/images/shim.gif">
                        <a:hlinkClick r:id="rId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A32811" w:rsidRPr="00A32811" w:rsidRDefault="00E00A46" w:rsidP="00A32811">
      <w:pPr>
        <w:pStyle w:val="ListParagraph"/>
        <w:numPr>
          <w:ilvl w:val="0"/>
          <w:numId w:val="2"/>
        </w:numPr>
        <w:rPr>
          <w:rFonts w:ascii="Arial" w:hAnsi="Arial" w:cs="Arial"/>
          <w:sz w:val="24"/>
          <w:szCs w:val="24"/>
        </w:rPr>
      </w:pPr>
      <w:hyperlink r:id="rId10" w:tgtFrame="_blank" w:history="1">
        <w:r w:rsidR="00A32811" w:rsidRPr="00A32811">
          <w:rPr>
            <w:rStyle w:val="Hyperlink"/>
            <w:rFonts w:ascii="Arial" w:hAnsi="Arial" w:cs="Arial"/>
            <w:sz w:val="24"/>
            <w:szCs w:val="24"/>
          </w:rPr>
          <w:t>European Association for Education of Adults (EAEA)</w:t>
        </w:r>
        <w:r w:rsidR="00A32811" w:rsidRPr="00A32811">
          <w:rPr>
            <w:noProof/>
            <w:lang w:eastAsia="en-GB"/>
          </w:rPr>
          <w:drawing>
            <wp:inline distT="0" distB="0" distL="0" distR="0">
              <wp:extent cx="9525" cy="9525"/>
              <wp:effectExtent l="0" t="0" r="0" b="0"/>
              <wp:docPr id="5" name="Picture 5" descr="http://www2.warwick.ac.uk/static_war/images/shim.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warwick.ac.uk/static_war/images/shim.gif">
                        <a:hlinkClick r:id="rId10"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A32811" w:rsidRPr="00A32811" w:rsidRDefault="00E00A46" w:rsidP="00A32811">
      <w:pPr>
        <w:pStyle w:val="ListParagraph"/>
        <w:numPr>
          <w:ilvl w:val="0"/>
          <w:numId w:val="2"/>
        </w:numPr>
        <w:rPr>
          <w:rFonts w:ascii="Arial" w:hAnsi="Arial" w:cs="Arial"/>
          <w:sz w:val="24"/>
          <w:szCs w:val="24"/>
        </w:rPr>
      </w:pPr>
      <w:hyperlink r:id="rId11" w:tgtFrame="_blank" w:history="1">
        <w:r w:rsidR="00A32811" w:rsidRPr="00A32811">
          <w:rPr>
            <w:rStyle w:val="Hyperlink"/>
            <w:rFonts w:ascii="Arial" w:hAnsi="Arial" w:cs="Arial"/>
            <w:sz w:val="24"/>
            <w:szCs w:val="24"/>
          </w:rPr>
          <w:t xml:space="preserve">Danube University </w:t>
        </w:r>
        <w:proofErr w:type="spellStart"/>
        <w:r w:rsidR="00A32811" w:rsidRPr="00A32811">
          <w:rPr>
            <w:rStyle w:val="Hyperlink"/>
            <w:rFonts w:ascii="Arial" w:hAnsi="Arial" w:cs="Arial"/>
            <w:sz w:val="24"/>
            <w:szCs w:val="24"/>
          </w:rPr>
          <w:t>Krems</w:t>
        </w:r>
        <w:proofErr w:type="spellEnd"/>
        <w:r w:rsidR="00A32811" w:rsidRPr="00A32811">
          <w:rPr>
            <w:rStyle w:val="Hyperlink"/>
            <w:rFonts w:ascii="Arial" w:hAnsi="Arial" w:cs="Arial"/>
            <w:sz w:val="24"/>
            <w:szCs w:val="24"/>
          </w:rPr>
          <w:t>, Austria</w:t>
        </w:r>
        <w:r w:rsidR="00A32811" w:rsidRPr="00A32811">
          <w:rPr>
            <w:noProof/>
            <w:color w:val="0000FF"/>
            <w:lang w:eastAsia="en-GB"/>
          </w:rPr>
          <w:drawing>
            <wp:inline distT="0" distB="0" distL="0" distR="0">
              <wp:extent cx="9525" cy="9525"/>
              <wp:effectExtent l="0" t="0" r="0" b="0"/>
              <wp:docPr id="4" name="Picture 4" descr="http://www2.warwick.ac.uk/static_war/images/shim.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warwick.ac.uk/static_war/images/shim.gif">
                        <a:hlinkClick r:id="rId1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A32811" w:rsidRPr="00A32811" w:rsidRDefault="00E00A46" w:rsidP="00A32811">
      <w:pPr>
        <w:pStyle w:val="ListParagraph"/>
        <w:numPr>
          <w:ilvl w:val="0"/>
          <w:numId w:val="2"/>
        </w:numPr>
        <w:rPr>
          <w:rFonts w:ascii="Arial" w:hAnsi="Arial" w:cs="Arial"/>
          <w:sz w:val="24"/>
          <w:szCs w:val="24"/>
        </w:rPr>
      </w:pPr>
      <w:hyperlink r:id="rId12" w:tgtFrame="_blank" w:history="1">
        <w:r w:rsidR="00A32811" w:rsidRPr="00A32811">
          <w:rPr>
            <w:rStyle w:val="Hyperlink"/>
            <w:rFonts w:ascii="Arial" w:hAnsi="Arial" w:cs="Arial"/>
            <w:sz w:val="24"/>
            <w:szCs w:val="24"/>
          </w:rPr>
          <w:t xml:space="preserve">CIEDT, </w:t>
        </w:r>
        <w:proofErr w:type="spellStart"/>
        <w:r w:rsidR="00A32811" w:rsidRPr="00A32811">
          <w:rPr>
            <w:rStyle w:val="Hyperlink"/>
            <w:rFonts w:ascii="Arial" w:hAnsi="Arial" w:cs="Arial"/>
            <w:sz w:val="24"/>
            <w:szCs w:val="24"/>
          </w:rPr>
          <w:t>Amalipi</w:t>
        </w:r>
        <w:proofErr w:type="spellEnd"/>
        <w:r w:rsidR="00A32811" w:rsidRPr="00A32811">
          <w:rPr>
            <w:rStyle w:val="Hyperlink"/>
            <w:rFonts w:ascii="Arial" w:hAnsi="Arial" w:cs="Arial"/>
            <w:sz w:val="24"/>
            <w:szCs w:val="24"/>
          </w:rPr>
          <w:t>, Bulgaria</w:t>
        </w:r>
        <w:r w:rsidR="00A32811" w:rsidRPr="00A32811">
          <w:rPr>
            <w:noProof/>
            <w:color w:val="0000FF"/>
            <w:lang w:eastAsia="en-GB"/>
          </w:rPr>
          <w:drawing>
            <wp:inline distT="0" distB="0" distL="0" distR="0">
              <wp:extent cx="9525" cy="9525"/>
              <wp:effectExtent l="0" t="0" r="0" b="0"/>
              <wp:docPr id="3" name="Picture 3" descr="http://www2.warwick.ac.uk/static_war/images/shim.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warwick.ac.uk/static_war/images/shim.gif">
                        <a:hlinkClick r:id="rId12"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BF538A" w:rsidRPr="00A32811" w:rsidRDefault="00E00A46" w:rsidP="00A32811">
      <w:pPr>
        <w:pStyle w:val="ListParagraph"/>
        <w:numPr>
          <w:ilvl w:val="0"/>
          <w:numId w:val="2"/>
        </w:numPr>
        <w:rPr>
          <w:rFonts w:ascii="Arial" w:hAnsi="Arial" w:cs="Arial"/>
          <w:sz w:val="24"/>
          <w:szCs w:val="24"/>
        </w:rPr>
      </w:pPr>
      <w:hyperlink r:id="rId13" w:tgtFrame="_blank" w:history="1">
        <w:r w:rsidR="00A32811" w:rsidRPr="00A32811">
          <w:rPr>
            <w:rStyle w:val="Hyperlink"/>
            <w:rFonts w:ascii="Arial" w:hAnsi="Arial" w:cs="Arial"/>
            <w:sz w:val="24"/>
            <w:szCs w:val="24"/>
          </w:rPr>
          <w:t>Federation of Cultural and Adult Education Associations, (FACEPA), Spain</w:t>
        </w:r>
        <w:r w:rsidR="00A32811" w:rsidRPr="00A32811">
          <w:rPr>
            <w:noProof/>
            <w:color w:val="0000FF"/>
            <w:lang w:eastAsia="en-GB"/>
          </w:rPr>
          <w:drawing>
            <wp:inline distT="0" distB="0" distL="0" distR="0">
              <wp:extent cx="9525" cy="9525"/>
              <wp:effectExtent l="0" t="0" r="0" b="0"/>
              <wp:docPr id="2" name="Picture 2" descr="http://www2.warwick.ac.uk/static_war/images/shim.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warwick.ac.uk/static_war/images/shim.gif">
                        <a:hlinkClick r:id="rId13"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sectPr w:rsidR="00BF538A" w:rsidRPr="00A32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A2A2B"/>
    <w:multiLevelType w:val="hybridMultilevel"/>
    <w:tmpl w:val="DFDC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F64CF4"/>
    <w:multiLevelType w:val="hybridMultilevel"/>
    <w:tmpl w:val="D3BE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E0"/>
    <w:rsid w:val="003B44E0"/>
    <w:rsid w:val="00826786"/>
    <w:rsid w:val="009B5BC1"/>
    <w:rsid w:val="00A32811"/>
    <w:rsid w:val="00BF538A"/>
    <w:rsid w:val="00E00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2FD82-48DF-4EF7-A034-36B0D326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4E0"/>
    <w:rPr>
      <w:rFonts w:ascii="Tahoma" w:hAnsi="Tahoma" w:cs="Tahoma"/>
      <w:sz w:val="16"/>
      <w:szCs w:val="16"/>
    </w:rPr>
  </w:style>
  <w:style w:type="paragraph" w:styleId="ListParagraph">
    <w:name w:val="List Paragraph"/>
    <w:basedOn w:val="Normal"/>
    <w:uiPriority w:val="34"/>
    <w:qFormat/>
    <w:rsid w:val="00826786"/>
    <w:pPr>
      <w:ind w:left="720"/>
      <w:contextualSpacing/>
    </w:pPr>
  </w:style>
  <w:style w:type="character" w:styleId="Hyperlink">
    <w:name w:val="Hyperlink"/>
    <w:basedOn w:val="DefaultParagraphFont"/>
    <w:uiPriority w:val="99"/>
    <w:unhideWhenUsed/>
    <w:rsid w:val="00A328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ac.uk" TargetMode="External"/><Relationship Id="rId13" Type="http://schemas.openxmlformats.org/officeDocument/2006/relationships/hyperlink" Target="http://www.eaea.org/en/membership/eaea-members/spain-facepa-associate-member.htm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amalipe.com/index.php?nav=news&amp;id=1333&amp;lang=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ids.ro/about-partners-agora.php" TargetMode="External"/><Relationship Id="rId11" Type="http://schemas.openxmlformats.org/officeDocument/2006/relationships/hyperlink" Target="http://www.donau-uni.ac.at/e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eaea.org/" TargetMode="External"/><Relationship Id="rId4" Type="http://schemas.openxmlformats.org/officeDocument/2006/relationships/webSettings" Target="webSettings.xml"/><Relationship Id="rId9" Type="http://schemas.openxmlformats.org/officeDocument/2006/relationships/hyperlink" Target="http://www.montesca.it/index.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410F898</Template>
  <TotalTime>40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Merrill</dc:creator>
  <cp:lastModifiedBy>Flint, Olivia</cp:lastModifiedBy>
  <cp:revision>3</cp:revision>
  <dcterms:created xsi:type="dcterms:W3CDTF">2015-04-02T10:46:00Z</dcterms:created>
  <dcterms:modified xsi:type="dcterms:W3CDTF">2015-04-02T12:11:00Z</dcterms:modified>
</cp:coreProperties>
</file>