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A9D6D" w14:textId="77777777" w:rsidR="005E4C3E" w:rsidRDefault="005E4C3E">
      <w:pPr>
        <w:jc w:val="center"/>
        <w:rPr>
          <w:rFonts w:ascii="Calibri" w:hAnsi="Calibri" w:cs="Calibri"/>
          <w:sz w:val="72"/>
          <w:szCs w:val="72"/>
        </w:rPr>
      </w:pPr>
    </w:p>
    <w:p w14:paraId="2ABA9D6E" w14:textId="77777777" w:rsidR="005E4C3E" w:rsidRDefault="005E4C3E">
      <w:pPr>
        <w:jc w:val="center"/>
        <w:rPr>
          <w:rFonts w:ascii="Calibri" w:hAnsi="Calibri" w:cs="Calibri"/>
          <w:sz w:val="72"/>
          <w:szCs w:val="72"/>
        </w:rPr>
      </w:pPr>
    </w:p>
    <w:p w14:paraId="2ABA9D6F" w14:textId="77777777" w:rsidR="005E4C3E" w:rsidRDefault="00BF3721">
      <w:pPr>
        <w:jc w:val="center"/>
        <w:rPr>
          <w:rFonts w:ascii="Calibri" w:hAnsi="Calibri" w:cs="Calibri"/>
          <w:sz w:val="72"/>
          <w:szCs w:val="72"/>
        </w:rPr>
      </w:pPr>
      <w:r>
        <w:rPr>
          <w:rFonts w:ascii="Calibri" w:hAnsi="Calibri" w:cs="Calibri"/>
          <w:sz w:val="72"/>
          <w:szCs w:val="72"/>
        </w:rPr>
        <w:t>Comparison of education in state secondary schools in Northern Ireland and England.</w:t>
      </w:r>
    </w:p>
    <w:p w14:paraId="2ABA9D70" w14:textId="77777777" w:rsidR="005E4C3E" w:rsidRDefault="00BF3721">
      <w:pPr>
        <w:jc w:val="center"/>
        <w:rPr>
          <w:rFonts w:ascii="Calibri" w:hAnsi="Calibri" w:cs="Calibri"/>
          <w:sz w:val="32"/>
          <w:szCs w:val="32"/>
        </w:rPr>
      </w:pPr>
      <w:r>
        <w:rPr>
          <w:rFonts w:ascii="Calibri" w:hAnsi="Calibri" w:cs="Calibri"/>
          <w:sz w:val="32"/>
          <w:szCs w:val="32"/>
        </w:rPr>
        <w:t>Xinru Jiang, Youn Affejee, Dr Ellis Ryan and Dr Tammy Thiele.</w:t>
      </w:r>
    </w:p>
    <w:p w14:paraId="2ABA9D71" w14:textId="77777777" w:rsidR="005E4C3E" w:rsidRDefault="005E4C3E">
      <w:pPr>
        <w:jc w:val="center"/>
        <w:rPr>
          <w:rFonts w:ascii="Calibri" w:hAnsi="Calibri" w:cs="Calibri"/>
          <w:sz w:val="32"/>
          <w:szCs w:val="32"/>
        </w:rPr>
      </w:pPr>
    </w:p>
    <w:p w14:paraId="2ABA9D72" w14:textId="77777777" w:rsidR="005E4C3E" w:rsidRDefault="005E4C3E">
      <w:pPr>
        <w:jc w:val="center"/>
        <w:rPr>
          <w:rFonts w:ascii="Calibri" w:hAnsi="Calibri" w:cs="Calibri"/>
          <w:sz w:val="32"/>
          <w:szCs w:val="32"/>
        </w:rPr>
      </w:pPr>
    </w:p>
    <w:p w14:paraId="2ABA9D73" w14:textId="77777777" w:rsidR="005E4C3E" w:rsidRDefault="005E4C3E">
      <w:pPr>
        <w:jc w:val="center"/>
        <w:rPr>
          <w:rFonts w:ascii="Calibri" w:hAnsi="Calibri" w:cs="Calibri"/>
          <w:sz w:val="32"/>
          <w:szCs w:val="32"/>
        </w:rPr>
      </w:pPr>
    </w:p>
    <w:p w14:paraId="2ABA9D74" w14:textId="77777777" w:rsidR="005E4C3E" w:rsidRDefault="005E4C3E">
      <w:pPr>
        <w:jc w:val="center"/>
        <w:rPr>
          <w:rFonts w:ascii="Calibri" w:hAnsi="Calibri" w:cs="Calibri"/>
          <w:sz w:val="32"/>
          <w:szCs w:val="32"/>
        </w:rPr>
      </w:pPr>
    </w:p>
    <w:p w14:paraId="2ABA9D75" w14:textId="77777777" w:rsidR="005E4C3E" w:rsidRDefault="005E4C3E">
      <w:pPr>
        <w:jc w:val="center"/>
        <w:rPr>
          <w:rFonts w:ascii="Calibri" w:hAnsi="Calibri" w:cs="Calibri"/>
          <w:sz w:val="32"/>
          <w:szCs w:val="32"/>
        </w:rPr>
      </w:pPr>
    </w:p>
    <w:p w14:paraId="2ABA9D76" w14:textId="77777777" w:rsidR="005E4C3E" w:rsidRDefault="005E4C3E">
      <w:pPr>
        <w:jc w:val="center"/>
        <w:rPr>
          <w:rFonts w:ascii="Calibri" w:hAnsi="Calibri" w:cs="Calibri"/>
          <w:sz w:val="32"/>
          <w:szCs w:val="32"/>
        </w:rPr>
      </w:pPr>
    </w:p>
    <w:p w14:paraId="2ABA9D77" w14:textId="77777777" w:rsidR="005E4C3E" w:rsidRDefault="005E4C3E">
      <w:pPr>
        <w:jc w:val="center"/>
        <w:rPr>
          <w:rFonts w:ascii="Calibri" w:hAnsi="Calibri" w:cs="Calibri"/>
          <w:sz w:val="32"/>
          <w:szCs w:val="32"/>
        </w:rPr>
      </w:pPr>
    </w:p>
    <w:p w14:paraId="2ABA9D78" w14:textId="77777777" w:rsidR="005E4C3E" w:rsidRDefault="005E4C3E">
      <w:pPr>
        <w:jc w:val="center"/>
        <w:rPr>
          <w:rFonts w:ascii="Calibri" w:hAnsi="Calibri" w:cs="Calibri"/>
          <w:sz w:val="32"/>
          <w:szCs w:val="32"/>
        </w:rPr>
      </w:pPr>
    </w:p>
    <w:p w14:paraId="2ABA9D79" w14:textId="77777777" w:rsidR="005E4C3E" w:rsidRDefault="005E4C3E">
      <w:pPr>
        <w:jc w:val="center"/>
        <w:rPr>
          <w:rFonts w:ascii="Calibri" w:hAnsi="Calibri" w:cs="Calibri"/>
          <w:sz w:val="32"/>
          <w:szCs w:val="32"/>
        </w:rPr>
      </w:pPr>
    </w:p>
    <w:p w14:paraId="2ABA9D7A" w14:textId="77777777" w:rsidR="005E4C3E" w:rsidRDefault="005E4C3E">
      <w:pPr>
        <w:jc w:val="center"/>
        <w:rPr>
          <w:rFonts w:ascii="Calibri" w:hAnsi="Calibri" w:cs="Calibri"/>
          <w:sz w:val="32"/>
          <w:szCs w:val="32"/>
        </w:rPr>
      </w:pPr>
    </w:p>
    <w:p w14:paraId="2ABA9D7B" w14:textId="77777777" w:rsidR="005E4C3E" w:rsidRDefault="005E4C3E">
      <w:pPr>
        <w:jc w:val="center"/>
        <w:rPr>
          <w:rFonts w:ascii="Calibri" w:hAnsi="Calibri" w:cs="Calibri"/>
          <w:sz w:val="32"/>
          <w:szCs w:val="32"/>
        </w:rPr>
      </w:pPr>
    </w:p>
    <w:p w14:paraId="2ABA9D7C" w14:textId="77777777" w:rsidR="005E4C3E" w:rsidRDefault="005E4C3E">
      <w:pPr>
        <w:jc w:val="center"/>
        <w:rPr>
          <w:rFonts w:ascii="Calibri" w:hAnsi="Calibri" w:cs="Calibri"/>
          <w:sz w:val="32"/>
          <w:szCs w:val="32"/>
        </w:rPr>
      </w:pPr>
    </w:p>
    <w:p w14:paraId="2ABA9D7D" w14:textId="77777777" w:rsidR="005E4C3E" w:rsidRDefault="005E4C3E">
      <w:pPr>
        <w:jc w:val="center"/>
        <w:rPr>
          <w:rFonts w:ascii="Calibri" w:hAnsi="Calibri" w:cs="Calibri"/>
          <w:sz w:val="32"/>
          <w:szCs w:val="32"/>
        </w:rPr>
      </w:pPr>
    </w:p>
    <w:p w14:paraId="2ABA9D7E" w14:textId="77777777" w:rsidR="005E4C3E" w:rsidRDefault="00BF3721">
      <w:pPr>
        <w:rPr>
          <w:rFonts w:ascii="Calibri" w:hAnsi="Calibri" w:cs="Calibri"/>
          <w:sz w:val="32"/>
          <w:szCs w:val="32"/>
        </w:rPr>
      </w:pPr>
      <w:r>
        <w:rPr>
          <w:rFonts w:ascii="Calibri" w:hAnsi="Calibri" w:cs="Calibri"/>
          <w:sz w:val="32"/>
          <w:szCs w:val="32"/>
        </w:rPr>
        <w:lastRenderedPageBreak/>
        <w:t xml:space="preserve">Abstract </w:t>
      </w:r>
    </w:p>
    <w:p w14:paraId="2ABA9D7F" w14:textId="77777777" w:rsidR="005E4C3E" w:rsidRDefault="00BF3721">
      <w:pPr>
        <w:rPr>
          <w:rFonts w:ascii="Calibri" w:hAnsi="Calibri" w:cs="Calibri"/>
        </w:rPr>
      </w:pPr>
      <w:r>
        <w:rPr>
          <w:rFonts w:ascii="Calibri" w:hAnsi="Calibri" w:cs="Calibri"/>
        </w:rPr>
        <w:t xml:space="preserve">This research compares state secondary education in Northern Ireland and England, 2 UK regions sharing a national curriculum but differing in school structures and governance. Existing literature highlights similar grade attainment, provision of certain academic programmes designed to improve student prospects and school rankings but lacks deeper comparisons of school offerings. To address this, a quantitative survey was conducted with students who attended a range of schools in England and Northern Ireland. The questions focused on what opportunities and resources their institution provided. Results indicate that Northern Irish students reported having access to fewer resources compared with their English counterparts. This disparity may be linked to the smaller average school size in Northern Ireland, with approximately 300 students less per school in comparison to England, which reduces funding and limits the variety of provisions schools can offer. Therefore, Northern Irish students may have access to fewer educational opportunities, reducing their prospects, compared to their English peers. A key limiting factor of this study is the small sample size, which reduces the generalisability of the findings. Further research should be conducted on a larger </w:t>
      </w:r>
      <w:proofErr w:type="gramStart"/>
      <w:r>
        <w:rPr>
          <w:rFonts w:ascii="Calibri" w:hAnsi="Calibri" w:cs="Calibri"/>
        </w:rPr>
        <w:t>scale</w:t>
      </w:r>
      <w:proofErr w:type="gramEnd"/>
      <w:r>
        <w:rPr>
          <w:rFonts w:ascii="Calibri" w:hAnsi="Calibri" w:cs="Calibri"/>
        </w:rPr>
        <w:t xml:space="preserve"> and policymakers should consider increasing funding for Northern Irish schools to reduce inequalities in educational provision.</w:t>
      </w:r>
    </w:p>
    <w:p w14:paraId="2ABA9D80" w14:textId="77777777" w:rsidR="005E4C3E" w:rsidRDefault="005E4C3E">
      <w:pPr>
        <w:rPr>
          <w:rFonts w:ascii="Calibri" w:hAnsi="Calibri" w:cs="Calibri"/>
        </w:rPr>
      </w:pPr>
    </w:p>
    <w:p w14:paraId="2ABA9D81" w14:textId="77777777" w:rsidR="005E4C3E" w:rsidRDefault="00BF3721">
      <w:pPr>
        <w:rPr>
          <w:rFonts w:ascii="Calibri" w:hAnsi="Calibri" w:cs="Calibri"/>
          <w:sz w:val="32"/>
          <w:szCs w:val="32"/>
        </w:rPr>
      </w:pPr>
      <w:r>
        <w:rPr>
          <w:rFonts w:ascii="Calibri" w:hAnsi="Calibri" w:cs="Calibri"/>
          <w:sz w:val="32"/>
          <w:szCs w:val="32"/>
        </w:rPr>
        <w:t>Introduction</w:t>
      </w:r>
    </w:p>
    <w:p w14:paraId="2ABA9D82" w14:textId="50061BD8" w:rsidR="005E4C3E" w:rsidRDefault="00BF3721">
      <w:r>
        <w:rPr>
          <w:rFonts w:ascii="Calibri" w:hAnsi="Calibri" w:cs="Calibri"/>
        </w:rPr>
        <w:t>Education systems in the United Kingdom share broad similarities due to a historically centralised approach with England as the model. Since devolution in 1999, each nation has shaped its own policies, making direct comparisons more complex.</w:t>
      </w:r>
      <w:r>
        <w:rPr>
          <w:rFonts w:ascii="Calibri" w:hAnsi="Calibri" w:cs="Calibri"/>
          <w:vertAlign w:val="superscript"/>
        </w:rPr>
        <w:t xml:space="preserve"> 1</w:t>
      </w:r>
      <w:r>
        <w:rPr>
          <w:rFonts w:ascii="Calibri" w:hAnsi="Calibri" w:cs="Calibri"/>
        </w:rPr>
        <w:t xml:space="preserve"> Northern Ireland and England retain a shared national curriculum, requiring GCSEs at ages 15-16 and A-Levels at ages 17-18 but diverge significantly in school governance. Some English schools have more autonomy over the national curriculum except for core subjects, such as academies. The country has also greatly reduced its number of “selective” grammar schools down to 4.72% of total secondary schools, whereas 34.7% of schools in Northern Ireland are grammar schools.</w:t>
      </w:r>
      <w:r>
        <w:rPr>
          <w:rFonts w:ascii="Calibri" w:hAnsi="Calibri" w:cs="Calibri"/>
          <w:vertAlign w:val="superscript"/>
        </w:rPr>
        <w:t xml:space="preserve"> 1,2,3</w:t>
      </w:r>
      <w:r>
        <w:rPr>
          <w:rFonts w:ascii="Calibri" w:hAnsi="Calibri" w:cs="Calibri"/>
        </w:rPr>
        <w:t xml:space="preserve"> The only direct comparison found in existing literature relates to examination results and level of qualifications, which show broadly similar levels of attainment at GCSEs between the two regions, with the Northern Irish population having almost twice as many people without qualifications </w:t>
      </w:r>
      <w:r w:rsidR="00FA13A6">
        <w:rPr>
          <w:rFonts w:ascii="Calibri" w:hAnsi="Calibri" w:cs="Calibri"/>
        </w:rPr>
        <w:t>as</w:t>
      </w:r>
      <w:r>
        <w:rPr>
          <w:rFonts w:ascii="Calibri" w:hAnsi="Calibri" w:cs="Calibri"/>
        </w:rPr>
        <w:t xml:space="preserve"> England.</w:t>
      </w:r>
      <w:r>
        <w:rPr>
          <w:rFonts w:ascii="Calibri" w:hAnsi="Calibri" w:cs="Calibri"/>
          <w:vertAlign w:val="superscript"/>
        </w:rPr>
        <w:t xml:space="preserve"> 1,4</w:t>
      </w:r>
      <w:r>
        <w:rPr>
          <w:rFonts w:ascii="Calibri" w:hAnsi="Calibri" w:cs="Calibri"/>
        </w:rPr>
        <w:t xml:space="preserve"> Beyond this, there is little research examining how the systems differ in practice.  </w:t>
      </w:r>
    </w:p>
    <w:p w14:paraId="1CCB6FC2" w14:textId="51BFF908" w:rsidR="00013D3F" w:rsidRDefault="00BF3721" w:rsidP="00013D3F">
      <w:pPr>
        <w:rPr>
          <w:rFonts w:ascii="Calibri" w:hAnsi="Calibri" w:cs="Calibri"/>
        </w:rPr>
      </w:pPr>
      <w:r>
        <w:rPr>
          <w:rFonts w:ascii="Calibri" w:hAnsi="Calibri" w:cs="Calibri"/>
        </w:rPr>
        <w:t>Th</w:t>
      </w:r>
      <w:r w:rsidR="002E73E9">
        <w:rPr>
          <w:rFonts w:ascii="Calibri" w:hAnsi="Calibri" w:cs="Calibri"/>
        </w:rPr>
        <w:t xml:space="preserve">e purpose of this </w:t>
      </w:r>
      <w:r>
        <w:rPr>
          <w:rFonts w:ascii="Calibri" w:hAnsi="Calibri" w:cs="Calibri"/>
        </w:rPr>
        <w:t xml:space="preserve">study </w:t>
      </w:r>
      <w:r w:rsidR="002E73E9">
        <w:rPr>
          <w:rFonts w:ascii="Calibri" w:hAnsi="Calibri" w:cs="Calibri"/>
        </w:rPr>
        <w:t xml:space="preserve">is to </w:t>
      </w:r>
      <w:r>
        <w:rPr>
          <w:rFonts w:ascii="Calibri" w:hAnsi="Calibri" w:cs="Calibri"/>
        </w:rPr>
        <w:t>explore the differences between</w:t>
      </w:r>
      <w:r w:rsidR="006F6FAF">
        <w:rPr>
          <w:rFonts w:ascii="Calibri" w:hAnsi="Calibri" w:cs="Calibri"/>
        </w:rPr>
        <w:t xml:space="preserve"> Northern Irish and English</w:t>
      </w:r>
      <w:r>
        <w:rPr>
          <w:rFonts w:ascii="Calibri" w:hAnsi="Calibri" w:cs="Calibri"/>
        </w:rPr>
        <w:t xml:space="preserve"> institutions in greater depth, considering factors such as subject offerings, extracurricular opportunities, university outreach, academic support, teaching quality and </w:t>
      </w:r>
      <w:r w:rsidR="002E73E9">
        <w:rPr>
          <w:rFonts w:ascii="Calibri" w:hAnsi="Calibri" w:cs="Calibri"/>
        </w:rPr>
        <w:t>ethnic</w:t>
      </w:r>
      <w:r>
        <w:rPr>
          <w:rFonts w:ascii="Calibri" w:hAnsi="Calibri" w:cs="Calibri"/>
        </w:rPr>
        <w:t xml:space="preserve"> diversity. This study provides a detailed comparison of provisions at state secondary education in Northern Ireland and England and identifies major distinctions between the two education systems, which will</w:t>
      </w:r>
      <w:r w:rsidR="00013D3F">
        <w:rPr>
          <w:rFonts w:ascii="Calibri" w:hAnsi="Calibri" w:cs="Calibri"/>
        </w:rPr>
        <w:t xml:space="preserve"> allow more detailed research to take place and pave the way for future research in this area.</w:t>
      </w:r>
    </w:p>
    <w:p w14:paraId="2ABA9D85" w14:textId="77777777" w:rsidR="005E4C3E" w:rsidRDefault="005E4C3E">
      <w:pPr>
        <w:rPr>
          <w:rFonts w:ascii="Calibri" w:hAnsi="Calibri" w:cs="Calibri"/>
        </w:rPr>
      </w:pPr>
    </w:p>
    <w:p w14:paraId="2ABA9D86" w14:textId="77777777" w:rsidR="005E4C3E" w:rsidRDefault="00BF3721">
      <w:pPr>
        <w:rPr>
          <w:rFonts w:ascii="Calibri" w:hAnsi="Calibri" w:cs="Calibri"/>
        </w:rPr>
      </w:pPr>
      <w:r>
        <w:rPr>
          <w:rFonts w:ascii="Calibri" w:hAnsi="Calibri" w:cs="Calibri"/>
        </w:rPr>
        <w:lastRenderedPageBreak/>
        <w:t>The aim is to:</w:t>
      </w:r>
    </w:p>
    <w:p w14:paraId="2ABA9D87" w14:textId="77777777" w:rsidR="005E4C3E" w:rsidRDefault="00BF3721">
      <w:pPr>
        <w:pStyle w:val="ListParagraph"/>
        <w:numPr>
          <w:ilvl w:val="0"/>
          <w:numId w:val="1"/>
        </w:numPr>
        <w:rPr>
          <w:rFonts w:ascii="Calibri" w:hAnsi="Calibri" w:cs="Calibri"/>
        </w:rPr>
      </w:pPr>
      <w:r>
        <w:rPr>
          <w:rFonts w:ascii="Calibri" w:hAnsi="Calibri" w:cs="Calibri"/>
        </w:rPr>
        <w:t>Examine the current education policies and frameworks in both countries.</w:t>
      </w:r>
    </w:p>
    <w:p w14:paraId="2ABA9D88" w14:textId="77777777" w:rsidR="005E4C3E" w:rsidRDefault="00BF3721">
      <w:pPr>
        <w:pStyle w:val="ListParagraph"/>
        <w:numPr>
          <w:ilvl w:val="0"/>
          <w:numId w:val="1"/>
        </w:numPr>
        <w:rPr>
          <w:rFonts w:ascii="Calibri" w:hAnsi="Calibri" w:cs="Calibri"/>
        </w:rPr>
      </w:pPr>
      <w:r>
        <w:rPr>
          <w:rFonts w:ascii="Calibri" w:hAnsi="Calibri" w:cs="Calibri"/>
        </w:rPr>
        <w:t>Investigate the possible reasons behind academic and extracurricular offerings at state schools and how it can affect students.</w:t>
      </w:r>
    </w:p>
    <w:p w14:paraId="2ABA9D89" w14:textId="77777777" w:rsidR="005E4C3E" w:rsidRDefault="00BF3721">
      <w:pPr>
        <w:pStyle w:val="ListParagraph"/>
        <w:numPr>
          <w:ilvl w:val="0"/>
          <w:numId w:val="1"/>
        </w:numPr>
        <w:rPr>
          <w:rFonts w:ascii="Calibri" w:hAnsi="Calibri" w:cs="Calibri"/>
        </w:rPr>
      </w:pPr>
      <w:r>
        <w:rPr>
          <w:rFonts w:ascii="Calibri" w:hAnsi="Calibri" w:cs="Calibri"/>
        </w:rPr>
        <w:t>Investigate how teaching quality and ethnic diversity can affect students.</w:t>
      </w:r>
    </w:p>
    <w:p w14:paraId="2ABA9D8A" w14:textId="77777777" w:rsidR="005E4C3E" w:rsidRDefault="00BF3721">
      <w:pPr>
        <w:pStyle w:val="ListParagraph"/>
        <w:numPr>
          <w:ilvl w:val="0"/>
          <w:numId w:val="1"/>
        </w:numPr>
        <w:rPr>
          <w:rFonts w:ascii="Calibri" w:hAnsi="Calibri" w:cs="Calibri"/>
        </w:rPr>
      </w:pPr>
      <w:r>
        <w:rPr>
          <w:rFonts w:ascii="Calibri" w:hAnsi="Calibri" w:cs="Calibri"/>
        </w:rPr>
        <w:t>Survey students from a range of state secondary schools in Northern Ireland and England about subject offerings, extracurricular activities, university outreach, academic support, teaching quality and ethnic diversity.</w:t>
      </w:r>
    </w:p>
    <w:p w14:paraId="2ABA9D8B" w14:textId="77777777" w:rsidR="005E4C3E" w:rsidRDefault="00BF3721">
      <w:pPr>
        <w:pStyle w:val="ListParagraph"/>
        <w:numPr>
          <w:ilvl w:val="0"/>
          <w:numId w:val="1"/>
        </w:numPr>
        <w:rPr>
          <w:rFonts w:ascii="Calibri" w:hAnsi="Calibri" w:cs="Calibri"/>
        </w:rPr>
      </w:pPr>
      <w:r>
        <w:rPr>
          <w:rFonts w:ascii="Calibri" w:hAnsi="Calibri" w:cs="Calibri"/>
        </w:rPr>
        <w:t>Quantitatively analyse the survey responses to identify similarities and differences between the two education systems.</w:t>
      </w:r>
    </w:p>
    <w:p w14:paraId="2ABA9D8C" w14:textId="77777777" w:rsidR="005E4C3E" w:rsidRDefault="005E4C3E">
      <w:pPr>
        <w:rPr>
          <w:rFonts w:ascii="Calibri" w:hAnsi="Calibri" w:cs="Calibri"/>
        </w:rPr>
      </w:pPr>
    </w:p>
    <w:p w14:paraId="2ABA9D8D" w14:textId="77777777" w:rsidR="005E4C3E" w:rsidRDefault="00BF3721">
      <w:pPr>
        <w:rPr>
          <w:rFonts w:ascii="Calibri" w:hAnsi="Calibri" w:cs="Calibri"/>
          <w:sz w:val="32"/>
          <w:szCs w:val="32"/>
        </w:rPr>
      </w:pPr>
      <w:r>
        <w:rPr>
          <w:rFonts w:ascii="Calibri" w:hAnsi="Calibri" w:cs="Calibri"/>
          <w:sz w:val="32"/>
          <w:szCs w:val="32"/>
        </w:rPr>
        <w:t>Literature Review</w:t>
      </w:r>
    </w:p>
    <w:p w14:paraId="2ABA9D8E" w14:textId="77777777" w:rsidR="005E4C3E" w:rsidRDefault="00BF3721">
      <w:pPr>
        <w:rPr>
          <w:rFonts w:ascii="Calibri" w:hAnsi="Calibri" w:cs="Calibri"/>
          <w:sz w:val="28"/>
          <w:szCs w:val="28"/>
        </w:rPr>
      </w:pPr>
      <w:r>
        <w:rPr>
          <w:rFonts w:ascii="Calibri" w:hAnsi="Calibri" w:cs="Calibri"/>
          <w:sz w:val="28"/>
          <w:szCs w:val="28"/>
        </w:rPr>
        <w:t>National Curriculum</w:t>
      </w:r>
    </w:p>
    <w:p w14:paraId="2ABA9D8F" w14:textId="77777777" w:rsidR="005E4C3E" w:rsidRDefault="00BF3721">
      <w:r>
        <w:rPr>
          <w:rFonts w:ascii="Calibri" w:hAnsi="Calibri" w:cs="Calibri"/>
        </w:rPr>
        <w:t>England and Northern Ireland have an almost identical national curriculum for Key Stage Three (ages 11-14). Mandatory subjects for these year groups include English literature, English language, mathematics, science, history, geography, modern foreign languages, design and technology, art and design, music, physical education, citizenship and a form of computing.</w:t>
      </w:r>
      <w:r>
        <w:rPr>
          <w:rFonts w:ascii="Calibri" w:hAnsi="Calibri" w:cs="Calibri"/>
          <w:vertAlign w:val="superscript"/>
        </w:rPr>
        <w:t xml:space="preserve"> 5,6</w:t>
      </w:r>
      <w:r>
        <w:rPr>
          <w:rFonts w:ascii="Calibri" w:hAnsi="Calibri" w:cs="Calibri"/>
        </w:rPr>
        <w:t xml:space="preserve"> Religious education and relationships, sex and health education are included, though parents may withdraw their children from these lessons.</w:t>
      </w:r>
      <w:r>
        <w:rPr>
          <w:rFonts w:ascii="Calibri" w:hAnsi="Calibri" w:cs="Calibri"/>
          <w:vertAlign w:val="superscript"/>
        </w:rPr>
        <w:t xml:space="preserve"> 5,6</w:t>
      </w:r>
      <w:r>
        <w:rPr>
          <w:rFonts w:ascii="Calibri" w:hAnsi="Calibri" w:cs="Calibri"/>
        </w:rPr>
        <w:t xml:space="preserve"> The difference between the two countries’ national curriculum at Key Stage Three is that Northern Ireland requires home economics and drama.</w:t>
      </w:r>
      <w:r>
        <w:rPr>
          <w:rFonts w:ascii="Calibri" w:hAnsi="Calibri" w:cs="Calibri"/>
          <w:vertAlign w:val="superscript"/>
        </w:rPr>
        <w:t xml:space="preserve"> 5</w:t>
      </w:r>
      <w:r>
        <w:rPr>
          <w:rFonts w:ascii="Calibri" w:hAnsi="Calibri" w:cs="Calibri"/>
        </w:rPr>
        <w:t> </w:t>
      </w:r>
    </w:p>
    <w:p w14:paraId="2ABA9D90" w14:textId="541A5F48" w:rsidR="005E4C3E" w:rsidRDefault="00BF3721">
      <w:r>
        <w:rPr>
          <w:rFonts w:ascii="Calibri" w:hAnsi="Calibri" w:cs="Calibri"/>
        </w:rPr>
        <w:t>At Key Stage Four (ages 14-16), Both countries’ national curriculum continues to be similar. Northern Ireland has three statutory requirements which include: Learning for Life and Work, physical education and religious education GCSE.</w:t>
      </w:r>
      <w:r>
        <w:rPr>
          <w:rFonts w:ascii="Calibri" w:hAnsi="Calibri" w:cs="Calibri"/>
          <w:vertAlign w:val="superscript"/>
        </w:rPr>
        <w:t xml:space="preserve"> 5</w:t>
      </w:r>
      <w:r>
        <w:rPr>
          <w:rFonts w:ascii="Calibri" w:hAnsi="Calibri" w:cs="Calibri"/>
        </w:rPr>
        <w:t xml:space="preserve"> Technology skills, mathematics GCSE and English language GCSE </w:t>
      </w:r>
      <w:r w:rsidR="00915716">
        <w:rPr>
          <w:rFonts w:ascii="Calibri" w:hAnsi="Calibri" w:cs="Calibri"/>
        </w:rPr>
        <w:t>are</w:t>
      </w:r>
      <w:r>
        <w:rPr>
          <w:rFonts w:ascii="Calibri" w:hAnsi="Calibri" w:cs="Calibri"/>
        </w:rPr>
        <w:t xml:space="preserve"> required under Learning for life and work.</w:t>
      </w:r>
      <w:r>
        <w:rPr>
          <w:rFonts w:ascii="Calibri" w:hAnsi="Calibri" w:cs="Calibri"/>
          <w:vertAlign w:val="superscript"/>
        </w:rPr>
        <w:t xml:space="preserve"> 5</w:t>
      </w:r>
      <w:r>
        <w:rPr>
          <w:rFonts w:ascii="Calibri" w:hAnsi="Calibri" w:cs="Calibri"/>
        </w:rPr>
        <w:t xml:space="preserve"> Physical education is required though not examined and again, parents may withdraw their children from religious education, the same applies to the English national curriculum at this stage.</w:t>
      </w:r>
      <w:r>
        <w:rPr>
          <w:rFonts w:ascii="Calibri" w:hAnsi="Calibri" w:cs="Calibri"/>
          <w:vertAlign w:val="superscript"/>
        </w:rPr>
        <w:t xml:space="preserve"> 5</w:t>
      </w:r>
      <w:r>
        <w:rPr>
          <w:rFonts w:ascii="Calibri" w:hAnsi="Calibri" w:cs="Calibri"/>
        </w:rPr>
        <w:t xml:space="preserve"> However, English students must study a science – biology, chemistry, or physics – until they are 16 years of age, which differs from Northern Ireland.</w:t>
      </w:r>
      <w:r>
        <w:rPr>
          <w:rFonts w:ascii="Calibri" w:hAnsi="Calibri" w:cs="Calibri"/>
          <w:vertAlign w:val="superscript"/>
        </w:rPr>
        <w:t xml:space="preserve"> 6</w:t>
      </w:r>
      <w:r>
        <w:rPr>
          <w:rFonts w:ascii="Calibri" w:hAnsi="Calibri" w:cs="Calibri"/>
        </w:rPr>
        <w:t xml:space="preserve"> However, this does not mean English students must take a science GCSE; studying for a science GCSE is the easiest way to cater to the national curriculum.</w:t>
      </w:r>
      <w:r>
        <w:rPr>
          <w:rFonts w:ascii="Calibri" w:hAnsi="Calibri" w:cs="Calibri"/>
          <w:vertAlign w:val="superscript"/>
        </w:rPr>
        <w:t xml:space="preserve"> </w:t>
      </w:r>
      <w:r>
        <w:rPr>
          <w:rFonts w:ascii="Calibri" w:hAnsi="Calibri" w:cs="Calibri"/>
        </w:rPr>
        <w:t> Additionally, English schools must offer at least one subject from each of the following areas: arts, design and technology, humanities and modern foreign languages – all of which Northern Irish schools do not have to offer.</w:t>
      </w:r>
      <w:r>
        <w:rPr>
          <w:rFonts w:ascii="Calibri" w:hAnsi="Calibri" w:cs="Calibri"/>
          <w:vertAlign w:val="superscript"/>
        </w:rPr>
        <w:t xml:space="preserve"> 5,6</w:t>
      </w:r>
      <w:r>
        <w:rPr>
          <w:rFonts w:ascii="Calibri" w:hAnsi="Calibri" w:cs="Calibri"/>
        </w:rPr>
        <w:t>   </w:t>
      </w:r>
    </w:p>
    <w:p w14:paraId="2ABA9D91" w14:textId="77777777" w:rsidR="005E4C3E" w:rsidRDefault="00BF3721">
      <w:pPr>
        <w:rPr>
          <w:rFonts w:ascii="Calibri" w:hAnsi="Calibri" w:cs="Calibri"/>
        </w:rPr>
      </w:pPr>
      <w:r>
        <w:rPr>
          <w:rFonts w:ascii="Calibri" w:hAnsi="Calibri" w:cs="Calibri"/>
        </w:rPr>
        <w:t>Despite these small differences, most schools in both countries at GCSE level require students to study English language alongside English literature, mathematics, religious education, at least one science and at least one modern language GCSE, with a requirement in some schools to study a humanities subject. </w:t>
      </w:r>
    </w:p>
    <w:p w14:paraId="2ABA9D92" w14:textId="77777777" w:rsidR="005E4C3E" w:rsidRDefault="00BF3721">
      <w:pPr>
        <w:rPr>
          <w:rFonts w:ascii="Calibri" w:hAnsi="Calibri" w:cs="Calibri"/>
          <w:sz w:val="28"/>
          <w:szCs w:val="28"/>
          <w:lang w:val="en-US"/>
        </w:rPr>
      </w:pPr>
      <w:r>
        <w:rPr>
          <w:rFonts w:ascii="Calibri" w:hAnsi="Calibri" w:cs="Calibri"/>
          <w:sz w:val="28"/>
          <w:szCs w:val="28"/>
          <w:lang w:val="en-US"/>
        </w:rPr>
        <w:lastRenderedPageBreak/>
        <w:t>School Offerings</w:t>
      </w:r>
    </w:p>
    <w:p w14:paraId="2ABA9D93" w14:textId="5CBAD48D" w:rsidR="005E4C3E" w:rsidRDefault="00BF3721">
      <w:r>
        <w:rPr>
          <w:rFonts w:ascii="Calibri" w:hAnsi="Calibri" w:cs="Calibri"/>
        </w:rPr>
        <w:t>Extracurriculars are activities that go beyond the content that students learn in classrooms. Examples include being a part of a sports team, joining a club and volunteering. These activities can showcase a student’s personal growth and skills such as teamwork and communication.</w:t>
      </w:r>
      <w:r>
        <w:rPr>
          <w:rFonts w:ascii="Calibri" w:hAnsi="Calibri" w:cs="Calibri"/>
          <w:vertAlign w:val="superscript"/>
        </w:rPr>
        <w:t>7</w:t>
      </w:r>
      <w:r>
        <w:rPr>
          <w:rFonts w:ascii="Calibri" w:hAnsi="Calibri" w:cs="Calibri"/>
        </w:rPr>
        <w:t xml:space="preserve"> It has been found in many research papers that extracurricular participation has positive effects on academic achievements, but no direct relations.</w:t>
      </w:r>
      <w:r>
        <w:rPr>
          <w:rFonts w:ascii="Calibri" w:hAnsi="Calibri" w:cs="Calibri"/>
          <w:vertAlign w:val="superscript"/>
        </w:rPr>
        <w:t xml:space="preserve"> 8</w:t>
      </w:r>
      <w:r>
        <w:rPr>
          <w:rFonts w:ascii="Calibri" w:hAnsi="Calibri" w:cs="Calibri"/>
        </w:rPr>
        <w:t xml:space="preserve"> Additionally, previous research has shown that extracurriculars are vital for university applications, as sixty-three university admission teams mention that evidence of these activities is pivotal in their decisions for applications.</w:t>
      </w:r>
      <w:r>
        <w:rPr>
          <w:rFonts w:ascii="Calibri" w:hAnsi="Calibri" w:cs="Calibri"/>
          <w:vertAlign w:val="superscript"/>
        </w:rPr>
        <w:t xml:space="preserve"> 9</w:t>
      </w:r>
      <w:r>
        <w:rPr>
          <w:rFonts w:ascii="Calibri" w:hAnsi="Calibri" w:cs="Calibri"/>
        </w:rPr>
        <w:t xml:space="preserve"> The University of Oxford also stated that super curriculars, educational activities that go above and beyond the curriculum e.g., subject societies, shows a student’s passion for a subject, which is an essential factor to be admitted into their institution.</w:t>
      </w:r>
      <w:r>
        <w:rPr>
          <w:rFonts w:ascii="Calibri" w:hAnsi="Calibri" w:cs="Calibri"/>
          <w:vertAlign w:val="superscript"/>
        </w:rPr>
        <w:t xml:space="preserve"> 10</w:t>
      </w:r>
      <w:r>
        <w:rPr>
          <w:rFonts w:ascii="Calibri" w:hAnsi="Calibri" w:cs="Calibri"/>
        </w:rPr>
        <w:t> </w:t>
      </w:r>
    </w:p>
    <w:p w14:paraId="2ABA9D94" w14:textId="77777777" w:rsidR="005E4C3E" w:rsidRDefault="00BF3721">
      <w:pPr>
        <w:rPr>
          <w:rFonts w:ascii="Calibri" w:hAnsi="Calibri" w:cs="Calibri"/>
        </w:rPr>
      </w:pPr>
      <w:r>
        <w:rPr>
          <w:rFonts w:ascii="Calibri" w:hAnsi="Calibri" w:cs="Calibri"/>
        </w:rPr>
        <w:t>There is little research on whether having a wider range of extracurricular choices influences extracurricular participation. There is also limited research on whether more subject choices affect attainment. However, previous research papers have talked about certain subject choices and A-Level attainment in the context of university admissions.  </w:t>
      </w:r>
    </w:p>
    <w:p w14:paraId="2ABA9D95" w14:textId="77777777" w:rsidR="005E4C3E" w:rsidRDefault="00BF3721">
      <w:r>
        <w:rPr>
          <w:rFonts w:ascii="Calibri" w:hAnsi="Calibri" w:cs="Calibri"/>
        </w:rPr>
        <w:t>These papers talk in-depth about students maximising their UCAS tariff points, through achieving higher grades in their A-Levels, enabling them to have a wider selection of universities, particularly more selective universities. Overall, this increases their chances of getting into university.</w:t>
      </w:r>
      <w:r>
        <w:rPr>
          <w:rFonts w:ascii="Calibri" w:hAnsi="Calibri" w:cs="Calibri"/>
          <w:vertAlign w:val="superscript"/>
        </w:rPr>
        <w:t xml:space="preserve"> 11</w:t>
      </w:r>
      <w:r>
        <w:rPr>
          <w:rFonts w:ascii="Calibri" w:hAnsi="Calibri" w:cs="Calibri"/>
        </w:rPr>
        <w:t>  </w:t>
      </w:r>
    </w:p>
    <w:p w14:paraId="2ABA9D96" w14:textId="6B61A4F6" w:rsidR="005E4C3E" w:rsidRDefault="00BF3721">
      <w:r>
        <w:rPr>
          <w:rFonts w:ascii="Calibri" w:hAnsi="Calibri" w:cs="Calibri"/>
        </w:rPr>
        <w:t>Further studies have estimated the difficulty of a range of subjects, suggesting more traditional subjects commonly offered at GCSE and A-Levels, </w:t>
      </w:r>
      <w:r w:rsidR="00900B8A">
        <w:rPr>
          <w:rFonts w:ascii="Calibri" w:hAnsi="Calibri" w:cs="Calibri"/>
        </w:rPr>
        <w:t>such as</w:t>
      </w:r>
      <w:r>
        <w:rPr>
          <w:rFonts w:ascii="Calibri" w:hAnsi="Calibri" w:cs="Calibri"/>
        </w:rPr>
        <w:t xml:space="preserve"> mathematics, are more difficult than most applied subjects like media.</w:t>
      </w:r>
      <w:r>
        <w:rPr>
          <w:rFonts w:ascii="Calibri" w:hAnsi="Calibri" w:cs="Calibri"/>
          <w:vertAlign w:val="superscript"/>
        </w:rPr>
        <w:t xml:space="preserve"> 11</w:t>
      </w:r>
      <w:r>
        <w:rPr>
          <w:rFonts w:ascii="Calibri" w:hAnsi="Calibri" w:cs="Calibri"/>
        </w:rPr>
        <w:t xml:space="preserve"> The perceived subject difficulty coincidentally lines up with the </w:t>
      </w:r>
      <w:r w:rsidR="00340698">
        <w:rPr>
          <w:rFonts w:ascii="Calibri" w:hAnsi="Calibri" w:cs="Calibri"/>
        </w:rPr>
        <w:t>three</w:t>
      </w:r>
      <w:r>
        <w:rPr>
          <w:rFonts w:ascii="Calibri" w:hAnsi="Calibri" w:cs="Calibri"/>
        </w:rPr>
        <w:t xml:space="preserve"> categories that subjects are placed into by universities: hard traditional, hard non-traditional and soft.</w:t>
      </w:r>
      <w:r>
        <w:rPr>
          <w:rFonts w:ascii="Calibri" w:hAnsi="Calibri" w:cs="Calibri"/>
          <w:vertAlign w:val="superscript"/>
        </w:rPr>
        <w:t xml:space="preserve"> 11</w:t>
      </w:r>
      <w:r>
        <w:rPr>
          <w:rFonts w:ascii="Calibri" w:hAnsi="Calibri" w:cs="Calibri"/>
        </w:rPr>
        <w:t xml:space="preserve"> Hard subjects are considered more suitable preparation for university, with Russell Group universities preferring them.</w:t>
      </w:r>
      <w:r>
        <w:rPr>
          <w:rFonts w:ascii="Calibri" w:hAnsi="Calibri" w:cs="Calibri"/>
          <w:vertAlign w:val="superscript"/>
        </w:rPr>
        <w:t xml:space="preserve"> 11</w:t>
      </w:r>
      <w:r>
        <w:rPr>
          <w:rFonts w:ascii="Calibri" w:hAnsi="Calibri" w:cs="Calibri"/>
        </w:rPr>
        <w:t> </w:t>
      </w:r>
    </w:p>
    <w:p w14:paraId="2ABA9D97" w14:textId="2825688B" w:rsidR="005E4C3E" w:rsidRDefault="00BF3721">
      <w:r>
        <w:rPr>
          <w:rFonts w:ascii="Calibri" w:hAnsi="Calibri" w:cs="Calibri"/>
        </w:rPr>
        <w:t>In England, there are thousands of secondary schools</w:t>
      </w:r>
      <w:r w:rsidR="000948AE">
        <w:rPr>
          <w:rFonts w:ascii="Calibri" w:hAnsi="Calibri" w:cs="Calibri"/>
        </w:rPr>
        <w:t>. A s a result,</w:t>
      </w:r>
      <w:r>
        <w:rPr>
          <w:rFonts w:ascii="Calibri" w:hAnsi="Calibri" w:cs="Calibri"/>
        </w:rPr>
        <w:t xml:space="preserve"> parents feel inclined to select </w:t>
      </w:r>
      <w:r w:rsidR="00ED6C22">
        <w:rPr>
          <w:rFonts w:ascii="Calibri" w:hAnsi="Calibri" w:cs="Calibri"/>
        </w:rPr>
        <w:t>the best</w:t>
      </w:r>
      <w:r>
        <w:rPr>
          <w:rFonts w:ascii="Calibri" w:hAnsi="Calibri" w:cs="Calibri"/>
        </w:rPr>
        <w:t xml:space="preserve"> school for their child. School rankings are utilised and are based on an institution’s average grade attainment.</w:t>
      </w:r>
      <w:r>
        <w:rPr>
          <w:rFonts w:ascii="Calibri" w:hAnsi="Calibri" w:cs="Calibri"/>
          <w:vertAlign w:val="superscript"/>
        </w:rPr>
        <w:t xml:space="preserve"> 1</w:t>
      </w:r>
      <w:r>
        <w:rPr>
          <w:rFonts w:ascii="Calibri" w:hAnsi="Calibri" w:cs="Calibri"/>
        </w:rPr>
        <w:t xml:space="preserve"> Due to this, English schools may provide softer subjects that are considered easier, to enable their students to achieve higher grades at A-Level, to raise their school ranking. </w:t>
      </w:r>
      <w:r>
        <w:rPr>
          <w:rFonts w:ascii="Calibri" w:hAnsi="Calibri" w:cs="Calibri"/>
          <w:vertAlign w:val="superscript"/>
        </w:rPr>
        <w:t>11</w:t>
      </w:r>
      <w:r>
        <w:rPr>
          <w:rFonts w:ascii="Calibri" w:hAnsi="Calibri" w:cs="Calibri"/>
        </w:rPr>
        <w:t> </w:t>
      </w:r>
    </w:p>
    <w:p w14:paraId="2ABA9D98" w14:textId="1F67DB9E" w:rsidR="005E4C3E" w:rsidRDefault="00BF3721">
      <w:r>
        <w:rPr>
          <w:rFonts w:ascii="Calibri" w:hAnsi="Calibri" w:cs="Calibri"/>
        </w:rPr>
        <w:t xml:space="preserve">Additionally, it is common that students can study softer A-Levels without a prior GCSE qualification </w:t>
      </w:r>
      <w:r w:rsidR="00192887">
        <w:rPr>
          <w:rFonts w:ascii="Calibri" w:hAnsi="Calibri" w:cs="Calibri"/>
        </w:rPr>
        <w:t xml:space="preserve">in that subject </w:t>
      </w:r>
      <w:r>
        <w:rPr>
          <w:rFonts w:ascii="Calibri" w:hAnsi="Calibri" w:cs="Calibri"/>
        </w:rPr>
        <w:t>in both countries.</w:t>
      </w:r>
      <w:r>
        <w:rPr>
          <w:rFonts w:ascii="Calibri" w:hAnsi="Calibri" w:cs="Calibri"/>
          <w:vertAlign w:val="superscript"/>
        </w:rPr>
        <w:t xml:space="preserve"> 12,13</w:t>
      </w:r>
      <w:r>
        <w:rPr>
          <w:rFonts w:ascii="Calibri" w:hAnsi="Calibri" w:cs="Calibri"/>
        </w:rPr>
        <w:t> </w:t>
      </w:r>
    </w:p>
    <w:p w14:paraId="2ABA9D99" w14:textId="77777777" w:rsidR="005E4C3E" w:rsidRDefault="005E4C3E">
      <w:pPr>
        <w:rPr>
          <w:rFonts w:ascii="Calibri" w:hAnsi="Calibri" w:cs="Calibri"/>
        </w:rPr>
      </w:pPr>
    </w:p>
    <w:p w14:paraId="2ABA9D9A" w14:textId="77777777" w:rsidR="005E4C3E" w:rsidRDefault="005E4C3E">
      <w:pPr>
        <w:rPr>
          <w:rFonts w:ascii="Calibri" w:hAnsi="Calibri" w:cs="Calibri"/>
        </w:rPr>
      </w:pPr>
    </w:p>
    <w:p w14:paraId="2ABA9D9B" w14:textId="77777777" w:rsidR="005E4C3E" w:rsidRDefault="005E4C3E">
      <w:pPr>
        <w:rPr>
          <w:rFonts w:ascii="Calibri" w:hAnsi="Calibri" w:cs="Calibri"/>
        </w:rPr>
      </w:pPr>
    </w:p>
    <w:p w14:paraId="2ABA9D9C" w14:textId="77777777" w:rsidR="005E4C3E" w:rsidRDefault="005E4C3E">
      <w:pPr>
        <w:rPr>
          <w:rFonts w:ascii="Calibri" w:hAnsi="Calibri" w:cs="Calibri"/>
        </w:rPr>
      </w:pPr>
    </w:p>
    <w:p w14:paraId="2ABA9D9D" w14:textId="77777777" w:rsidR="005E4C3E" w:rsidRDefault="005E4C3E">
      <w:pPr>
        <w:rPr>
          <w:rFonts w:ascii="Calibri" w:hAnsi="Calibri" w:cs="Calibri"/>
        </w:rPr>
      </w:pPr>
    </w:p>
    <w:p w14:paraId="2ABA9D9E" w14:textId="77777777" w:rsidR="005E4C3E" w:rsidRDefault="00BF3721">
      <w:r>
        <w:rPr>
          <w:rFonts w:ascii="Calibri" w:hAnsi="Calibri" w:cs="Calibri"/>
        </w:rPr>
        <w:lastRenderedPageBreak/>
        <w:t>Table 1. Subjects categorised by universities.</w:t>
      </w:r>
      <w:r>
        <w:rPr>
          <w:rFonts w:ascii="Calibri" w:hAnsi="Calibri" w:cs="Calibri"/>
          <w:vertAlign w:val="superscript"/>
        </w:rPr>
        <w:t>11</w:t>
      </w:r>
    </w:p>
    <w:tbl>
      <w:tblPr>
        <w:tblW w:w="9016" w:type="dxa"/>
        <w:tblCellMar>
          <w:left w:w="10" w:type="dxa"/>
          <w:right w:w="10" w:type="dxa"/>
        </w:tblCellMar>
        <w:tblLook w:val="0000" w:firstRow="0" w:lastRow="0" w:firstColumn="0" w:lastColumn="0" w:noHBand="0" w:noVBand="0"/>
      </w:tblPr>
      <w:tblGrid>
        <w:gridCol w:w="3539"/>
        <w:gridCol w:w="5477"/>
      </w:tblGrid>
      <w:tr w:rsidR="005E4C3E" w14:paraId="2ABA9DA3" w14:textId="77777777">
        <w:tc>
          <w:tcPr>
            <w:tcW w:w="3539" w:type="dxa"/>
            <w:tcBorders>
              <w:top w:val="single" w:sz="4" w:space="0" w:color="000000"/>
              <w:bottom w:val="single" w:sz="4" w:space="0" w:color="000000"/>
            </w:tcBorders>
            <w:tcMar>
              <w:top w:w="0" w:type="dxa"/>
              <w:left w:w="108" w:type="dxa"/>
              <w:bottom w:w="0" w:type="dxa"/>
              <w:right w:w="108" w:type="dxa"/>
            </w:tcMar>
            <w:vAlign w:val="center"/>
          </w:tcPr>
          <w:p w14:paraId="2ABA9D9F" w14:textId="77777777" w:rsidR="005E4C3E" w:rsidRDefault="00BF3721">
            <w:pPr>
              <w:spacing w:after="0" w:line="240" w:lineRule="auto"/>
              <w:jc w:val="center"/>
              <w:rPr>
                <w:rFonts w:ascii="Calibri" w:hAnsi="Calibri" w:cs="Calibri"/>
              </w:rPr>
            </w:pPr>
            <w:r>
              <w:rPr>
                <w:rFonts w:ascii="Calibri" w:hAnsi="Calibri" w:cs="Calibri"/>
              </w:rPr>
              <w:t>Subject Category</w:t>
            </w:r>
          </w:p>
          <w:p w14:paraId="2ABA9DA0" w14:textId="77777777" w:rsidR="005E4C3E" w:rsidRDefault="005E4C3E">
            <w:pPr>
              <w:spacing w:after="0" w:line="240" w:lineRule="auto"/>
              <w:jc w:val="center"/>
              <w:rPr>
                <w:rFonts w:ascii="Calibri" w:hAnsi="Calibri" w:cs="Calibri"/>
              </w:rPr>
            </w:pPr>
          </w:p>
        </w:tc>
        <w:tc>
          <w:tcPr>
            <w:tcW w:w="5477" w:type="dxa"/>
            <w:tcBorders>
              <w:top w:val="single" w:sz="4" w:space="0" w:color="000000"/>
              <w:bottom w:val="single" w:sz="4" w:space="0" w:color="000000"/>
            </w:tcBorders>
            <w:tcMar>
              <w:top w:w="0" w:type="dxa"/>
              <w:left w:w="108" w:type="dxa"/>
              <w:bottom w:w="0" w:type="dxa"/>
              <w:right w:w="108" w:type="dxa"/>
            </w:tcMar>
            <w:vAlign w:val="center"/>
          </w:tcPr>
          <w:p w14:paraId="2ABA9DA1" w14:textId="77777777" w:rsidR="005E4C3E" w:rsidRDefault="00BF3721">
            <w:pPr>
              <w:spacing w:after="0" w:line="240" w:lineRule="auto"/>
              <w:jc w:val="center"/>
              <w:rPr>
                <w:rFonts w:ascii="Calibri" w:hAnsi="Calibri" w:cs="Calibri"/>
              </w:rPr>
            </w:pPr>
            <w:r>
              <w:rPr>
                <w:rFonts w:ascii="Calibri" w:hAnsi="Calibri" w:cs="Calibri"/>
              </w:rPr>
              <w:t>Subjects</w:t>
            </w:r>
          </w:p>
          <w:p w14:paraId="2ABA9DA2" w14:textId="77777777" w:rsidR="005E4C3E" w:rsidRDefault="005E4C3E">
            <w:pPr>
              <w:spacing w:after="0" w:line="240" w:lineRule="auto"/>
              <w:jc w:val="center"/>
              <w:rPr>
                <w:rFonts w:ascii="Calibri" w:hAnsi="Calibri" w:cs="Calibri"/>
              </w:rPr>
            </w:pPr>
          </w:p>
        </w:tc>
      </w:tr>
      <w:tr w:rsidR="005E4C3E" w14:paraId="2ABA9DA7" w14:textId="77777777">
        <w:trPr>
          <w:trHeight w:val="1465"/>
        </w:trPr>
        <w:tc>
          <w:tcPr>
            <w:tcW w:w="3539" w:type="dxa"/>
            <w:tcBorders>
              <w:top w:val="single" w:sz="4" w:space="0" w:color="000000"/>
              <w:bottom w:val="single" w:sz="4" w:space="0" w:color="000000"/>
            </w:tcBorders>
            <w:tcMar>
              <w:top w:w="0" w:type="dxa"/>
              <w:left w:w="108" w:type="dxa"/>
              <w:bottom w:w="0" w:type="dxa"/>
              <w:right w:w="108" w:type="dxa"/>
            </w:tcMar>
            <w:vAlign w:val="center"/>
          </w:tcPr>
          <w:p w14:paraId="2ABA9DA4" w14:textId="77777777" w:rsidR="005E4C3E" w:rsidRDefault="00BF3721">
            <w:pPr>
              <w:spacing w:after="0" w:line="240" w:lineRule="auto"/>
              <w:jc w:val="center"/>
              <w:rPr>
                <w:rFonts w:ascii="Calibri" w:hAnsi="Calibri" w:cs="Calibri"/>
              </w:rPr>
            </w:pPr>
            <w:r>
              <w:rPr>
                <w:rFonts w:ascii="Calibri" w:hAnsi="Calibri" w:cs="Calibri"/>
              </w:rPr>
              <w:t>Hard traditional</w:t>
            </w:r>
          </w:p>
          <w:p w14:paraId="2ABA9DA5" w14:textId="77777777" w:rsidR="005E4C3E" w:rsidRDefault="005E4C3E">
            <w:pPr>
              <w:spacing w:after="0" w:line="240" w:lineRule="auto"/>
              <w:jc w:val="center"/>
              <w:rPr>
                <w:rFonts w:ascii="Calibri" w:hAnsi="Calibri" w:cs="Calibri"/>
              </w:rPr>
            </w:pPr>
          </w:p>
        </w:tc>
        <w:tc>
          <w:tcPr>
            <w:tcW w:w="5477" w:type="dxa"/>
            <w:tcBorders>
              <w:top w:val="single" w:sz="4" w:space="0" w:color="000000"/>
              <w:bottom w:val="single" w:sz="4" w:space="0" w:color="000000"/>
            </w:tcBorders>
            <w:tcMar>
              <w:top w:w="0" w:type="dxa"/>
              <w:left w:w="108" w:type="dxa"/>
              <w:bottom w:w="0" w:type="dxa"/>
              <w:right w:w="108" w:type="dxa"/>
            </w:tcMar>
            <w:vAlign w:val="center"/>
          </w:tcPr>
          <w:p w14:paraId="2ABA9DA6" w14:textId="77777777" w:rsidR="005E4C3E" w:rsidRDefault="00BF3721">
            <w:pPr>
              <w:spacing w:after="0" w:line="240" w:lineRule="auto"/>
              <w:jc w:val="center"/>
              <w:rPr>
                <w:rFonts w:ascii="Calibri" w:hAnsi="Calibri" w:cs="Calibri"/>
              </w:rPr>
            </w:pPr>
            <w:r>
              <w:rPr>
                <w:rFonts w:ascii="Calibri" w:hAnsi="Calibri" w:cs="Calibri"/>
              </w:rPr>
              <w:t>Biology, Chemistry, English Literature, Geography, History, Mathematics, Further Mathematics, Foreign Languages (Classical and Modern) and Physics.</w:t>
            </w:r>
          </w:p>
        </w:tc>
      </w:tr>
      <w:tr w:rsidR="005E4C3E" w14:paraId="2ABA9DAB" w14:textId="77777777">
        <w:trPr>
          <w:trHeight w:val="1465"/>
        </w:trPr>
        <w:tc>
          <w:tcPr>
            <w:tcW w:w="3539" w:type="dxa"/>
            <w:tcBorders>
              <w:top w:val="single" w:sz="4" w:space="0" w:color="000000"/>
              <w:bottom w:val="single" w:sz="4" w:space="0" w:color="000000"/>
            </w:tcBorders>
            <w:tcMar>
              <w:top w:w="0" w:type="dxa"/>
              <w:left w:w="108" w:type="dxa"/>
              <w:bottom w:w="0" w:type="dxa"/>
              <w:right w:w="108" w:type="dxa"/>
            </w:tcMar>
            <w:vAlign w:val="center"/>
          </w:tcPr>
          <w:p w14:paraId="2ABA9DA8" w14:textId="77777777" w:rsidR="005E4C3E" w:rsidRDefault="00BF3721">
            <w:pPr>
              <w:spacing w:after="0" w:line="240" w:lineRule="auto"/>
              <w:jc w:val="center"/>
              <w:rPr>
                <w:rFonts w:ascii="Calibri" w:hAnsi="Calibri" w:cs="Calibri"/>
              </w:rPr>
            </w:pPr>
            <w:r>
              <w:rPr>
                <w:rFonts w:ascii="Calibri" w:hAnsi="Calibri" w:cs="Calibri"/>
              </w:rPr>
              <w:t>Hard non-traditional</w:t>
            </w:r>
          </w:p>
          <w:p w14:paraId="2ABA9DA9" w14:textId="77777777" w:rsidR="005E4C3E" w:rsidRDefault="005E4C3E">
            <w:pPr>
              <w:spacing w:after="0" w:line="240" w:lineRule="auto"/>
              <w:jc w:val="center"/>
              <w:rPr>
                <w:rFonts w:ascii="Calibri" w:hAnsi="Calibri" w:cs="Calibri"/>
              </w:rPr>
            </w:pPr>
          </w:p>
        </w:tc>
        <w:tc>
          <w:tcPr>
            <w:tcW w:w="5477" w:type="dxa"/>
            <w:tcBorders>
              <w:top w:val="single" w:sz="4" w:space="0" w:color="000000"/>
              <w:bottom w:val="single" w:sz="4" w:space="0" w:color="000000"/>
            </w:tcBorders>
            <w:tcMar>
              <w:top w:w="0" w:type="dxa"/>
              <w:left w:w="108" w:type="dxa"/>
              <w:bottom w:w="0" w:type="dxa"/>
              <w:right w:w="108" w:type="dxa"/>
            </w:tcMar>
            <w:vAlign w:val="center"/>
          </w:tcPr>
          <w:p w14:paraId="2ABA9DAA" w14:textId="77777777" w:rsidR="005E4C3E" w:rsidRDefault="00BF3721">
            <w:pPr>
              <w:spacing w:after="0" w:line="240" w:lineRule="auto"/>
              <w:jc w:val="center"/>
              <w:rPr>
                <w:rFonts w:ascii="Calibri" w:hAnsi="Calibri" w:cs="Calibri"/>
              </w:rPr>
            </w:pPr>
            <w:r>
              <w:rPr>
                <w:rFonts w:ascii="Calibri" w:hAnsi="Calibri" w:cs="Calibri"/>
              </w:rPr>
              <w:t>Classics, Computer Science, Economics, Law, Music, Non-European Languages, Other Science, Philosophy and Religion and Psychology.</w:t>
            </w:r>
          </w:p>
        </w:tc>
      </w:tr>
      <w:tr w:rsidR="005E4C3E" w14:paraId="2ABA9DAF" w14:textId="77777777">
        <w:trPr>
          <w:trHeight w:val="1465"/>
        </w:trPr>
        <w:tc>
          <w:tcPr>
            <w:tcW w:w="3539" w:type="dxa"/>
            <w:tcBorders>
              <w:top w:val="single" w:sz="4" w:space="0" w:color="000000"/>
              <w:bottom w:val="single" w:sz="4" w:space="0" w:color="000000"/>
            </w:tcBorders>
            <w:tcMar>
              <w:top w:w="0" w:type="dxa"/>
              <w:left w:w="108" w:type="dxa"/>
              <w:bottom w:w="0" w:type="dxa"/>
              <w:right w:w="108" w:type="dxa"/>
            </w:tcMar>
            <w:vAlign w:val="center"/>
          </w:tcPr>
          <w:p w14:paraId="2ABA9DAC" w14:textId="77777777" w:rsidR="005E4C3E" w:rsidRDefault="00BF3721">
            <w:pPr>
              <w:spacing w:after="0" w:line="240" w:lineRule="auto"/>
              <w:jc w:val="center"/>
              <w:rPr>
                <w:rFonts w:ascii="Calibri" w:hAnsi="Calibri" w:cs="Calibri"/>
              </w:rPr>
            </w:pPr>
            <w:r>
              <w:rPr>
                <w:rFonts w:ascii="Calibri" w:hAnsi="Calibri" w:cs="Calibri"/>
              </w:rPr>
              <w:t>Soft</w:t>
            </w:r>
          </w:p>
          <w:p w14:paraId="2ABA9DAD" w14:textId="77777777" w:rsidR="005E4C3E" w:rsidRDefault="005E4C3E">
            <w:pPr>
              <w:spacing w:after="0" w:line="240" w:lineRule="auto"/>
              <w:jc w:val="center"/>
              <w:rPr>
                <w:rFonts w:ascii="Calibri" w:hAnsi="Calibri" w:cs="Calibri"/>
              </w:rPr>
            </w:pPr>
          </w:p>
        </w:tc>
        <w:tc>
          <w:tcPr>
            <w:tcW w:w="5477" w:type="dxa"/>
            <w:tcBorders>
              <w:top w:val="single" w:sz="4" w:space="0" w:color="000000"/>
              <w:bottom w:val="single" w:sz="4" w:space="0" w:color="000000"/>
            </w:tcBorders>
            <w:tcMar>
              <w:top w:w="0" w:type="dxa"/>
              <w:left w:w="108" w:type="dxa"/>
              <w:bottom w:w="0" w:type="dxa"/>
              <w:right w:w="108" w:type="dxa"/>
            </w:tcMar>
            <w:vAlign w:val="center"/>
          </w:tcPr>
          <w:p w14:paraId="2ABA9DAE" w14:textId="77777777" w:rsidR="005E4C3E" w:rsidRDefault="00BF3721">
            <w:pPr>
              <w:spacing w:after="0" w:line="240" w:lineRule="auto"/>
              <w:jc w:val="center"/>
              <w:rPr>
                <w:rFonts w:ascii="Calibri" w:hAnsi="Calibri" w:cs="Calibri"/>
              </w:rPr>
            </w:pPr>
            <w:r>
              <w:rPr>
                <w:rFonts w:ascii="Calibri" w:hAnsi="Calibri" w:cs="Calibri"/>
              </w:rPr>
              <w:t>Art, Beauty, Business Studies, Child Development, Design and Technology, Health and Social Care, Media Studies, Performing Arts, Photography, Physical Education, Sociology, Study Skills and Travel and Tourism.</w:t>
            </w:r>
          </w:p>
        </w:tc>
      </w:tr>
    </w:tbl>
    <w:p w14:paraId="2ABA9DB0" w14:textId="77777777" w:rsidR="005E4C3E" w:rsidRDefault="005E4C3E">
      <w:pPr>
        <w:rPr>
          <w:rFonts w:ascii="Calibri" w:hAnsi="Calibri" w:cs="Calibri"/>
        </w:rPr>
      </w:pPr>
    </w:p>
    <w:p w14:paraId="2ABA9DB1" w14:textId="77777777" w:rsidR="005E4C3E" w:rsidRDefault="00BF3721">
      <w:pPr>
        <w:rPr>
          <w:rFonts w:ascii="Calibri" w:hAnsi="Calibri" w:cs="Calibri"/>
          <w:sz w:val="28"/>
          <w:szCs w:val="28"/>
        </w:rPr>
      </w:pPr>
      <w:r>
        <w:rPr>
          <w:rFonts w:ascii="Calibri" w:hAnsi="Calibri" w:cs="Calibri"/>
          <w:sz w:val="28"/>
          <w:szCs w:val="28"/>
        </w:rPr>
        <w:t>Student Support</w:t>
      </w:r>
    </w:p>
    <w:p w14:paraId="2ABA9DB2" w14:textId="77777777" w:rsidR="005E4C3E" w:rsidRDefault="00BF3721">
      <w:r>
        <w:rPr>
          <w:rFonts w:ascii="Calibri" w:hAnsi="Calibri" w:cs="Calibri"/>
        </w:rPr>
        <w:t xml:space="preserve">Research into communication of opportunities from schools is limited, as is academic support offered by secondary schools for their students, such as subject help desks or Oxbridge application support. However, research into peer tutoring offered in secondary school, in subjects like mathematics, worked similarly to a subject help desk and concluded that same-age peer tutoring has proven to improve academic results since the 1990s. </w:t>
      </w:r>
      <w:r>
        <w:rPr>
          <w:rFonts w:ascii="Calibri" w:hAnsi="Calibri" w:cs="Calibri"/>
          <w:vertAlign w:val="superscript"/>
        </w:rPr>
        <w:t>14</w:t>
      </w:r>
      <w:r>
        <w:rPr>
          <w:rFonts w:ascii="Calibri" w:hAnsi="Calibri" w:cs="Calibri"/>
        </w:rPr>
        <w:t> </w:t>
      </w:r>
    </w:p>
    <w:p w14:paraId="2ABA9DB3" w14:textId="77777777" w:rsidR="005E4C3E" w:rsidRDefault="00BF3721">
      <w:r>
        <w:rPr>
          <w:rFonts w:ascii="Calibri" w:hAnsi="Calibri" w:cs="Calibri"/>
        </w:rPr>
        <w:t>The University of Oxford Cambridge has a student population with a UK majority.</w:t>
      </w:r>
      <w:r>
        <w:rPr>
          <w:rFonts w:ascii="Calibri" w:hAnsi="Calibri" w:cs="Calibri"/>
          <w:vertAlign w:val="superscript"/>
        </w:rPr>
        <w:t xml:space="preserve"> 15,16</w:t>
      </w:r>
      <w:r>
        <w:rPr>
          <w:rFonts w:ascii="Calibri" w:hAnsi="Calibri" w:cs="Calibri"/>
        </w:rPr>
        <w:t xml:space="preserve"> Although, Northern Irish students make up 1% or less of home student applications and admittance.</w:t>
      </w:r>
      <w:r>
        <w:rPr>
          <w:rFonts w:ascii="Calibri" w:hAnsi="Calibri" w:cs="Calibri"/>
          <w:vertAlign w:val="superscript"/>
        </w:rPr>
        <w:t xml:space="preserve"> 15,16</w:t>
      </w:r>
      <w:r>
        <w:rPr>
          <w:rFonts w:ascii="Calibri" w:hAnsi="Calibri" w:cs="Calibri"/>
        </w:rPr>
        <w:t xml:space="preserve"> A contributing factor could be the difference in student finance support, with the maximum maintenance loan available to Northern Irish students being approximately £2,000 lower than English students.</w:t>
      </w:r>
      <w:r>
        <w:rPr>
          <w:rFonts w:ascii="Calibri" w:hAnsi="Calibri" w:cs="Calibri"/>
          <w:vertAlign w:val="superscript"/>
        </w:rPr>
        <w:t xml:space="preserve"> 17,18</w:t>
      </w:r>
      <w:r>
        <w:rPr>
          <w:rFonts w:ascii="Calibri" w:hAnsi="Calibri" w:cs="Calibri"/>
        </w:rPr>
        <w:t xml:space="preserve"> This difference in money can be detrimental, as there is a higher cost of living in the areas of Oxford and Cambridge. Oxbridge students are also overcome by the intensive workload and the Cambridge restriction on term time employment, making working part-time non-viable</w:t>
      </w:r>
      <w:r>
        <w:rPr>
          <w:rFonts w:ascii="Calibri" w:hAnsi="Calibri" w:cs="Calibri"/>
          <w:vertAlign w:val="superscript"/>
        </w:rPr>
        <w:t>19,20</w:t>
      </w:r>
      <w:r>
        <w:rPr>
          <w:rFonts w:ascii="Calibri" w:hAnsi="Calibri" w:cs="Calibri"/>
        </w:rPr>
        <w:t> </w:t>
      </w:r>
    </w:p>
    <w:p w14:paraId="2ABA9DB4" w14:textId="77777777" w:rsidR="005E4C3E" w:rsidRDefault="00BF3721">
      <w:r>
        <w:rPr>
          <w:rFonts w:ascii="Calibri" w:hAnsi="Calibri" w:cs="Calibri"/>
        </w:rPr>
        <w:t>(Starting in the academic year September 2025, the maximum maintenance loan available to Northern Irish students was raised by approximately £1,500 recently to a value closer to England’s, for the new academic year starting in September 2025.</w:t>
      </w:r>
      <w:r>
        <w:rPr>
          <w:rFonts w:ascii="Calibri" w:hAnsi="Calibri" w:cs="Calibri"/>
          <w:vertAlign w:val="superscript"/>
        </w:rPr>
        <w:t xml:space="preserve"> 17</w:t>
      </w:r>
      <w:r>
        <w:rPr>
          <w:rFonts w:ascii="Calibri" w:hAnsi="Calibri" w:cs="Calibri"/>
        </w:rPr>
        <w:t>) </w:t>
      </w:r>
    </w:p>
    <w:p w14:paraId="2ABA9DB5" w14:textId="77777777" w:rsidR="005E4C3E" w:rsidRDefault="00BF3721">
      <w:r>
        <w:rPr>
          <w:rFonts w:ascii="Calibri" w:hAnsi="Calibri" w:cs="Calibri"/>
        </w:rPr>
        <w:t>Student support from universities, such as outreach programmes, are designed to target students of underrepresented backgrounds and elevate their entries into higher education.</w:t>
      </w:r>
      <w:r>
        <w:rPr>
          <w:rFonts w:ascii="Calibri" w:hAnsi="Calibri" w:cs="Calibri"/>
          <w:vertAlign w:val="superscript"/>
        </w:rPr>
        <w:t xml:space="preserve"> 21</w:t>
      </w:r>
      <w:r>
        <w:rPr>
          <w:rFonts w:ascii="Calibri" w:hAnsi="Calibri" w:cs="Calibri"/>
        </w:rPr>
        <w:t xml:space="preserve"> Evaluations of multiple outreach programmes have shown to be effective for students that have participated in the programmes compared to students who have not.</w:t>
      </w:r>
      <w:r>
        <w:rPr>
          <w:rFonts w:ascii="Calibri" w:hAnsi="Calibri" w:cs="Calibri"/>
          <w:vertAlign w:val="superscript"/>
        </w:rPr>
        <w:t xml:space="preserve"> 22</w:t>
      </w:r>
      <w:r>
        <w:rPr>
          <w:rFonts w:ascii="Calibri" w:hAnsi="Calibri" w:cs="Calibri"/>
        </w:rPr>
        <w:t>  </w:t>
      </w:r>
    </w:p>
    <w:p w14:paraId="2ABA9DB6" w14:textId="77777777" w:rsidR="005E4C3E" w:rsidRDefault="00BF3721">
      <w:r>
        <w:rPr>
          <w:rFonts w:ascii="Calibri" w:hAnsi="Calibri" w:cs="Calibri"/>
        </w:rPr>
        <w:lastRenderedPageBreak/>
        <w:t>Participants of these programmes are often given lower A-level (or equivalent) grade offers by universities, although applicants from disadvantaged backgrounds may still receive lower ‘contextual offers’ from universities even if they have not taken part in an outreach programme.</w:t>
      </w:r>
      <w:r>
        <w:rPr>
          <w:rFonts w:ascii="Calibri" w:hAnsi="Calibri" w:cs="Calibri"/>
          <w:vertAlign w:val="superscript"/>
        </w:rPr>
        <w:t xml:space="preserve"> 22</w:t>
      </w:r>
      <w:r>
        <w:rPr>
          <w:rFonts w:ascii="Calibri" w:hAnsi="Calibri" w:cs="Calibri"/>
        </w:rPr>
        <w:t> </w:t>
      </w:r>
    </w:p>
    <w:p w14:paraId="2ABA9DB7" w14:textId="77777777" w:rsidR="005E4C3E" w:rsidRDefault="005E4C3E">
      <w:pPr>
        <w:rPr>
          <w:rFonts w:ascii="Calibri" w:hAnsi="Calibri" w:cs="Calibri"/>
          <w:sz w:val="28"/>
          <w:szCs w:val="28"/>
        </w:rPr>
      </w:pPr>
    </w:p>
    <w:p w14:paraId="2ABA9DB8" w14:textId="77777777" w:rsidR="005E4C3E" w:rsidRDefault="00BF3721">
      <w:r>
        <w:rPr>
          <w:rFonts w:ascii="Calibri" w:hAnsi="Calibri" w:cs="Calibri"/>
          <w:sz w:val="28"/>
          <w:szCs w:val="28"/>
        </w:rPr>
        <w:t>Ethnic Diversity</w:t>
      </w:r>
    </w:p>
    <w:p w14:paraId="2ABA9DB9" w14:textId="77777777" w:rsidR="005E4C3E" w:rsidRDefault="00BF3721">
      <w:r>
        <w:rPr>
          <w:rFonts w:ascii="Calibri" w:hAnsi="Calibri" w:cs="Calibri"/>
        </w:rPr>
        <w:t>Study has shown that less diverse environments may increase implicit bias towards people of colour, and when students experience discrimination in school environments, they are likely to have poorer mental health, lower average grades and increased dropout likelihood.</w:t>
      </w:r>
      <w:r>
        <w:rPr>
          <w:rFonts w:ascii="Calibri" w:hAnsi="Calibri" w:cs="Calibri"/>
          <w:vertAlign w:val="superscript"/>
        </w:rPr>
        <w:t xml:space="preserve"> 23,24</w:t>
      </w:r>
      <w:r>
        <w:rPr>
          <w:rFonts w:ascii="Calibri" w:hAnsi="Calibri" w:cs="Calibri"/>
        </w:rPr>
        <w:t xml:space="preserve"> Conversely, the feeling of school belonging in students has positive associations with academic competence and efficiency.</w:t>
      </w:r>
      <w:r>
        <w:rPr>
          <w:rFonts w:ascii="Calibri" w:hAnsi="Calibri" w:cs="Calibri"/>
          <w:vertAlign w:val="superscript"/>
        </w:rPr>
        <w:t xml:space="preserve"> 25</w:t>
      </w:r>
    </w:p>
    <w:p w14:paraId="2ABA9DBA" w14:textId="77777777" w:rsidR="005E4C3E" w:rsidRDefault="00BF3721">
      <w:r>
        <w:rPr>
          <w:rFonts w:ascii="Calibri" w:hAnsi="Calibri" w:cs="Calibri"/>
        </w:rPr>
        <w:t xml:space="preserve">In 2021, a census was carried out in the UK. Results suggested Northern Ireland is statistically the least diverse region in the UK, with 3.4% of the population considered to be ethnic minorities, compared to England with 18.3%. </w:t>
      </w:r>
      <w:r>
        <w:rPr>
          <w:rFonts w:ascii="Calibri" w:hAnsi="Calibri" w:cs="Calibri"/>
          <w:vertAlign w:val="superscript"/>
        </w:rPr>
        <w:t>26</w:t>
      </w:r>
    </w:p>
    <w:p w14:paraId="2ABA9DBB" w14:textId="77777777" w:rsidR="005E4C3E" w:rsidRDefault="00BF3721">
      <w:r>
        <w:rPr>
          <w:rFonts w:ascii="Calibri" w:hAnsi="Calibri" w:cs="Calibri"/>
        </w:rPr>
        <w:t>Although data indicates that the average admission rate of Asian pupils to grammar schools in Northern Ireland is higher than the overall average admission rate, this does not mean Northern Irish grammar schools are very diverse due to the small Asian population in Northern Ireland compared to the white population.</w:t>
      </w:r>
      <w:r>
        <w:rPr>
          <w:rFonts w:ascii="Calibri" w:hAnsi="Calibri" w:cs="Calibri"/>
          <w:vertAlign w:val="superscript"/>
        </w:rPr>
        <w:t xml:space="preserve"> 27</w:t>
      </w:r>
      <w:r>
        <w:rPr>
          <w:rFonts w:ascii="Calibri" w:hAnsi="Calibri" w:cs="Calibri"/>
        </w:rPr>
        <w:t xml:space="preserve"> Additionally, the average admission rate of black and other ethnic minority pupils to grammar schools are lower than the average.</w:t>
      </w:r>
      <w:r>
        <w:rPr>
          <w:rFonts w:ascii="Calibri" w:hAnsi="Calibri" w:cs="Calibri"/>
          <w:vertAlign w:val="superscript"/>
        </w:rPr>
        <w:t xml:space="preserve"> 27</w:t>
      </w:r>
      <w:r>
        <w:rPr>
          <w:rFonts w:ascii="Calibri" w:hAnsi="Calibri" w:cs="Calibri"/>
        </w:rPr>
        <w:t xml:space="preserve"> Therefore, ethnic diversity in high-achieving grammar schools in Northern Ireland tend to be low.</w:t>
      </w:r>
    </w:p>
    <w:p w14:paraId="2ABA9DBC" w14:textId="77777777" w:rsidR="005E4C3E" w:rsidRDefault="00BF3721">
      <w:r>
        <w:rPr>
          <w:rFonts w:ascii="Calibri" w:hAnsi="Calibri" w:cs="Calibri"/>
        </w:rPr>
        <w:t>In comparison, England is a more diverse region, with many neighbourhoods having concentrated ethnic minority populations, leading to more inclusive school environments and the rise of high-achieving schools that have an ethnically diverse student population.</w:t>
      </w:r>
      <w:r>
        <w:rPr>
          <w:rFonts w:ascii="Calibri" w:hAnsi="Calibri" w:cs="Calibri"/>
          <w:vertAlign w:val="superscript"/>
        </w:rPr>
        <w:t xml:space="preserve"> 28</w:t>
      </w:r>
    </w:p>
    <w:p w14:paraId="2ABA9DBD" w14:textId="77777777" w:rsidR="005E4C3E" w:rsidRDefault="005E4C3E">
      <w:pPr>
        <w:rPr>
          <w:rFonts w:ascii="Calibri" w:hAnsi="Calibri" w:cs="Calibri"/>
        </w:rPr>
      </w:pPr>
    </w:p>
    <w:p w14:paraId="2ABA9DBE" w14:textId="77777777" w:rsidR="005E4C3E" w:rsidRDefault="00BF3721">
      <w:pPr>
        <w:rPr>
          <w:rFonts w:ascii="Calibri" w:hAnsi="Calibri" w:cs="Calibri"/>
          <w:sz w:val="28"/>
          <w:szCs w:val="28"/>
        </w:rPr>
      </w:pPr>
      <w:r>
        <w:rPr>
          <w:rFonts w:ascii="Calibri" w:hAnsi="Calibri" w:cs="Calibri"/>
          <w:sz w:val="28"/>
          <w:szCs w:val="28"/>
        </w:rPr>
        <w:t>Teaching Quality</w:t>
      </w:r>
    </w:p>
    <w:p w14:paraId="2ABA9DBF" w14:textId="77777777" w:rsidR="005E4C3E" w:rsidRDefault="00BF3721">
      <w:r>
        <w:rPr>
          <w:rFonts w:ascii="Calibri" w:hAnsi="Calibri" w:cs="Calibri"/>
        </w:rPr>
        <w:t>Previous research into teaching quality revealed that high teaching quality can allow a student to gain a year and a half’s worth of achievement in an academic year, compared to poor teaching quality which may produce students that only produce half a year of gain.</w:t>
      </w:r>
      <w:r>
        <w:rPr>
          <w:rFonts w:ascii="Calibri" w:hAnsi="Calibri" w:cs="Calibri"/>
          <w:vertAlign w:val="superscript"/>
        </w:rPr>
        <w:t xml:space="preserve"> 29</w:t>
      </w:r>
      <w:r>
        <w:rPr>
          <w:rFonts w:ascii="Calibri" w:hAnsi="Calibri" w:cs="Calibri"/>
        </w:rPr>
        <w:t xml:space="preserve"> Additionally, a poor teacher can confuse students on concepts, causing them to feel unsupported, anxiety and lose confidence, affecting their well-being.</w:t>
      </w:r>
      <w:r>
        <w:rPr>
          <w:rFonts w:ascii="Calibri" w:hAnsi="Calibri" w:cs="Calibri"/>
          <w:vertAlign w:val="superscript"/>
        </w:rPr>
        <w:t xml:space="preserve"> 30</w:t>
      </w:r>
      <w:r>
        <w:rPr>
          <w:rFonts w:ascii="Calibri" w:hAnsi="Calibri" w:cs="Calibri"/>
        </w:rPr>
        <w:t xml:space="preserve"> The confusion in these topics can lead to knowledge gaps that hinder the students’ progression into higher-education or job prospects.</w:t>
      </w:r>
      <w:r>
        <w:rPr>
          <w:rFonts w:ascii="Calibri" w:hAnsi="Calibri" w:cs="Calibri"/>
          <w:vertAlign w:val="superscript"/>
        </w:rPr>
        <w:t xml:space="preserve"> 30</w:t>
      </w:r>
    </w:p>
    <w:p w14:paraId="2ABA9DC0" w14:textId="77777777" w:rsidR="005E4C3E" w:rsidRDefault="00BF3721">
      <w:r>
        <w:rPr>
          <w:rFonts w:ascii="Calibri" w:hAnsi="Calibri" w:cs="Calibri"/>
        </w:rPr>
        <w:t>To become a teacher in England, there are 4 routes available, a four-year undergraduate Bachelor (</w:t>
      </w:r>
      <w:proofErr w:type="spellStart"/>
      <w:r>
        <w:rPr>
          <w:rFonts w:ascii="Calibri" w:hAnsi="Calibri" w:cs="Calibri"/>
        </w:rPr>
        <w:t>BEd</w:t>
      </w:r>
      <w:proofErr w:type="spellEnd"/>
      <w:r>
        <w:rPr>
          <w:rFonts w:ascii="Calibri" w:hAnsi="Calibri" w:cs="Calibri"/>
        </w:rPr>
        <w:t>, BA or BSc), a one-year Postgraduate Certificate in Education, a teacher degree apprenticeship or an assessment route for those who taught unqualified.</w:t>
      </w:r>
      <w:r>
        <w:rPr>
          <w:rFonts w:ascii="Calibri" w:hAnsi="Calibri" w:cs="Calibri"/>
          <w:vertAlign w:val="superscript"/>
        </w:rPr>
        <w:t xml:space="preserve"> 31</w:t>
      </w:r>
      <w:r>
        <w:rPr>
          <w:rFonts w:ascii="Calibri" w:hAnsi="Calibri" w:cs="Calibri"/>
        </w:rPr>
        <w:t xml:space="preserve"> Undergraduate degrees with qualified teacher status (QTS) can be taken at many universities. Additionally in academy schools and free schools, QTS is not a legal requirement, although it can be beneficial.</w:t>
      </w:r>
      <w:r>
        <w:rPr>
          <w:rFonts w:ascii="Calibri" w:hAnsi="Calibri" w:cs="Calibri"/>
          <w:vertAlign w:val="superscript"/>
        </w:rPr>
        <w:t xml:space="preserve"> 31</w:t>
      </w:r>
      <w:r>
        <w:rPr>
          <w:rFonts w:ascii="Calibri" w:hAnsi="Calibri" w:cs="Calibri"/>
        </w:rPr>
        <w:t xml:space="preserve"> </w:t>
      </w:r>
    </w:p>
    <w:p w14:paraId="2ABA9DC1" w14:textId="77777777" w:rsidR="005E4C3E" w:rsidRDefault="00BF3721">
      <w:r>
        <w:rPr>
          <w:rFonts w:ascii="Calibri" w:hAnsi="Calibri" w:cs="Calibri"/>
        </w:rPr>
        <w:lastRenderedPageBreak/>
        <w:t>In Northern Ireland, there are only 2 routes available, a four-year undergraduate Bachelor of Education (</w:t>
      </w:r>
      <w:proofErr w:type="spellStart"/>
      <w:r>
        <w:rPr>
          <w:rFonts w:ascii="Calibri" w:hAnsi="Calibri" w:cs="Calibri"/>
        </w:rPr>
        <w:t>BEd</w:t>
      </w:r>
      <w:proofErr w:type="spellEnd"/>
      <w:r>
        <w:rPr>
          <w:rFonts w:ascii="Calibri" w:hAnsi="Calibri" w:cs="Calibri"/>
        </w:rPr>
        <w:t>) or a one-year Postgraduate Certificate in Education (PGCE).</w:t>
      </w:r>
      <w:r>
        <w:rPr>
          <w:rFonts w:ascii="Calibri" w:hAnsi="Calibri" w:cs="Calibri"/>
          <w:vertAlign w:val="superscript"/>
        </w:rPr>
        <w:t xml:space="preserve"> 32</w:t>
      </w:r>
      <w:r>
        <w:rPr>
          <w:rFonts w:ascii="Calibri" w:hAnsi="Calibri" w:cs="Calibri"/>
        </w:rPr>
        <w:t xml:space="preserve"> Initial Teacher Education programmes are available from Ulster University, Queen’s University School of Education, Saint Mary’s University College and </w:t>
      </w:r>
      <w:proofErr w:type="spellStart"/>
      <w:r>
        <w:rPr>
          <w:rFonts w:ascii="Calibri" w:hAnsi="Calibri" w:cs="Calibri"/>
        </w:rPr>
        <w:t>Stranmillis</w:t>
      </w:r>
      <w:proofErr w:type="spellEnd"/>
      <w:r>
        <w:rPr>
          <w:rFonts w:ascii="Calibri" w:hAnsi="Calibri" w:cs="Calibri"/>
        </w:rPr>
        <w:t xml:space="preserve"> University College.</w:t>
      </w:r>
      <w:r>
        <w:rPr>
          <w:rFonts w:ascii="Calibri" w:hAnsi="Calibri" w:cs="Calibri"/>
          <w:vertAlign w:val="superscript"/>
        </w:rPr>
        <w:t xml:space="preserve"> 32</w:t>
      </w:r>
      <w:r>
        <w:rPr>
          <w:rFonts w:ascii="Calibri" w:hAnsi="Calibri" w:cs="Calibri"/>
        </w:rPr>
        <w:t xml:space="preserve"> Notably, Saint Mary’s and </w:t>
      </w:r>
      <w:proofErr w:type="spellStart"/>
      <w:r>
        <w:rPr>
          <w:rFonts w:ascii="Calibri" w:hAnsi="Calibri" w:cs="Calibri"/>
        </w:rPr>
        <w:t>Stranmillis</w:t>
      </w:r>
      <w:proofErr w:type="spellEnd"/>
      <w:r>
        <w:rPr>
          <w:rFonts w:ascii="Calibri" w:hAnsi="Calibri" w:cs="Calibri"/>
        </w:rPr>
        <w:t xml:space="preserve"> are both colleges of Queen’s University Belfast.</w:t>
      </w:r>
      <w:r>
        <w:rPr>
          <w:rFonts w:ascii="Calibri" w:hAnsi="Calibri" w:cs="Calibri"/>
          <w:vertAlign w:val="superscript"/>
        </w:rPr>
        <w:t xml:space="preserve"> 32</w:t>
      </w:r>
      <w:r>
        <w:rPr>
          <w:rFonts w:ascii="Calibri" w:hAnsi="Calibri" w:cs="Calibri"/>
        </w:rPr>
        <w:t xml:space="preserve"> Essentially, there are only 2 routes and 2 universities where one can become a teacher in Northern Ireland.</w:t>
      </w:r>
    </w:p>
    <w:p w14:paraId="2ABA9DC2" w14:textId="77777777" w:rsidR="005E4C3E" w:rsidRDefault="00BF3721">
      <w:r>
        <w:rPr>
          <w:rFonts w:ascii="Calibri" w:hAnsi="Calibri" w:cs="Calibri"/>
        </w:rPr>
        <w:t>Both in Northern Ireland and England, teacher training is widely seen as highly intensive. Trainees combine extensive school placements, where they undertake lesson planning, behaviour management and assessment, with university-based study of pedagogy, subject knowledge and wider professional responsibilities.</w:t>
      </w:r>
      <w:r>
        <w:rPr>
          <w:rFonts w:ascii="Calibri" w:hAnsi="Calibri" w:cs="Calibri"/>
          <w:vertAlign w:val="superscript"/>
        </w:rPr>
        <w:t xml:space="preserve"> 33,34</w:t>
      </w:r>
      <w:r>
        <w:rPr>
          <w:rFonts w:ascii="Calibri" w:hAnsi="Calibri" w:cs="Calibri"/>
        </w:rPr>
        <w:t xml:space="preserve"> </w:t>
      </w:r>
    </w:p>
    <w:p w14:paraId="2ABA9DC3" w14:textId="77777777" w:rsidR="005E4C3E" w:rsidRDefault="00BF3721">
      <w:r>
        <w:rPr>
          <w:rFonts w:ascii="Calibri" w:hAnsi="Calibri" w:cs="Calibri"/>
        </w:rPr>
        <w:t>(In 2023, England formalised Intensive Training and Practice, which requires dedicated blocks of time for trainees to rehearse specific teaching skills under close supervision. Northern Ireland’s courses place less emphasis on this kind of structured rehearsal and more on integrating school placements with broader academic modules.</w:t>
      </w:r>
      <w:r>
        <w:rPr>
          <w:rFonts w:ascii="Calibri" w:hAnsi="Calibri" w:cs="Calibri"/>
          <w:vertAlign w:val="superscript"/>
        </w:rPr>
        <w:t xml:space="preserve"> 35</w:t>
      </w:r>
      <w:r>
        <w:rPr>
          <w:rFonts w:ascii="Calibri" w:hAnsi="Calibri" w:cs="Calibri"/>
        </w:rPr>
        <w:t>)</w:t>
      </w:r>
    </w:p>
    <w:p w14:paraId="2ABA9DC4" w14:textId="77777777" w:rsidR="005E4C3E" w:rsidRDefault="005E4C3E">
      <w:pPr>
        <w:rPr>
          <w:rFonts w:ascii="Calibri" w:hAnsi="Calibri" w:cs="Calibri"/>
        </w:rPr>
      </w:pPr>
    </w:p>
    <w:p w14:paraId="2ABA9DC5" w14:textId="77777777" w:rsidR="005E4C3E" w:rsidRDefault="00BF3721">
      <w:pPr>
        <w:rPr>
          <w:rFonts w:ascii="Calibri" w:hAnsi="Calibri" w:cs="Calibri"/>
          <w:sz w:val="32"/>
          <w:szCs w:val="32"/>
        </w:rPr>
      </w:pPr>
      <w:r>
        <w:rPr>
          <w:rFonts w:ascii="Calibri" w:hAnsi="Calibri" w:cs="Calibri"/>
          <w:sz w:val="32"/>
          <w:szCs w:val="32"/>
        </w:rPr>
        <w:t xml:space="preserve">Methodology </w:t>
      </w:r>
    </w:p>
    <w:p w14:paraId="2ABA9DC6" w14:textId="77777777" w:rsidR="005E4C3E" w:rsidRDefault="00BF3721">
      <w:pPr>
        <w:rPr>
          <w:rFonts w:ascii="Calibri" w:hAnsi="Calibri" w:cs="Calibri"/>
          <w:sz w:val="28"/>
          <w:szCs w:val="28"/>
        </w:rPr>
      </w:pPr>
      <w:r>
        <w:rPr>
          <w:rFonts w:ascii="Calibri" w:hAnsi="Calibri" w:cs="Calibri"/>
          <w:sz w:val="28"/>
          <w:szCs w:val="28"/>
        </w:rPr>
        <w:t xml:space="preserve">Method </w:t>
      </w:r>
    </w:p>
    <w:p w14:paraId="2ABA9DC7" w14:textId="3F350AA8" w:rsidR="005E4C3E" w:rsidRDefault="00BF3721">
      <w:pPr>
        <w:rPr>
          <w:rFonts w:ascii="Calibri" w:hAnsi="Calibri" w:cs="Calibri"/>
        </w:rPr>
      </w:pPr>
      <w:r>
        <w:rPr>
          <w:rFonts w:ascii="Calibri" w:hAnsi="Calibri" w:cs="Calibri"/>
        </w:rPr>
        <w:t>A Microsoft Forms survey was chosen for efficient and quantitative comparison between state secondary education in Northern Ireland and England. The questions on the survey related to GCSE and A-Level subject choices, extracurricular activities, university program</w:t>
      </w:r>
      <w:r w:rsidR="00F84021">
        <w:rPr>
          <w:rFonts w:ascii="Calibri" w:hAnsi="Calibri" w:cs="Calibri"/>
        </w:rPr>
        <w:t>me</w:t>
      </w:r>
      <w:r>
        <w:rPr>
          <w:rFonts w:ascii="Calibri" w:hAnsi="Calibri" w:cs="Calibri"/>
        </w:rPr>
        <w:t xml:space="preserve"> offerings, support for Oxbridge applications, academic support, racial diversity and quality of teachers. Responses were recorded in multiple-choice format with an open text field for structured responses and individual input. </w:t>
      </w:r>
    </w:p>
    <w:p w14:paraId="2ABA9DC8" w14:textId="77777777" w:rsidR="005E4C3E" w:rsidRDefault="00BF3721">
      <w:pPr>
        <w:rPr>
          <w:rFonts w:ascii="Calibri" w:hAnsi="Calibri" w:cs="Calibri"/>
        </w:rPr>
      </w:pPr>
      <w:r>
        <w:rPr>
          <w:rFonts w:ascii="Calibri" w:hAnsi="Calibri" w:cs="Calibri"/>
        </w:rPr>
        <w:t>The GCSE and A-Level subject options presented in the survey's multiple-choice questions were cross-referenced with specifications from CCEA (Council for the Curriculum, Examinations &amp; Assessment) for Northern Ireland and AQA (Assessment and Qualifications Alliance) for England, to ensure that all listed options were relevant and available across both education systems.</w:t>
      </w:r>
    </w:p>
    <w:p w14:paraId="2ABA9DC9" w14:textId="77777777" w:rsidR="005E4C3E" w:rsidRDefault="00BF3721">
      <w:pPr>
        <w:rPr>
          <w:rFonts w:ascii="Calibri" w:hAnsi="Calibri" w:cs="Calibri"/>
        </w:rPr>
      </w:pPr>
      <w:r>
        <w:rPr>
          <w:rFonts w:ascii="Calibri" w:hAnsi="Calibri" w:cs="Calibri"/>
        </w:rPr>
        <w:t>Extracurricular activities options presented focused on super-curricular opportunities (e.g., Medicine Society, Subject Societies…) and less commonly available activities (e.g., Handball...). To ensure the list of activities was well-informed and balanced, extracurricular offerings were reviewed across a range of secondary schools in both Northern Ireland and England — including both higher-performing and lower-performing institutions.</w:t>
      </w:r>
    </w:p>
    <w:p w14:paraId="2ABA9DCA" w14:textId="77777777" w:rsidR="005E4C3E" w:rsidRDefault="00BF3721">
      <w:pPr>
        <w:rPr>
          <w:rFonts w:ascii="Calibri" w:hAnsi="Calibri" w:cs="Calibri"/>
        </w:rPr>
      </w:pPr>
      <w:r>
        <w:rPr>
          <w:rFonts w:ascii="Calibri" w:hAnsi="Calibri" w:cs="Calibri"/>
        </w:rPr>
        <w:t>Subjects on the national curriculum and more standard or widely accessible school sports (Hockey, Netball…) were intentionally excluded as these are typically offered in most schools and therefore provide limited comparative insight.</w:t>
      </w:r>
    </w:p>
    <w:p w14:paraId="2ABA9DCB" w14:textId="77777777" w:rsidR="005E4C3E" w:rsidRDefault="005E4C3E">
      <w:pPr>
        <w:rPr>
          <w:rFonts w:ascii="Calibri" w:hAnsi="Calibri" w:cs="Calibri"/>
        </w:rPr>
      </w:pPr>
    </w:p>
    <w:p w14:paraId="2ABA9DCC" w14:textId="77777777" w:rsidR="005E4C3E" w:rsidRDefault="00BF3721">
      <w:pPr>
        <w:rPr>
          <w:rFonts w:ascii="Calibri" w:hAnsi="Calibri" w:cs="Calibri"/>
          <w:sz w:val="28"/>
          <w:szCs w:val="28"/>
        </w:rPr>
      </w:pPr>
      <w:r>
        <w:rPr>
          <w:rFonts w:ascii="Calibri" w:hAnsi="Calibri" w:cs="Calibri"/>
          <w:sz w:val="28"/>
          <w:szCs w:val="28"/>
        </w:rPr>
        <w:lastRenderedPageBreak/>
        <w:t>Participant Eligibility Criteria</w:t>
      </w:r>
    </w:p>
    <w:p w14:paraId="2ABA9DCD" w14:textId="77777777" w:rsidR="005E4C3E" w:rsidRDefault="00BF3721">
      <w:pPr>
        <w:rPr>
          <w:rFonts w:ascii="Calibri" w:hAnsi="Calibri" w:cs="Calibri"/>
        </w:rPr>
      </w:pPr>
      <w:r>
        <w:rPr>
          <w:rFonts w:ascii="Calibri" w:hAnsi="Calibri" w:cs="Calibri"/>
        </w:rPr>
        <w:t>The participants of this study were all:</w:t>
      </w:r>
    </w:p>
    <w:p w14:paraId="2ABA9DCE" w14:textId="77777777" w:rsidR="005E4C3E" w:rsidRDefault="00BF3721">
      <w:pPr>
        <w:numPr>
          <w:ilvl w:val="0"/>
          <w:numId w:val="2"/>
        </w:numPr>
        <w:rPr>
          <w:rFonts w:ascii="Calibri" w:hAnsi="Calibri" w:cs="Calibri"/>
        </w:rPr>
      </w:pPr>
      <w:r>
        <w:rPr>
          <w:rFonts w:ascii="Calibri" w:hAnsi="Calibri" w:cs="Calibri"/>
        </w:rPr>
        <w:t>Previous students from a state school from Northern Ireland or England</w:t>
      </w:r>
    </w:p>
    <w:p w14:paraId="2ABA9DCF" w14:textId="77777777" w:rsidR="005E4C3E" w:rsidRDefault="00BF3721">
      <w:pPr>
        <w:numPr>
          <w:ilvl w:val="0"/>
          <w:numId w:val="2"/>
        </w:numPr>
        <w:rPr>
          <w:rFonts w:ascii="Calibri" w:hAnsi="Calibri" w:cs="Calibri"/>
        </w:rPr>
      </w:pPr>
      <w:r>
        <w:rPr>
          <w:rFonts w:ascii="Calibri" w:hAnsi="Calibri" w:cs="Calibri"/>
        </w:rPr>
        <w:t>Graduated secondary school in the year of, or years after 2015.</w:t>
      </w:r>
    </w:p>
    <w:p w14:paraId="2ABA9DD0" w14:textId="77777777" w:rsidR="005E4C3E" w:rsidRDefault="00BF3721">
      <w:pPr>
        <w:rPr>
          <w:rFonts w:ascii="Calibri" w:hAnsi="Calibri" w:cs="Calibri"/>
        </w:rPr>
      </w:pPr>
      <w:r>
        <w:rPr>
          <w:rFonts w:ascii="Calibri" w:hAnsi="Calibri" w:cs="Calibri"/>
        </w:rPr>
        <w:t>This is to ensure no minors were participating and/or to reduce the number of those who may have little memory of their secondary school.</w:t>
      </w:r>
    </w:p>
    <w:p w14:paraId="2ABA9DD1" w14:textId="77777777" w:rsidR="005E4C3E" w:rsidRDefault="005E4C3E">
      <w:pPr>
        <w:rPr>
          <w:rFonts w:ascii="Calibri" w:hAnsi="Calibri" w:cs="Calibri"/>
        </w:rPr>
      </w:pPr>
    </w:p>
    <w:p w14:paraId="2ABA9DD2" w14:textId="77777777" w:rsidR="005E4C3E" w:rsidRDefault="00BF3721">
      <w:pPr>
        <w:rPr>
          <w:rFonts w:ascii="Calibri" w:hAnsi="Calibri" w:cs="Calibri"/>
          <w:sz w:val="28"/>
          <w:szCs w:val="28"/>
        </w:rPr>
      </w:pPr>
      <w:r>
        <w:rPr>
          <w:rFonts w:ascii="Calibri" w:hAnsi="Calibri" w:cs="Calibri"/>
          <w:sz w:val="28"/>
          <w:szCs w:val="28"/>
        </w:rPr>
        <w:t>Data Collection and Analysis</w:t>
      </w:r>
    </w:p>
    <w:p w14:paraId="2ABA9DD3" w14:textId="77777777" w:rsidR="005E4C3E" w:rsidRDefault="00BF3721">
      <w:pPr>
        <w:rPr>
          <w:rFonts w:ascii="Calibri" w:hAnsi="Calibri" w:cs="Calibri"/>
        </w:rPr>
      </w:pPr>
      <w:r>
        <w:rPr>
          <w:rFonts w:ascii="Calibri" w:hAnsi="Calibri" w:cs="Calibri"/>
        </w:rPr>
        <w:t>The survey was shared amongst the University of Warwick Widening Participation network and University Irish Societies to target students from both countries.</w:t>
      </w:r>
    </w:p>
    <w:p w14:paraId="2ABA9DD4" w14:textId="77777777" w:rsidR="005E4C3E" w:rsidRDefault="00BF3721">
      <w:pPr>
        <w:rPr>
          <w:rFonts w:ascii="Calibri" w:hAnsi="Calibri" w:cs="Calibri"/>
        </w:rPr>
      </w:pPr>
      <w:r>
        <w:rPr>
          <w:rFonts w:ascii="Calibri" w:hAnsi="Calibri" w:cs="Calibri"/>
        </w:rPr>
        <w:t xml:space="preserve"> A total of 27 responses were collected, 5 of which were discarded due to repeat responses from the same school and entries from non-state schools. </w:t>
      </w:r>
    </w:p>
    <w:p w14:paraId="2ABA9DD5" w14:textId="77777777" w:rsidR="005E4C3E" w:rsidRDefault="00BF3721">
      <w:pPr>
        <w:rPr>
          <w:rFonts w:ascii="Calibri" w:hAnsi="Calibri" w:cs="Calibri"/>
        </w:rPr>
      </w:pPr>
      <w:r>
        <w:rPr>
          <w:rFonts w:ascii="Calibri" w:hAnsi="Calibri" w:cs="Calibri"/>
        </w:rPr>
        <w:t xml:space="preserve">Hence, 22 responses were analysed, 5 from Northern Ireland and 17 from England. Results were manually organised and reviewed on Microsoft Excel and the data was analysed quantitatively where answers were tallied to identify differences between the 2 countries.   </w:t>
      </w:r>
    </w:p>
    <w:p w14:paraId="2ABA9DD6" w14:textId="77777777" w:rsidR="005E4C3E" w:rsidRDefault="005E4C3E">
      <w:pPr>
        <w:rPr>
          <w:rFonts w:ascii="Calibri" w:hAnsi="Calibri" w:cs="Calibri"/>
        </w:rPr>
      </w:pPr>
    </w:p>
    <w:p w14:paraId="2ABA9DD7" w14:textId="77777777" w:rsidR="005E4C3E" w:rsidRDefault="00BF3721">
      <w:pPr>
        <w:rPr>
          <w:rFonts w:ascii="Calibri" w:hAnsi="Calibri" w:cs="Calibri"/>
          <w:sz w:val="28"/>
          <w:szCs w:val="28"/>
        </w:rPr>
      </w:pPr>
      <w:r>
        <w:rPr>
          <w:rFonts w:ascii="Calibri" w:hAnsi="Calibri" w:cs="Calibri"/>
          <w:sz w:val="28"/>
          <w:szCs w:val="28"/>
        </w:rPr>
        <w:t>Ethical Considerations</w:t>
      </w:r>
    </w:p>
    <w:p w14:paraId="2ABA9DD8" w14:textId="77777777" w:rsidR="005E4C3E" w:rsidRDefault="00BF3721">
      <w:pPr>
        <w:rPr>
          <w:rFonts w:ascii="Calibri" w:hAnsi="Calibri" w:cs="Calibri"/>
        </w:rPr>
      </w:pPr>
      <w:r>
        <w:rPr>
          <w:rFonts w:ascii="Calibri" w:hAnsi="Calibri" w:cs="Calibri"/>
        </w:rPr>
        <w:t xml:space="preserve">This study has been reviewed and given favourable opinion by University of Warwick's Widening Participation Research Ethics Committee and has followed ethical guidelines for conducting surveys with human participants. All participants were informed of the purpose of the study and gave their consent before completing the survey. Participation was entirely voluntary, and respondents had the right to withdraw at any point before submitting their answers. No identifying personal information was collected, ensuring anonymity and confidentiality. All data was stored securely. </w:t>
      </w:r>
    </w:p>
    <w:p w14:paraId="2ABA9DD9" w14:textId="77777777" w:rsidR="005E4C3E" w:rsidRDefault="005E4C3E">
      <w:pPr>
        <w:rPr>
          <w:rFonts w:ascii="Calibri" w:hAnsi="Calibri" w:cs="Calibri"/>
        </w:rPr>
      </w:pPr>
    </w:p>
    <w:p w14:paraId="2ABA9DDA" w14:textId="77777777" w:rsidR="005E4C3E" w:rsidRDefault="00BF3721">
      <w:r>
        <w:rPr>
          <w:rFonts w:ascii="Calibri" w:hAnsi="Calibri" w:cs="Calibri"/>
          <w:sz w:val="28"/>
          <w:szCs w:val="28"/>
        </w:rPr>
        <w:t xml:space="preserve">Limitations </w:t>
      </w:r>
    </w:p>
    <w:p w14:paraId="2ABA9DDB" w14:textId="77777777" w:rsidR="005E4C3E" w:rsidRDefault="00BF3721">
      <w:pPr>
        <w:pStyle w:val="ListParagraph"/>
        <w:numPr>
          <w:ilvl w:val="0"/>
          <w:numId w:val="3"/>
        </w:numPr>
        <w:rPr>
          <w:rFonts w:ascii="Calibri" w:hAnsi="Calibri" w:cs="Calibri"/>
        </w:rPr>
      </w:pPr>
      <w:r>
        <w:rPr>
          <w:rFonts w:ascii="Calibri" w:hAnsi="Calibri" w:cs="Calibri"/>
        </w:rPr>
        <w:t>The sample size was small, with 22 participants in total and an unequal amount from Northern Ireland (5) and England (17) – this limits the generalising of the findings.</w:t>
      </w:r>
    </w:p>
    <w:p w14:paraId="2ABA9DDC" w14:textId="77777777" w:rsidR="005E4C3E" w:rsidRDefault="00BF3721">
      <w:pPr>
        <w:pStyle w:val="ListParagraph"/>
        <w:numPr>
          <w:ilvl w:val="0"/>
          <w:numId w:val="3"/>
        </w:numPr>
        <w:rPr>
          <w:rFonts w:ascii="Calibri" w:hAnsi="Calibri" w:cs="Calibri"/>
        </w:rPr>
      </w:pPr>
      <w:r>
        <w:rPr>
          <w:rFonts w:ascii="Calibri" w:hAnsi="Calibri" w:cs="Calibri"/>
        </w:rPr>
        <w:t>Responses were based on self-reported experiences, which could be subjective or influenced by memory.</w:t>
      </w:r>
    </w:p>
    <w:p w14:paraId="2ABA9DDD" w14:textId="77777777" w:rsidR="005E4C3E" w:rsidRDefault="00BF3721">
      <w:pPr>
        <w:pStyle w:val="ListParagraph"/>
        <w:numPr>
          <w:ilvl w:val="0"/>
          <w:numId w:val="3"/>
        </w:numPr>
        <w:rPr>
          <w:rFonts w:ascii="Calibri" w:hAnsi="Calibri" w:cs="Calibri"/>
        </w:rPr>
      </w:pPr>
      <w:r>
        <w:rPr>
          <w:rFonts w:ascii="Calibri" w:hAnsi="Calibri" w:cs="Calibri"/>
        </w:rPr>
        <w:t>The survey may not have captured all relevant factors influencing educational experiences, such as economic status or school funding.</w:t>
      </w:r>
    </w:p>
    <w:p w14:paraId="2ABA9DDE" w14:textId="77777777" w:rsidR="005E4C3E" w:rsidRDefault="00BF3721">
      <w:pPr>
        <w:pStyle w:val="ListParagraph"/>
        <w:numPr>
          <w:ilvl w:val="0"/>
          <w:numId w:val="3"/>
        </w:numPr>
        <w:rPr>
          <w:rFonts w:ascii="Calibri" w:hAnsi="Calibri" w:cs="Calibri"/>
        </w:rPr>
      </w:pPr>
      <w:r>
        <w:rPr>
          <w:rFonts w:ascii="Calibri" w:hAnsi="Calibri" w:cs="Calibri"/>
        </w:rPr>
        <w:t>The research was conducted by a student with limited access to institutional data or wider resources.</w:t>
      </w:r>
    </w:p>
    <w:p w14:paraId="2ABA9DDF" w14:textId="77777777" w:rsidR="005E4C3E" w:rsidRDefault="00BF3721">
      <w:pPr>
        <w:pStyle w:val="ListParagraph"/>
        <w:numPr>
          <w:ilvl w:val="0"/>
          <w:numId w:val="3"/>
        </w:numPr>
        <w:rPr>
          <w:rFonts w:ascii="Calibri" w:hAnsi="Calibri" w:cs="Calibri"/>
        </w:rPr>
      </w:pPr>
      <w:r>
        <w:rPr>
          <w:rFonts w:ascii="Calibri" w:hAnsi="Calibri" w:cs="Calibri"/>
        </w:rPr>
        <w:lastRenderedPageBreak/>
        <w:t>There is a lack of existing research on this specific comparison, limiting the ability to support findings with established literature.</w:t>
      </w:r>
    </w:p>
    <w:p w14:paraId="2ABA9DE0" w14:textId="77777777" w:rsidR="005E4C3E" w:rsidRDefault="00BF3721">
      <w:pPr>
        <w:pStyle w:val="ListParagraph"/>
        <w:numPr>
          <w:ilvl w:val="0"/>
          <w:numId w:val="3"/>
        </w:numPr>
        <w:rPr>
          <w:rFonts w:ascii="Calibri" w:hAnsi="Calibri" w:cs="Calibri"/>
        </w:rPr>
      </w:pPr>
      <w:r>
        <w:rPr>
          <w:rFonts w:ascii="Calibri" w:hAnsi="Calibri" w:cs="Calibri"/>
        </w:rPr>
        <w:t>All respondents were university students, which means the sample represents only one group: individuals who successfully progressed to higher education. This may introduce bias, as their educational experiences and opportunities may differ significantly from those who did not attend university.</w:t>
      </w:r>
    </w:p>
    <w:p w14:paraId="2ABA9DE1" w14:textId="77777777" w:rsidR="005E4C3E" w:rsidRDefault="005E4C3E">
      <w:pPr>
        <w:rPr>
          <w:rFonts w:ascii="Calibri" w:hAnsi="Calibri" w:cs="Calibri"/>
        </w:rPr>
      </w:pPr>
    </w:p>
    <w:p w14:paraId="2ABA9DE2" w14:textId="77777777" w:rsidR="005E4C3E" w:rsidRDefault="00BF3721">
      <w:pPr>
        <w:rPr>
          <w:rFonts w:ascii="Calibri" w:hAnsi="Calibri" w:cs="Calibri"/>
          <w:sz w:val="32"/>
          <w:szCs w:val="32"/>
        </w:rPr>
      </w:pPr>
      <w:r>
        <w:rPr>
          <w:rFonts w:ascii="Calibri" w:hAnsi="Calibri" w:cs="Calibri"/>
          <w:sz w:val="32"/>
          <w:szCs w:val="32"/>
        </w:rPr>
        <w:t>Findings</w:t>
      </w:r>
    </w:p>
    <w:p w14:paraId="2ABA9DE3" w14:textId="77777777" w:rsidR="005E4C3E" w:rsidRDefault="00BF3721">
      <w:pPr>
        <w:rPr>
          <w:rFonts w:ascii="Calibri" w:hAnsi="Calibri" w:cs="Calibri"/>
          <w:sz w:val="28"/>
          <w:szCs w:val="28"/>
        </w:rPr>
      </w:pPr>
      <w:r>
        <w:rPr>
          <w:rFonts w:ascii="Calibri" w:hAnsi="Calibri" w:cs="Calibri"/>
          <w:sz w:val="28"/>
          <w:szCs w:val="28"/>
        </w:rPr>
        <w:t>Did your school offer any of the following specific subjects at GCSE? (tick all that apply)</w:t>
      </w:r>
    </w:p>
    <w:p w14:paraId="2ABA9DE4" w14:textId="77777777" w:rsidR="005E4C3E" w:rsidRDefault="00BF3721">
      <w:r>
        <w:rPr>
          <w:rFonts w:ascii="Calibri" w:hAnsi="Calibri" w:cs="Calibri"/>
          <w:noProof/>
        </w:rPr>
        <w:drawing>
          <wp:inline distT="0" distB="0" distL="0" distR="0" wp14:anchorId="2ABA9D6D" wp14:editId="2ABA9D6E">
            <wp:extent cx="6343650" cy="3080385"/>
            <wp:effectExtent l="0" t="0" r="0" b="0"/>
            <wp:docPr id="133809494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ABA9DE5" w14:textId="77777777" w:rsidR="005E4C3E" w:rsidRDefault="00BF3721">
      <w:pPr>
        <w:rPr>
          <w:rFonts w:ascii="Calibri" w:hAnsi="Calibri" w:cs="Calibri"/>
        </w:rPr>
      </w:pPr>
      <w:r>
        <w:rPr>
          <w:rFonts w:ascii="Calibri" w:hAnsi="Calibri" w:cs="Calibri"/>
        </w:rPr>
        <w:t>Figure 1. Availability of GCSE subjects at schools reported by Northern Irish students.</w:t>
      </w:r>
    </w:p>
    <w:p w14:paraId="2ABA9DE6" w14:textId="77777777" w:rsidR="005E4C3E" w:rsidRDefault="005E4C3E">
      <w:pPr>
        <w:rPr>
          <w:rFonts w:ascii="Calibri" w:hAnsi="Calibri" w:cs="Calibri"/>
        </w:rPr>
      </w:pPr>
    </w:p>
    <w:p w14:paraId="2ABA9DE7" w14:textId="77777777" w:rsidR="005E4C3E" w:rsidRDefault="005E4C3E">
      <w:pPr>
        <w:rPr>
          <w:rFonts w:ascii="Calibri" w:hAnsi="Calibri" w:cs="Calibri"/>
        </w:rPr>
      </w:pPr>
    </w:p>
    <w:p w14:paraId="2ABA9DE8" w14:textId="77777777" w:rsidR="005E4C3E" w:rsidRDefault="005E4C3E">
      <w:pPr>
        <w:rPr>
          <w:rFonts w:ascii="Calibri" w:hAnsi="Calibri" w:cs="Calibri"/>
        </w:rPr>
      </w:pPr>
    </w:p>
    <w:p w14:paraId="2ABA9DE9" w14:textId="77777777" w:rsidR="005E4C3E" w:rsidRDefault="005E4C3E">
      <w:pPr>
        <w:rPr>
          <w:rFonts w:ascii="Calibri" w:hAnsi="Calibri" w:cs="Calibri"/>
        </w:rPr>
      </w:pPr>
    </w:p>
    <w:p w14:paraId="2ABA9DEA" w14:textId="77777777" w:rsidR="005E4C3E" w:rsidRDefault="005E4C3E">
      <w:pPr>
        <w:rPr>
          <w:rFonts w:ascii="Calibri" w:hAnsi="Calibri" w:cs="Calibri"/>
        </w:rPr>
      </w:pPr>
    </w:p>
    <w:p w14:paraId="2ABA9DEB" w14:textId="77777777" w:rsidR="005E4C3E" w:rsidRDefault="005E4C3E">
      <w:pPr>
        <w:rPr>
          <w:rFonts w:ascii="Calibri" w:hAnsi="Calibri" w:cs="Calibri"/>
        </w:rPr>
      </w:pPr>
    </w:p>
    <w:p w14:paraId="2ABA9DEC" w14:textId="77777777" w:rsidR="005E4C3E" w:rsidRDefault="00BF3721">
      <w:pPr>
        <w:tabs>
          <w:tab w:val="left" w:pos="5700"/>
        </w:tabs>
        <w:rPr>
          <w:rFonts w:ascii="Calibri" w:hAnsi="Calibri" w:cs="Calibri"/>
        </w:rPr>
      </w:pPr>
      <w:r>
        <w:rPr>
          <w:rFonts w:ascii="Calibri" w:hAnsi="Calibri" w:cs="Calibri"/>
        </w:rPr>
        <w:tab/>
      </w:r>
    </w:p>
    <w:p w14:paraId="2ABA9DED" w14:textId="77777777" w:rsidR="005E4C3E" w:rsidRDefault="00BF3721">
      <w:r>
        <w:rPr>
          <w:rFonts w:ascii="Calibri" w:hAnsi="Calibri" w:cs="Calibri"/>
          <w:noProof/>
        </w:rPr>
        <w:lastRenderedPageBreak/>
        <w:drawing>
          <wp:inline distT="0" distB="0" distL="0" distR="0" wp14:anchorId="2ABA9D6F" wp14:editId="2ABA9D70">
            <wp:extent cx="6362066" cy="3358518"/>
            <wp:effectExtent l="0" t="0" r="0" b="0"/>
            <wp:docPr id="50267519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Calibri" w:hAnsi="Calibri" w:cs="Calibri"/>
        </w:rPr>
        <w:t>Figure 2. Availability of GCSE subjects at schools reported by English students.</w:t>
      </w:r>
    </w:p>
    <w:p w14:paraId="2ABA9DEE" w14:textId="77777777" w:rsidR="005E4C3E" w:rsidRDefault="005E4C3E">
      <w:pPr>
        <w:rPr>
          <w:rFonts w:ascii="Calibri" w:hAnsi="Calibri" w:cs="Calibri"/>
        </w:rPr>
      </w:pPr>
    </w:p>
    <w:p w14:paraId="2ABA9DEF" w14:textId="77777777" w:rsidR="005E4C3E" w:rsidRDefault="00BF3721">
      <w:pPr>
        <w:rPr>
          <w:rFonts w:ascii="Calibri" w:hAnsi="Calibri" w:cs="Calibri"/>
        </w:rPr>
      </w:pPr>
      <w:r>
        <w:rPr>
          <w:rFonts w:ascii="Calibri" w:hAnsi="Calibri" w:cs="Calibri"/>
        </w:rPr>
        <w:t>Table 2. Percentage availability of the most common GCSE subjects in Northern Ireland and England.</w:t>
      </w:r>
    </w:p>
    <w:tbl>
      <w:tblPr>
        <w:tblW w:w="9736" w:type="dxa"/>
        <w:tblCellMar>
          <w:left w:w="10" w:type="dxa"/>
          <w:right w:w="10" w:type="dxa"/>
        </w:tblCellMar>
        <w:tblLook w:val="0000" w:firstRow="0" w:lastRow="0" w:firstColumn="0" w:lastColumn="0" w:noHBand="0" w:noVBand="0"/>
      </w:tblPr>
      <w:tblGrid>
        <w:gridCol w:w="3245"/>
        <w:gridCol w:w="3245"/>
        <w:gridCol w:w="3246"/>
      </w:tblGrid>
      <w:tr w:rsidR="005E4C3E" w14:paraId="2ABA9DF3"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0" w14:textId="77777777" w:rsidR="005E4C3E" w:rsidRDefault="00BF3721">
            <w:pPr>
              <w:spacing w:after="0" w:line="240" w:lineRule="auto"/>
              <w:jc w:val="center"/>
              <w:rPr>
                <w:rFonts w:ascii="Calibri" w:hAnsi="Calibri" w:cs="Calibri"/>
              </w:rPr>
            </w:pPr>
            <w:r>
              <w:rPr>
                <w:rFonts w:ascii="Calibri" w:hAnsi="Calibri" w:cs="Calibri"/>
              </w:rPr>
              <w:t>Subject</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1"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Northern Ireland (%)</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DF2"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England (%)</w:t>
            </w:r>
          </w:p>
        </w:tc>
      </w:tr>
      <w:tr w:rsidR="005E4C3E" w14:paraId="2ABA9DF7"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4" w14:textId="77777777" w:rsidR="005E4C3E" w:rsidRDefault="00BF3721">
            <w:pPr>
              <w:spacing w:after="0" w:line="240" w:lineRule="auto"/>
              <w:jc w:val="center"/>
              <w:rPr>
                <w:rFonts w:ascii="Calibri" w:hAnsi="Calibri" w:cs="Calibri"/>
              </w:rPr>
            </w:pPr>
            <w:r>
              <w:rPr>
                <w:rFonts w:ascii="Calibri" w:hAnsi="Calibri" w:cs="Calibri"/>
              </w:rPr>
              <w:t>Computer Science</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5"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DF6" w14:textId="77777777" w:rsidR="005E4C3E" w:rsidRDefault="00BF3721">
            <w:pPr>
              <w:spacing w:after="0" w:line="240" w:lineRule="auto"/>
              <w:jc w:val="center"/>
              <w:rPr>
                <w:rFonts w:ascii="Calibri" w:hAnsi="Calibri" w:cs="Calibri"/>
              </w:rPr>
            </w:pPr>
            <w:r>
              <w:rPr>
                <w:rFonts w:ascii="Calibri" w:hAnsi="Calibri" w:cs="Calibri"/>
              </w:rPr>
              <w:t>76.5</w:t>
            </w:r>
          </w:p>
        </w:tc>
      </w:tr>
      <w:tr w:rsidR="005E4C3E" w14:paraId="2ABA9DFB"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8" w14:textId="77777777" w:rsidR="005E4C3E" w:rsidRDefault="00BF3721">
            <w:pPr>
              <w:spacing w:after="0" w:line="240" w:lineRule="auto"/>
              <w:jc w:val="center"/>
              <w:rPr>
                <w:rFonts w:ascii="Calibri" w:hAnsi="Calibri" w:cs="Calibri"/>
              </w:rPr>
            </w:pPr>
            <w:r>
              <w:rPr>
                <w:rFonts w:ascii="Calibri" w:hAnsi="Calibri" w:cs="Calibri"/>
              </w:rPr>
              <w:t>Digital Technology/ICT</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9"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DFA" w14:textId="77777777" w:rsidR="005E4C3E" w:rsidRDefault="00BF3721">
            <w:pPr>
              <w:spacing w:after="0" w:line="240" w:lineRule="auto"/>
              <w:jc w:val="center"/>
              <w:rPr>
                <w:rFonts w:ascii="Calibri" w:hAnsi="Calibri" w:cs="Calibri"/>
              </w:rPr>
            </w:pPr>
            <w:r>
              <w:rPr>
                <w:rFonts w:ascii="Calibri" w:hAnsi="Calibri" w:cs="Calibri"/>
              </w:rPr>
              <w:t>29.4</w:t>
            </w:r>
          </w:p>
        </w:tc>
      </w:tr>
      <w:tr w:rsidR="005E4C3E" w14:paraId="2ABA9DFF"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C" w14:textId="77777777" w:rsidR="005E4C3E" w:rsidRDefault="00BF3721">
            <w:pPr>
              <w:spacing w:after="0" w:line="240" w:lineRule="auto"/>
              <w:jc w:val="center"/>
              <w:rPr>
                <w:rFonts w:ascii="Calibri" w:hAnsi="Calibri" w:cs="Calibri"/>
              </w:rPr>
            </w:pPr>
            <w:r>
              <w:rPr>
                <w:rFonts w:ascii="Calibri" w:hAnsi="Calibri" w:cs="Calibri"/>
              </w:rPr>
              <w:t>Design and Technology</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DFD"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DFE" w14:textId="77777777" w:rsidR="005E4C3E" w:rsidRDefault="00BF3721">
            <w:pPr>
              <w:spacing w:after="0" w:line="240" w:lineRule="auto"/>
              <w:jc w:val="center"/>
              <w:rPr>
                <w:rFonts w:ascii="Calibri" w:hAnsi="Calibri" w:cs="Calibri"/>
              </w:rPr>
            </w:pPr>
            <w:r>
              <w:rPr>
                <w:rFonts w:ascii="Calibri" w:hAnsi="Calibri" w:cs="Calibri"/>
              </w:rPr>
              <w:t>64.7</w:t>
            </w:r>
          </w:p>
        </w:tc>
      </w:tr>
      <w:tr w:rsidR="005E4C3E" w14:paraId="2ABA9E03"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0" w14:textId="77777777" w:rsidR="005E4C3E" w:rsidRDefault="00BF3721">
            <w:pPr>
              <w:spacing w:after="0" w:line="240" w:lineRule="auto"/>
              <w:jc w:val="center"/>
              <w:rPr>
                <w:rFonts w:ascii="Calibri" w:hAnsi="Calibri" w:cs="Calibri"/>
              </w:rPr>
            </w:pPr>
            <w:r>
              <w:rPr>
                <w:rFonts w:ascii="Calibri" w:hAnsi="Calibri" w:cs="Calibri"/>
              </w:rPr>
              <w:t>Further Mathematics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1"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02" w14:textId="77777777" w:rsidR="005E4C3E" w:rsidRDefault="00BF3721">
            <w:pPr>
              <w:spacing w:after="0" w:line="240" w:lineRule="auto"/>
              <w:jc w:val="center"/>
              <w:rPr>
                <w:rFonts w:ascii="Calibri" w:hAnsi="Calibri" w:cs="Calibri"/>
              </w:rPr>
            </w:pPr>
            <w:r>
              <w:rPr>
                <w:rFonts w:ascii="Calibri" w:hAnsi="Calibri" w:cs="Calibri"/>
              </w:rPr>
              <w:t>35.3</w:t>
            </w:r>
          </w:p>
        </w:tc>
      </w:tr>
      <w:tr w:rsidR="005E4C3E" w14:paraId="2ABA9E07"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4" w14:textId="77777777" w:rsidR="005E4C3E" w:rsidRDefault="00BF3721">
            <w:pPr>
              <w:spacing w:after="0" w:line="240" w:lineRule="auto"/>
              <w:jc w:val="center"/>
              <w:rPr>
                <w:rFonts w:ascii="Calibri" w:hAnsi="Calibri" w:cs="Calibri"/>
              </w:rPr>
            </w:pPr>
            <w:r>
              <w:rPr>
                <w:rFonts w:ascii="Calibri" w:hAnsi="Calibri" w:cs="Calibri"/>
              </w:rPr>
              <w:t>Languages (excluding Spanish, French and German)</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5"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06" w14:textId="77777777" w:rsidR="005E4C3E" w:rsidRDefault="00BF3721">
            <w:pPr>
              <w:spacing w:after="0" w:line="240" w:lineRule="auto"/>
              <w:jc w:val="center"/>
              <w:rPr>
                <w:rFonts w:ascii="Calibri" w:hAnsi="Calibri" w:cs="Calibri"/>
              </w:rPr>
            </w:pPr>
            <w:r>
              <w:rPr>
                <w:rFonts w:ascii="Calibri" w:hAnsi="Calibri" w:cs="Calibri"/>
              </w:rPr>
              <w:t>53.9</w:t>
            </w:r>
          </w:p>
        </w:tc>
      </w:tr>
      <w:tr w:rsidR="005E4C3E" w14:paraId="2ABA9E0B"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8" w14:textId="77777777" w:rsidR="005E4C3E" w:rsidRDefault="00BF3721">
            <w:pPr>
              <w:spacing w:after="0" w:line="240" w:lineRule="auto"/>
              <w:jc w:val="center"/>
              <w:rPr>
                <w:rFonts w:ascii="Calibri" w:hAnsi="Calibri" w:cs="Calibri"/>
              </w:rPr>
            </w:pPr>
            <w:r>
              <w:rPr>
                <w:rFonts w:ascii="Calibri" w:hAnsi="Calibri" w:cs="Calibri"/>
              </w:rPr>
              <w:t>Physical Education</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09"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0A" w14:textId="77777777" w:rsidR="005E4C3E" w:rsidRDefault="00BF3721">
            <w:pPr>
              <w:spacing w:after="0" w:line="240" w:lineRule="auto"/>
              <w:jc w:val="center"/>
              <w:rPr>
                <w:rFonts w:ascii="Calibri" w:hAnsi="Calibri" w:cs="Calibri"/>
              </w:rPr>
            </w:pPr>
            <w:r>
              <w:rPr>
                <w:rFonts w:ascii="Calibri" w:hAnsi="Calibri" w:cs="Calibri"/>
              </w:rPr>
              <w:t>70.6</w:t>
            </w:r>
          </w:p>
        </w:tc>
      </w:tr>
    </w:tbl>
    <w:p w14:paraId="2ABA9E0C" w14:textId="77777777" w:rsidR="005E4C3E" w:rsidRDefault="005E4C3E">
      <w:pPr>
        <w:rPr>
          <w:rFonts w:ascii="Calibri" w:hAnsi="Calibri" w:cs="Calibri"/>
        </w:rPr>
      </w:pPr>
    </w:p>
    <w:p w14:paraId="2ABA9E0D" w14:textId="77777777" w:rsidR="005E4C3E" w:rsidRDefault="00BF3721">
      <w:pPr>
        <w:rPr>
          <w:rFonts w:ascii="Calibri" w:hAnsi="Calibri" w:cs="Calibri"/>
        </w:rPr>
      </w:pPr>
      <w:r>
        <w:rPr>
          <w:rFonts w:ascii="Calibri" w:hAnsi="Calibri" w:cs="Calibri"/>
        </w:rPr>
        <w:t>Key findings:</w:t>
      </w:r>
    </w:p>
    <w:p w14:paraId="2ABA9E0E" w14:textId="77777777" w:rsidR="005E4C3E" w:rsidRDefault="00BF3721">
      <w:pPr>
        <w:pStyle w:val="ListParagraph"/>
        <w:numPr>
          <w:ilvl w:val="0"/>
          <w:numId w:val="4"/>
        </w:numPr>
        <w:rPr>
          <w:rFonts w:ascii="Calibri" w:hAnsi="Calibri" w:cs="Calibri"/>
        </w:rPr>
      </w:pPr>
      <w:r>
        <w:rPr>
          <w:rFonts w:ascii="Calibri" w:hAnsi="Calibri" w:cs="Calibri"/>
        </w:rPr>
        <w:t>Different English schools allow students to take a wider range of number of GCSEs (6-12) compared to Northern Irish schools, where most students take similar numbers of GCSEs (8-10)</w:t>
      </w:r>
    </w:p>
    <w:p w14:paraId="2ABA9E0F" w14:textId="77777777" w:rsidR="005E4C3E" w:rsidRDefault="00BF3721">
      <w:pPr>
        <w:pStyle w:val="ListParagraph"/>
        <w:numPr>
          <w:ilvl w:val="0"/>
          <w:numId w:val="4"/>
        </w:numPr>
        <w:rPr>
          <w:rFonts w:ascii="Calibri" w:hAnsi="Calibri" w:cs="Calibri"/>
        </w:rPr>
      </w:pPr>
      <w:r>
        <w:rPr>
          <w:rFonts w:ascii="Calibri" w:hAnsi="Calibri" w:cs="Calibri"/>
        </w:rPr>
        <w:lastRenderedPageBreak/>
        <w:t>Most Northern Irish schools offer a similar selection of GCSEs whereas different English schools may offer a select few different GCSEs, including psychology, philosophy and statistics.</w:t>
      </w:r>
    </w:p>
    <w:p w14:paraId="2ABA9E10" w14:textId="77777777" w:rsidR="005E4C3E" w:rsidRDefault="00BF3721">
      <w:pPr>
        <w:pStyle w:val="ListParagraph"/>
        <w:numPr>
          <w:ilvl w:val="0"/>
          <w:numId w:val="4"/>
        </w:numPr>
        <w:rPr>
          <w:rFonts w:ascii="Calibri" w:hAnsi="Calibri" w:cs="Calibri"/>
        </w:rPr>
      </w:pPr>
      <w:r>
        <w:rPr>
          <w:rFonts w:ascii="Calibri" w:hAnsi="Calibri" w:cs="Calibri"/>
        </w:rPr>
        <w:t>At GCSE level, the most commonly available subjects in Northern Irish and English schools are very similar. However, further mathematics and digital technology/ICT are much less available in England than in Northern Ireland by 44.7% and 50.6%, respectively.</w:t>
      </w:r>
    </w:p>
    <w:p w14:paraId="2ABA9E11" w14:textId="77777777" w:rsidR="005E4C3E" w:rsidRDefault="00BF3721">
      <w:pPr>
        <w:pStyle w:val="ListParagraph"/>
        <w:numPr>
          <w:ilvl w:val="0"/>
          <w:numId w:val="4"/>
        </w:numPr>
        <w:rPr>
          <w:rFonts w:ascii="Calibri" w:hAnsi="Calibri" w:cs="Calibri"/>
        </w:rPr>
      </w:pPr>
      <w:r>
        <w:rPr>
          <w:rFonts w:ascii="Calibri" w:hAnsi="Calibri" w:cs="Calibri"/>
        </w:rPr>
        <w:t>Most commonly available subjects in both regions are mainly hard subjects.</w:t>
      </w:r>
    </w:p>
    <w:p w14:paraId="2ABA9E12" w14:textId="77777777" w:rsidR="005E4C3E" w:rsidRDefault="005E4C3E">
      <w:pPr>
        <w:rPr>
          <w:rFonts w:ascii="Calibri" w:hAnsi="Calibri" w:cs="Calibri"/>
        </w:rPr>
      </w:pPr>
    </w:p>
    <w:p w14:paraId="2ABA9E13" w14:textId="77777777" w:rsidR="005E4C3E" w:rsidRDefault="00BF3721">
      <w:r>
        <w:rPr>
          <w:rFonts w:ascii="Calibri" w:hAnsi="Calibri" w:cs="Calibri"/>
          <w:sz w:val="28"/>
          <w:szCs w:val="28"/>
        </w:rPr>
        <w:t>Did your school offer any of the following specific subjects at A-Level? (</w:t>
      </w:r>
      <w:proofErr w:type="gramStart"/>
      <w:r>
        <w:rPr>
          <w:rFonts w:ascii="Calibri" w:hAnsi="Calibri" w:cs="Calibri"/>
          <w:sz w:val="28"/>
          <w:szCs w:val="28"/>
        </w:rPr>
        <w:t>tick</w:t>
      </w:r>
      <w:proofErr w:type="gramEnd"/>
      <w:r>
        <w:rPr>
          <w:rFonts w:ascii="Calibri" w:hAnsi="Calibri" w:cs="Calibri"/>
          <w:sz w:val="28"/>
          <w:szCs w:val="28"/>
        </w:rPr>
        <w:t xml:space="preserve"> all that apply</w:t>
      </w:r>
    </w:p>
    <w:p w14:paraId="2ABA9E14" w14:textId="77777777" w:rsidR="005E4C3E" w:rsidRDefault="00BF3721">
      <w:r>
        <w:rPr>
          <w:rFonts w:ascii="Calibri" w:hAnsi="Calibri" w:cs="Calibri"/>
          <w:noProof/>
        </w:rPr>
        <w:drawing>
          <wp:inline distT="0" distB="0" distL="0" distR="0" wp14:anchorId="2ABA9D71" wp14:editId="2ABA9D72">
            <wp:extent cx="6324603" cy="3357247"/>
            <wp:effectExtent l="0" t="0" r="0" b="0"/>
            <wp:docPr id="210363987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Calibri" w:hAnsi="Calibri" w:cs="Calibri"/>
        </w:rPr>
        <w:t>Figure 3. Availability of A-Level subjects at schools reported by Northern Irish students.</w:t>
      </w:r>
    </w:p>
    <w:p w14:paraId="2ABA9E15" w14:textId="77777777" w:rsidR="005E4C3E" w:rsidRDefault="005E4C3E">
      <w:pPr>
        <w:rPr>
          <w:rFonts w:ascii="Calibri" w:hAnsi="Calibri" w:cs="Calibri"/>
          <w:sz w:val="28"/>
          <w:szCs w:val="28"/>
        </w:rPr>
      </w:pPr>
    </w:p>
    <w:p w14:paraId="2ABA9E16" w14:textId="77777777" w:rsidR="005E4C3E" w:rsidRDefault="00BF3721">
      <w:r>
        <w:rPr>
          <w:rFonts w:ascii="Calibri" w:hAnsi="Calibri" w:cs="Calibri"/>
          <w:noProof/>
        </w:rPr>
        <w:lastRenderedPageBreak/>
        <w:drawing>
          <wp:inline distT="0" distB="0" distL="0" distR="0" wp14:anchorId="2ABA9D73" wp14:editId="2ABA9D74">
            <wp:extent cx="6353178" cy="4480560"/>
            <wp:effectExtent l="0" t="0" r="0" b="0"/>
            <wp:docPr id="8757510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Calibri" w:hAnsi="Calibri" w:cs="Calibri"/>
        </w:rPr>
        <w:t>Figure 4. Availability of A-Level subjects at schools reported by English students.</w:t>
      </w:r>
    </w:p>
    <w:p w14:paraId="2ABA9E17" w14:textId="77777777" w:rsidR="005E4C3E" w:rsidRDefault="00BF3721">
      <w:pPr>
        <w:rPr>
          <w:rFonts w:ascii="Calibri" w:hAnsi="Calibri" w:cs="Calibri"/>
        </w:rPr>
      </w:pPr>
      <w:r>
        <w:rPr>
          <w:rFonts w:ascii="Calibri" w:hAnsi="Calibri" w:cs="Calibri"/>
        </w:rPr>
        <w:t>Table 3. Most available A-Level subjects in Northern Ireland, with comparison to England.</w:t>
      </w:r>
    </w:p>
    <w:tbl>
      <w:tblPr>
        <w:tblW w:w="9736" w:type="dxa"/>
        <w:tblCellMar>
          <w:left w:w="10" w:type="dxa"/>
          <w:right w:w="10" w:type="dxa"/>
        </w:tblCellMar>
        <w:tblLook w:val="0000" w:firstRow="0" w:lastRow="0" w:firstColumn="0" w:lastColumn="0" w:noHBand="0" w:noVBand="0"/>
      </w:tblPr>
      <w:tblGrid>
        <w:gridCol w:w="3245"/>
        <w:gridCol w:w="3245"/>
        <w:gridCol w:w="3246"/>
      </w:tblGrid>
      <w:tr w:rsidR="005E4C3E" w14:paraId="2ABA9E1B"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18" w14:textId="77777777" w:rsidR="005E4C3E" w:rsidRDefault="00BF3721">
            <w:pPr>
              <w:spacing w:after="0" w:line="240" w:lineRule="auto"/>
              <w:jc w:val="center"/>
              <w:rPr>
                <w:rFonts w:ascii="Calibri" w:hAnsi="Calibri" w:cs="Calibri"/>
              </w:rPr>
            </w:pPr>
            <w:r>
              <w:rPr>
                <w:rFonts w:ascii="Calibri" w:hAnsi="Calibri" w:cs="Calibri"/>
              </w:rPr>
              <w:t>Most commonly available subjects in Northern Ireland</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19"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Northern Ireland (%)</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1A"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England (%)</w:t>
            </w:r>
          </w:p>
        </w:tc>
      </w:tr>
      <w:tr w:rsidR="005E4C3E" w14:paraId="2ABA9E1F" w14:textId="77777777">
        <w:trPr>
          <w:trHeight w:val="293"/>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1C" w14:textId="77777777" w:rsidR="005E4C3E" w:rsidRDefault="00BF3721">
            <w:pPr>
              <w:spacing w:after="0" w:line="240" w:lineRule="auto"/>
              <w:jc w:val="center"/>
              <w:rPr>
                <w:rFonts w:ascii="Calibri" w:hAnsi="Calibri" w:cs="Calibri"/>
              </w:rPr>
            </w:pPr>
            <w:r>
              <w:rPr>
                <w:rFonts w:ascii="Calibri" w:hAnsi="Calibri" w:cs="Calibri"/>
              </w:rPr>
              <w:t>Digital Technology/ICT</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1D"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1E" w14:textId="77777777" w:rsidR="005E4C3E" w:rsidRDefault="00BF3721">
            <w:pPr>
              <w:spacing w:after="0" w:line="240" w:lineRule="auto"/>
              <w:jc w:val="center"/>
              <w:rPr>
                <w:rFonts w:ascii="Calibri" w:hAnsi="Calibri" w:cs="Calibri"/>
              </w:rPr>
            </w:pPr>
            <w:r>
              <w:rPr>
                <w:rFonts w:ascii="Calibri" w:hAnsi="Calibri" w:cs="Calibri"/>
              </w:rPr>
              <w:t>18</w:t>
            </w:r>
          </w:p>
        </w:tc>
      </w:tr>
      <w:tr w:rsidR="005E4C3E" w14:paraId="2ABA9E23" w14:textId="77777777">
        <w:trPr>
          <w:trHeight w:val="293"/>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0" w14:textId="77777777" w:rsidR="005E4C3E" w:rsidRDefault="00BF3721">
            <w:pPr>
              <w:spacing w:after="0" w:line="240" w:lineRule="auto"/>
              <w:jc w:val="center"/>
              <w:rPr>
                <w:rFonts w:ascii="Calibri" w:hAnsi="Calibri" w:cs="Calibri"/>
              </w:rPr>
            </w:pPr>
            <w:r>
              <w:rPr>
                <w:rFonts w:ascii="Calibri" w:hAnsi="Calibri" w:cs="Calibri"/>
              </w:rPr>
              <w:t>Design and Technology</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1" w14:textId="77777777" w:rsidR="005E4C3E" w:rsidRDefault="00BF3721">
            <w:pPr>
              <w:spacing w:after="0" w:line="240" w:lineRule="auto"/>
              <w:jc w:val="center"/>
              <w:rPr>
                <w:rFonts w:ascii="Calibri" w:hAnsi="Calibri" w:cs="Calibri"/>
              </w:rPr>
            </w:pPr>
            <w:r>
              <w:rPr>
                <w:rFonts w:ascii="Calibri" w:hAnsi="Calibri" w:cs="Calibri"/>
              </w:rPr>
              <w:t>100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22" w14:textId="77777777" w:rsidR="005E4C3E" w:rsidRDefault="00BF3721">
            <w:pPr>
              <w:spacing w:after="0" w:line="240" w:lineRule="auto"/>
              <w:jc w:val="center"/>
              <w:rPr>
                <w:rFonts w:ascii="Calibri" w:hAnsi="Calibri" w:cs="Calibri"/>
              </w:rPr>
            </w:pPr>
            <w:r>
              <w:rPr>
                <w:rFonts w:ascii="Calibri" w:hAnsi="Calibri" w:cs="Calibri"/>
              </w:rPr>
              <w:t>41</w:t>
            </w:r>
          </w:p>
        </w:tc>
      </w:tr>
      <w:tr w:rsidR="005E4C3E" w14:paraId="2ABA9E27" w14:textId="77777777">
        <w:trPr>
          <w:trHeight w:val="293"/>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4" w14:textId="77777777" w:rsidR="005E4C3E" w:rsidRDefault="00BF3721">
            <w:pPr>
              <w:spacing w:after="0" w:line="240" w:lineRule="auto"/>
              <w:jc w:val="center"/>
              <w:rPr>
                <w:rFonts w:ascii="Calibri" w:hAnsi="Calibri" w:cs="Calibri"/>
              </w:rPr>
            </w:pPr>
            <w:r>
              <w:rPr>
                <w:rFonts w:ascii="Calibri" w:hAnsi="Calibri" w:cs="Calibri"/>
              </w:rPr>
              <w:t>Life and Health Sciences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5"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26" w14:textId="77777777" w:rsidR="005E4C3E" w:rsidRDefault="00BF3721">
            <w:pPr>
              <w:spacing w:after="0" w:line="240" w:lineRule="auto"/>
              <w:jc w:val="center"/>
              <w:rPr>
                <w:rFonts w:ascii="Calibri" w:hAnsi="Calibri" w:cs="Calibri"/>
              </w:rPr>
            </w:pPr>
            <w:r>
              <w:rPr>
                <w:rFonts w:ascii="Calibri" w:hAnsi="Calibri" w:cs="Calibri"/>
              </w:rPr>
              <w:t>29</w:t>
            </w:r>
          </w:p>
        </w:tc>
      </w:tr>
      <w:tr w:rsidR="005E4C3E" w14:paraId="2ABA9E2B" w14:textId="77777777">
        <w:trPr>
          <w:trHeight w:val="293"/>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8" w14:textId="77777777" w:rsidR="005E4C3E" w:rsidRDefault="00BF3721">
            <w:pPr>
              <w:spacing w:after="0" w:line="240" w:lineRule="auto"/>
              <w:jc w:val="center"/>
              <w:rPr>
                <w:rFonts w:ascii="Calibri" w:hAnsi="Calibri" w:cs="Calibri"/>
              </w:rPr>
            </w:pPr>
            <w:r>
              <w:rPr>
                <w:rFonts w:ascii="Calibri" w:hAnsi="Calibri" w:cs="Calibri"/>
              </w:rPr>
              <w:t>Sports Science</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9"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2A" w14:textId="77777777" w:rsidR="005E4C3E" w:rsidRDefault="00BF3721">
            <w:pPr>
              <w:spacing w:after="0" w:line="240" w:lineRule="auto"/>
              <w:jc w:val="center"/>
              <w:rPr>
                <w:rFonts w:ascii="Calibri" w:hAnsi="Calibri" w:cs="Calibri"/>
              </w:rPr>
            </w:pPr>
            <w:r>
              <w:rPr>
                <w:rFonts w:ascii="Calibri" w:hAnsi="Calibri" w:cs="Calibri"/>
              </w:rPr>
              <w:t>52</w:t>
            </w:r>
          </w:p>
        </w:tc>
      </w:tr>
    </w:tbl>
    <w:p w14:paraId="2ABA9E2C" w14:textId="77777777" w:rsidR="005E4C3E" w:rsidRDefault="005E4C3E">
      <w:pPr>
        <w:rPr>
          <w:rFonts w:ascii="Calibri" w:hAnsi="Calibri" w:cs="Calibri"/>
        </w:rPr>
      </w:pPr>
    </w:p>
    <w:p w14:paraId="2ABA9E2D" w14:textId="77777777" w:rsidR="005E4C3E" w:rsidRDefault="00BF3721">
      <w:pPr>
        <w:rPr>
          <w:rFonts w:ascii="Calibri" w:hAnsi="Calibri" w:cs="Calibri"/>
        </w:rPr>
      </w:pPr>
      <w:r>
        <w:rPr>
          <w:rFonts w:ascii="Calibri" w:hAnsi="Calibri" w:cs="Calibri"/>
        </w:rPr>
        <w:t>Table 4. Most available A-Level subjects in England, with comparison to Northern Ireland.</w:t>
      </w:r>
    </w:p>
    <w:tbl>
      <w:tblPr>
        <w:tblW w:w="9736" w:type="dxa"/>
        <w:tblCellMar>
          <w:left w:w="10" w:type="dxa"/>
          <w:right w:w="10" w:type="dxa"/>
        </w:tblCellMar>
        <w:tblLook w:val="0000" w:firstRow="0" w:lastRow="0" w:firstColumn="0" w:lastColumn="0" w:noHBand="0" w:noVBand="0"/>
      </w:tblPr>
      <w:tblGrid>
        <w:gridCol w:w="3245"/>
        <w:gridCol w:w="3245"/>
        <w:gridCol w:w="3246"/>
      </w:tblGrid>
      <w:tr w:rsidR="005E4C3E" w14:paraId="2ABA9E31"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E" w14:textId="77777777" w:rsidR="005E4C3E" w:rsidRDefault="00BF3721">
            <w:pPr>
              <w:spacing w:after="0" w:line="240" w:lineRule="auto"/>
              <w:jc w:val="center"/>
              <w:rPr>
                <w:rFonts w:ascii="Calibri" w:hAnsi="Calibri" w:cs="Calibri"/>
              </w:rPr>
            </w:pPr>
            <w:r>
              <w:rPr>
                <w:rFonts w:ascii="Calibri" w:hAnsi="Calibri" w:cs="Calibri"/>
              </w:rPr>
              <w:t>Most commonly available subjects in England</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2F"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Northern Ireland (%)</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30" w14:textId="77777777" w:rsidR="005E4C3E" w:rsidRDefault="00BF3721">
            <w:pPr>
              <w:spacing w:after="0" w:line="240" w:lineRule="auto"/>
              <w:jc w:val="center"/>
              <w:rPr>
                <w:rFonts w:ascii="Calibri" w:hAnsi="Calibri" w:cs="Calibri"/>
              </w:rPr>
            </w:pPr>
            <w:r>
              <w:rPr>
                <w:rFonts w:ascii="Calibri" w:hAnsi="Calibri" w:cs="Calibri"/>
              </w:rPr>
              <w:t>Percentages of schools offering these subjects in England (%)</w:t>
            </w:r>
          </w:p>
        </w:tc>
      </w:tr>
      <w:tr w:rsidR="005E4C3E" w14:paraId="2ABA9E35"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2" w14:textId="77777777" w:rsidR="005E4C3E" w:rsidRDefault="00BF3721">
            <w:pPr>
              <w:spacing w:after="0" w:line="240" w:lineRule="auto"/>
              <w:jc w:val="center"/>
              <w:rPr>
                <w:rFonts w:ascii="Calibri" w:hAnsi="Calibri" w:cs="Calibri"/>
              </w:rPr>
            </w:pPr>
            <w:r>
              <w:rPr>
                <w:rFonts w:ascii="Calibri" w:hAnsi="Calibri" w:cs="Calibri"/>
              </w:rPr>
              <w:t>Computer Science</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3" w14:textId="77777777" w:rsidR="005E4C3E" w:rsidRDefault="00BF3721">
            <w:pPr>
              <w:spacing w:after="0" w:line="240" w:lineRule="auto"/>
              <w:jc w:val="center"/>
              <w:rPr>
                <w:rFonts w:ascii="Calibri" w:hAnsi="Calibri" w:cs="Calibri"/>
              </w:rPr>
            </w:pPr>
            <w:r>
              <w:rPr>
                <w:rFonts w:ascii="Calibri" w:hAnsi="Calibri" w:cs="Calibri"/>
              </w:rPr>
              <w:t>60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34" w14:textId="77777777" w:rsidR="005E4C3E" w:rsidRDefault="00BF3721">
            <w:pPr>
              <w:spacing w:after="0" w:line="240" w:lineRule="auto"/>
              <w:jc w:val="center"/>
              <w:rPr>
                <w:rFonts w:ascii="Calibri" w:hAnsi="Calibri" w:cs="Calibri"/>
              </w:rPr>
            </w:pPr>
            <w:r>
              <w:rPr>
                <w:rFonts w:ascii="Calibri" w:hAnsi="Calibri" w:cs="Calibri"/>
              </w:rPr>
              <w:t>82</w:t>
            </w:r>
          </w:p>
        </w:tc>
      </w:tr>
      <w:tr w:rsidR="005E4C3E" w14:paraId="2ABA9E39"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6" w14:textId="77777777" w:rsidR="005E4C3E" w:rsidRDefault="00BF3721">
            <w:pPr>
              <w:spacing w:after="0" w:line="240" w:lineRule="auto"/>
              <w:jc w:val="center"/>
              <w:rPr>
                <w:rFonts w:ascii="Calibri" w:hAnsi="Calibri" w:cs="Calibri"/>
              </w:rPr>
            </w:pPr>
            <w:r>
              <w:rPr>
                <w:rFonts w:ascii="Calibri" w:hAnsi="Calibri" w:cs="Calibri"/>
              </w:rPr>
              <w:t>Economics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7" w14:textId="77777777" w:rsidR="005E4C3E" w:rsidRDefault="00BF3721">
            <w:pPr>
              <w:spacing w:after="0" w:line="240" w:lineRule="auto"/>
              <w:jc w:val="center"/>
              <w:rPr>
                <w:rFonts w:ascii="Calibri" w:hAnsi="Calibri" w:cs="Calibri"/>
              </w:rPr>
            </w:pPr>
            <w:r>
              <w:rPr>
                <w:rFonts w:ascii="Calibri" w:hAnsi="Calibri" w:cs="Calibri"/>
              </w:rPr>
              <w:t>20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38" w14:textId="77777777" w:rsidR="005E4C3E" w:rsidRDefault="00BF3721">
            <w:pPr>
              <w:spacing w:after="0" w:line="240" w:lineRule="auto"/>
              <w:jc w:val="center"/>
              <w:rPr>
                <w:rFonts w:ascii="Calibri" w:hAnsi="Calibri" w:cs="Calibri"/>
              </w:rPr>
            </w:pPr>
            <w:r>
              <w:rPr>
                <w:rFonts w:ascii="Calibri" w:hAnsi="Calibri" w:cs="Calibri"/>
              </w:rPr>
              <w:t>65</w:t>
            </w:r>
          </w:p>
        </w:tc>
      </w:tr>
      <w:tr w:rsidR="005E4C3E" w14:paraId="2ABA9E3D"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A" w14:textId="77777777" w:rsidR="005E4C3E" w:rsidRDefault="00BF3721">
            <w:pPr>
              <w:spacing w:after="0" w:line="240" w:lineRule="auto"/>
              <w:jc w:val="center"/>
              <w:rPr>
                <w:rFonts w:ascii="Calibri" w:hAnsi="Calibri" w:cs="Calibri"/>
              </w:rPr>
            </w:pPr>
            <w:r>
              <w:rPr>
                <w:rFonts w:ascii="Calibri" w:hAnsi="Calibri" w:cs="Calibri"/>
              </w:rPr>
              <w:t>Further Mathematics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B" w14:textId="77777777" w:rsidR="005E4C3E" w:rsidRDefault="00BF3721">
            <w:pPr>
              <w:spacing w:after="0" w:line="240" w:lineRule="auto"/>
              <w:jc w:val="center"/>
              <w:rPr>
                <w:rFonts w:ascii="Calibri" w:hAnsi="Calibri" w:cs="Calibri"/>
              </w:rPr>
            </w:pPr>
            <w:r>
              <w:rPr>
                <w:rFonts w:ascii="Calibri" w:hAnsi="Calibri" w:cs="Calibri"/>
              </w:rPr>
              <w:t>40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3C" w14:textId="77777777" w:rsidR="005E4C3E" w:rsidRDefault="00BF3721">
            <w:pPr>
              <w:spacing w:after="0" w:line="240" w:lineRule="auto"/>
              <w:jc w:val="center"/>
              <w:rPr>
                <w:rFonts w:ascii="Calibri" w:hAnsi="Calibri" w:cs="Calibri"/>
              </w:rPr>
            </w:pPr>
            <w:r>
              <w:rPr>
                <w:rFonts w:ascii="Calibri" w:hAnsi="Calibri" w:cs="Calibri"/>
              </w:rPr>
              <w:t>82</w:t>
            </w:r>
          </w:p>
        </w:tc>
      </w:tr>
      <w:tr w:rsidR="005E4C3E" w14:paraId="2ABA9E41"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E" w14:textId="77777777" w:rsidR="005E4C3E" w:rsidRDefault="00BF3721">
            <w:pPr>
              <w:spacing w:after="0" w:line="240" w:lineRule="auto"/>
              <w:jc w:val="center"/>
              <w:rPr>
                <w:rFonts w:ascii="Calibri" w:hAnsi="Calibri" w:cs="Calibri"/>
              </w:rPr>
            </w:pPr>
            <w:r>
              <w:rPr>
                <w:rFonts w:ascii="Calibri" w:hAnsi="Calibri" w:cs="Calibri"/>
              </w:rPr>
              <w:lastRenderedPageBreak/>
              <w:t>Languages (excluding Spanish, French and German)</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3F" w14:textId="77777777" w:rsidR="005E4C3E" w:rsidRDefault="00BF3721">
            <w:pPr>
              <w:spacing w:after="0" w:line="240" w:lineRule="auto"/>
              <w:jc w:val="center"/>
              <w:rPr>
                <w:rFonts w:ascii="Calibri" w:hAnsi="Calibri" w:cs="Calibri"/>
              </w:rPr>
            </w:pPr>
            <w:r>
              <w:rPr>
                <w:rFonts w:ascii="Calibri" w:hAnsi="Calibri" w:cs="Calibri"/>
              </w:rPr>
              <w:t>20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40" w14:textId="77777777" w:rsidR="005E4C3E" w:rsidRDefault="00BF3721">
            <w:pPr>
              <w:spacing w:after="0" w:line="240" w:lineRule="auto"/>
              <w:jc w:val="center"/>
              <w:rPr>
                <w:rFonts w:ascii="Calibri" w:hAnsi="Calibri" w:cs="Calibri"/>
              </w:rPr>
            </w:pPr>
            <w:r>
              <w:rPr>
                <w:rFonts w:ascii="Calibri" w:hAnsi="Calibri" w:cs="Calibri"/>
              </w:rPr>
              <w:t>59</w:t>
            </w:r>
          </w:p>
        </w:tc>
      </w:tr>
      <w:tr w:rsidR="005E4C3E" w14:paraId="2ABA9E45"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42" w14:textId="77777777" w:rsidR="005E4C3E" w:rsidRDefault="00BF3721">
            <w:pPr>
              <w:spacing w:after="0" w:line="240" w:lineRule="auto"/>
              <w:jc w:val="center"/>
              <w:rPr>
                <w:rFonts w:ascii="Calibri" w:hAnsi="Calibri" w:cs="Calibri"/>
              </w:rPr>
            </w:pPr>
            <w:r>
              <w:rPr>
                <w:rFonts w:ascii="Calibri" w:hAnsi="Calibri" w:cs="Calibri"/>
              </w:rPr>
              <w:t>Psychology</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43" w14:textId="77777777" w:rsidR="005E4C3E" w:rsidRDefault="00BF3721">
            <w:pPr>
              <w:spacing w:after="0" w:line="240" w:lineRule="auto"/>
              <w:jc w:val="center"/>
              <w:rPr>
                <w:rFonts w:ascii="Calibri" w:hAnsi="Calibri" w:cs="Calibri"/>
              </w:rPr>
            </w:pPr>
            <w:r>
              <w:rPr>
                <w:rFonts w:ascii="Calibri" w:hAnsi="Calibri" w:cs="Calibri"/>
              </w:rPr>
              <w:t>20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44" w14:textId="77777777" w:rsidR="005E4C3E" w:rsidRDefault="00BF3721">
            <w:pPr>
              <w:spacing w:after="0" w:line="240" w:lineRule="auto"/>
              <w:jc w:val="center"/>
              <w:rPr>
                <w:rFonts w:ascii="Calibri" w:hAnsi="Calibri" w:cs="Calibri"/>
              </w:rPr>
            </w:pPr>
            <w:r>
              <w:rPr>
                <w:rFonts w:ascii="Calibri" w:hAnsi="Calibri" w:cs="Calibri"/>
              </w:rPr>
              <w:t>82</w:t>
            </w:r>
          </w:p>
        </w:tc>
      </w:tr>
      <w:tr w:rsidR="005E4C3E" w14:paraId="2ABA9E49" w14:textId="77777777">
        <w:trPr>
          <w:trHeight w:val="586"/>
        </w:trPr>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46" w14:textId="77777777" w:rsidR="005E4C3E" w:rsidRDefault="00BF3721">
            <w:pPr>
              <w:spacing w:after="0" w:line="240" w:lineRule="auto"/>
              <w:jc w:val="center"/>
              <w:rPr>
                <w:rFonts w:ascii="Calibri" w:hAnsi="Calibri" w:cs="Calibri"/>
              </w:rPr>
            </w:pPr>
            <w:r>
              <w:rPr>
                <w:rFonts w:ascii="Calibri" w:hAnsi="Calibri" w:cs="Calibri"/>
              </w:rPr>
              <w:t>Sociology</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47" w14:textId="77777777" w:rsidR="005E4C3E" w:rsidRDefault="00BF3721">
            <w:pPr>
              <w:spacing w:after="0" w:line="240" w:lineRule="auto"/>
              <w:jc w:val="center"/>
              <w:rPr>
                <w:rFonts w:ascii="Calibri" w:hAnsi="Calibri" w:cs="Calibri"/>
              </w:rPr>
            </w:pPr>
            <w:r>
              <w:rPr>
                <w:rFonts w:ascii="Calibri" w:hAnsi="Calibri" w:cs="Calibri"/>
              </w:rPr>
              <w:t>40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48" w14:textId="77777777" w:rsidR="005E4C3E" w:rsidRDefault="00BF3721">
            <w:pPr>
              <w:spacing w:after="0" w:line="240" w:lineRule="auto"/>
              <w:jc w:val="center"/>
              <w:rPr>
                <w:rFonts w:ascii="Calibri" w:hAnsi="Calibri" w:cs="Calibri"/>
              </w:rPr>
            </w:pPr>
            <w:r>
              <w:rPr>
                <w:rFonts w:ascii="Calibri" w:hAnsi="Calibri" w:cs="Calibri"/>
              </w:rPr>
              <w:t>77</w:t>
            </w:r>
          </w:p>
        </w:tc>
      </w:tr>
    </w:tbl>
    <w:p w14:paraId="2ABA9E4A" w14:textId="77777777" w:rsidR="005E4C3E" w:rsidRDefault="005E4C3E">
      <w:pPr>
        <w:rPr>
          <w:rFonts w:ascii="Calibri" w:hAnsi="Calibri" w:cs="Calibri"/>
        </w:rPr>
      </w:pPr>
    </w:p>
    <w:p w14:paraId="2ABA9E4B" w14:textId="77777777" w:rsidR="005E4C3E" w:rsidRDefault="00BF3721">
      <w:pPr>
        <w:rPr>
          <w:rFonts w:ascii="Calibri" w:hAnsi="Calibri" w:cs="Calibri"/>
        </w:rPr>
      </w:pPr>
      <w:r>
        <w:rPr>
          <w:rFonts w:ascii="Calibri" w:hAnsi="Calibri" w:cs="Calibri"/>
        </w:rPr>
        <w:t>Key findings:</w:t>
      </w:r>
    </w:p>
    <w:p w14:paraId="2ABA9E4C" w14:textId="77777777" w:rsidR="005E4C3E" w:rsidRDefault="00BF3721">
      <w:pPr>
        <w:pStyle w:val="ListParagraph"/>
        <w:numPr>
          <w:ilvl w:val="0"/>
          <w:numId w:val="5"/>
        </w:numPr>
        <w:rPr>
          <w:rFonts w:ascii="Calibri" w:hAnsi="Calibri" w:cs="Calibri"/>
        </w:rPr>
      </w:pPr>
      <w:r>
        <w:rPr>
          <w:rFonts w:ascii="Calibri" w:hAnsi="Calibri" w:cs="Calibri"/>
        </w:rPr>
        <w:t>Both English and Northern Irish schools offer A-Level range of 3-4.</w:t>
      </w:r>
    </w:p>
    <w:p w14:paraId="2ABA9E4D" w14:textId="53A2F53E" w:rsidR="005E4C3E" w:rsidRDefault="00BF3721">
      <w:pPr>
        <w:pStyle w:val="ListParagraph"/>
        <w:numPr>
          <w:ilvl w:val="0"/>
          <w:numId w:val="5"/>
        </w:numPr>
        <w:rPr>
          <w:rFonts w:ascii="Calibri" w:hAnsi="Calibri" w:cs="Calibri"/>
        </w:rPr>
      </w:pPr>
      <w:r>
        <w:rPr>
          <w:rFonts w:ascii="Calibri" w:hAnsi="Calibri" w:cs="Calibri"/>
        </w:rPr>
        <w:t>Most Northern Irish schools offer a similar selection of A-Levels</w:t>
      </w:r>
      <w:r w:rsidR="005E5C45">
        <w:rPr>
          <w:rFonts w:ascii="Calibri" w:hAnsi="Calibri" w:cs="Calibri"/>
        </w:rPr>
        <w:t xml:space="preserve">, </w:t>
      </w:r>
      <w:r>
        <w:rPr>
          <w:rFonts w:ascii="Calibri" w:hAnsi="Calibri" w:cs="Calibri"/>
        </w:rPr>
        <w:t>whereas different English schools may offer some different A-levels, including accounting, classical civilisation, criminology, engineering/electronics, law and philosophy.</w:t>
      </w:r>
    </w:p>
    <w:p w14:paraId="2ABA9E4E" w14:textId="77777777" w:rsidR="005E4C3E" w:rsidRDefault="00BF3721">
      <w:pPr>
        <w:pStyle w:val="ListParagraph"/>
        <w:numPr>
          <w:ilvl w:val="0"/>
          <w:numId w:val="5"/>
        </w:numPr>
        <w:rPr>
          <w:rFonts w:ascii="Calibri" w:hAnsi="Calibri" w:cs="Calibri"/>
        </w:rPr>
      </w:pPr>
      <w:r>
        <w:rPr>
          <w:rFonts w:ascii="Calibri" w:hAnsi="Calibri" w:cs="Calibri"/>
        </w:rPr>
        <w:t xml:space="preserve">At A-level, the most commonly available subjects in Northern Irish and English schools are very different. </w:t>
      </w:r>
    </w:p>
    <w:p w14:paraId="2ABA9E4F" w14:textId="77777777" w:rsidR="005E4C3E" w:rsidRDefault="00BF3721">
      <w:pPr>
        <w:pStyle w:val="ListParagraph"/>
        <w:numPr>
          <w:ilvl w:val="0"/>
          <w:numId w:val="5"/>
        </w:numPr>
        <w:rPr>
          <w:rFonts w:ascii="Calibri" w:hAnsi="Calibri" w:cs="Calibri"/>
        </w:rPr>
      </w:pPr>
      <w:r>
        <w:rPr>
          <w:rFonts w:ascii="Calibri" w:hAnsi="Calibri" w:cs="Calibri"/>
        </w:rPr>
        <w:t xml:space="preserve">Most commonly available subjects in both regions have a mix of hard and soft subjects. </w:t>
      </w:r>
    </w:p>
    <w:p w14:paraId="2ABA9E50" w14:textId="77777777" w:rsidR="005E4C3E" w:rsidRDefault="005E4C3E">
      <w:pPr>
        <w:rPr>
          <w:rFonts w:ascii="Calibri" w:hAnsi="Calibri" w:cs="Calibri"/>
        </w:rPr>
      </w:pPr>
    </w:p>
    <w:p w14:paraId="2ABA9E51" w14:textId="77777777" w:rsidR="005E4C3E" w:rsidRDefault="00BF3721">
      <w:pPr>
        <w:rPr>
          <w:rFonts w:ascii="Calibri" w:hAnsi="Calibri" w:cs="Calibri"/>
          <w:sz w:val="28"/>
          <w:szCs w:val="28"/>
        </w:rPr>
      </w:pPr>
      <w:r>
        <w:rPr>
          <w:rFonts w:ascii="Calibri" w:hAnsi="Calibri" w:cs="Calibri"/>
          <w:sz w:val="28"/>
          <w:szCs w:val="28"/>
        </w:rPr>
        <w:t>Did your secondary school/college offer any of the following extracurricular activities? (tick all that apply)</w:t>
      </w:r>
    </w:p>
    <w:p w14:paraId="2ABA9E52" w14:textId="77777777" w:rsidR="005E4C3E" w:rsidRDefault="00BF3721">
      <w:r>
        <w:rPr>
          <w:rFonts w:ascii="Calibri" w:hAnsi="Calibri" w:cs="Calibri"/>
          <w:noProof/>
          <w:sz w:val="28"/>
          <w:szCs w:val="28"/>
        </w:rPr>
        <w:drawing>
          <wp:inline distT="0" distB="0" distL="0" distR="0" wp14:anchorId="2ABA9D75" wp14:editId="2ABA9D76">
            <wp:extent cx="4590416" cy="2794004"/>
            <wp:effectExtent l="0" t="0" r="0" b="0"/>
            <wp:docPr id="12659311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BA9E53" w14:textId="77777777" w:rsidR="005E4C3E" w:rsidRDefault="00BF3721">
      <w:pPr>
        <w:rPr>
          <w:rFonts w:ascii="Calibri" w:hAnsi="Calibri" w:cs="Calibri"/>
        </w:rPr>
      </w:pPr>
      <w:r>
        <w:rPr>
          <w:rFonts w:ascii="Calibri" w:hAnsi="Calibri" w:cs="Calibri"/>
        </w:rPr>
        <w:t>Figure 5. Availability of extracurricular activities at schools reported by Northern Irish students.</w:t>
      </w:r>
    </w:p>
    <w:p w14:paraId="2ABA9E54" w14:textId="77777777" w:rsidR="005E4C3E" w:rsidRDefault="005E4C3E">
      <w:pPr>
        <w:rPr>
          <w:rFonts w:ascii="Calibri" w:hAnsi="Calibri" w:cs="Calibri"/>
        </w:rPr>
      </w:pPr>
    </w:p>
    <w:p w14:paraId="2ABA9E55" w14:textId="77777777" w:rsidR="005E4C3E" w:rsidRDefault="005E4C3E">
      <w:pPr>
        <w:rPr>
          <w:rFonts w:ascii="Calibri" w:hAnsi="Calibri" w:cs="Calibri"/>
        </w:rPr>
      </w:pPr>
    </w:p>
    <w:p w14:paraId="2ABA9E56" w14:textId="77777777" w:rsidR="005E4C3E" w:rsidRDefault="00BF3721">
      <w:r>
        <w:rPr>
          <w:rFonts w:ascii="Calibri" w:hAnsi="Calibri" w:cs="Calibri"/>
          <w:noProof/>
        </w:rPr>
        <w:lastRenderedPageBreak/>
        <w:drawing>
          <wp:inline distT="0" distB="0" distL="0" distR="0" wp14:anchorId="2ABA9D77" wp14:editId="2ABA9D78">
            <wp:extent cx="6390641" cy="3368677"/>
            <wp:effectExtent l="0" t="0" r="0" b="0"/>
            <wp:docPr id="537528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Calibri" w:hAnsi="Calibri" w:cs="Calibri"/>
        </w:rPr>
        <w:t>Figure 6. Availability of extracurricular activities at schools reported by English students.</w:t>
      </w:r>
    </w:p>
    <w:p w14:paraId="2ABA9E57" w14:textId="77777777" w:rsidR="005E4C3E" w:rsidRDefault="005E4C3E">
      <w:pPr>
        <w:rPr>
          <w:rFonts w:ascii="Calibri" w:hAnsi="Calibri" w:cs="Calibri"/>
        </w:rPr>
      </w:pPr>
    </w:p>
    <w:p w14:paraId="2ABA9E58" w14:textId="77777777" w:rsidR="005E4C3E" w:rsidRDefault="00BF3721">
      <w:pPr>
        <w:rPr>
          <w:rFonts w:ascii="Calibri" w:hAnsi="Calibri" w:cs="Calibri"/>
        </w:rPr>
      </w:pPr>
      <w:r>
        <w:rPr>
          <w:rFonts w:ascii="Calibri" w:hAnsi="Calibri" w:cs="Calibri"/>
        </w:rPr>
        <w:t>Table 5. Percentage availability of the most extracurriculars in Northern Ireland and England.</w:t>
      </w:r>
    </w:p>
    <w:tbl>
      <w:tblPr>
        <w:tblW w:w="9736" w:type="dxa"/>
        <w:tblCellMar>
          <w:left w:w="10" w:type="dxa"/>
          <w:right w:w="10" w:type="dxa"/>
        </w:tblCellMar>
        <w:tblLook w:val="0000" w:firstRow="0" w:lastRow="0" w:firstColumn="0" w:lastColumn="0" w:noHBand="0" w:noVBand="0"/>
      </w:tblPr>
      <w:tblGrid>
        <w:gridCol w:w="3245"/>
        <w:gridCol w:w="3245"/>
        <w:gridCol w:w="3246"/>
      </w:tblGrid>
      <w:tr w:rsidR="005E4C3E" w14:paraId="2ABA9E5C"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59" w14:textId="77777777" w:rsidR="005E4C3E" w:rsidRDefault="00BF3721">
            <w:pPr>
              <w:spacing w:after="0" w:line="240" w:lineRule="auto"/>
              <w:jc w:val="center"/>
              <w:rPr>
                <w:rFonts w:ascii="Calibri" w:hAnsi="Calibri" w:cs="Calibri"/>
              </w:rPr>
            </w:pPr>
            <w:r>
              <w:rPr>
                <w:rFonts w:ascii="Calibri" w:hAnsi="Calibri" w:cs="Calibri"/>
              </w:rPr>
              <w:t>Extracurriculars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5A" w14:textId="77777777" w:rsidR="005E4C3E" w:rsidRDefault="00BF3721">
            <w:pPr>
              <w:spacing w:after="0" w:line="240" w:lineRule="auto"/>
              <w:jc w:val="center"/>
              <w:rPr>
                <w:rFonts w:ascii="Calibri" w:hAnsi="Calibri" w:cs="Calibri"/>
              </w:rPr>
            </w:pPr>
            <w:r>
              <w:rPr>
                <w:rFonts w:ascii="Calibri" w:hAnsi="Calibri" w:cs="Calibri"/>
              </w:rPr>
              <w:t>Percentages of schools offering these activities in Northern Ireland (%)</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5B" w14:textId="77777777" w:rsidR="005E4C3E" w:rsidRDefault="00BF3721">
            <w:pPr>
              <w:spacing w:after="0" w:line="240" w:lineRule="auto"/>
              <w:jc w:val="center"/>
              <w:rPr>
                <w:rFonts w:ascii="Calibri" w:hAnsi="Calibri" w:cs="Calibri"/>
              </w:rPr>
            </w:pPr>
            <w:r>
              <w:rPr>
                <w:rFonts w:ascii="Calibri" w:hAnsi="Calibri" w:cs="Calibri"/>
              </w:rPr>
              <w:t>Percentages of schools offering these activities in England (%)</w:t>
            </w:r>
          </w:p>
        </w:tc>
      </w:tr>
      <w:tr w:rsidR="005E4C3E" w14:paraId="2ABA9E60"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5D" w14:textId="77777777" w:rsidR="005E4C3E" w:rsidRDefault="00BF3721">
            <w:pPr>
              <w:spacing w:after="0" w:line="240" w:lineRule="auto"/>
              <w:jc w:val="center"/>
              <w:rPr>
                <w:rFonts w:ascii="Calibri" w:hAnsi="Calibri" w:cs="Calibri"/>
              </w:rPr>
            </w:pPr>
            <w:r>
              <w:rPr>
                <w:rFonts w:ascii="Calibri" w:hAnsi="Calibri" w:cs="Calibri"/>
              </w:rPr>
              <w:t>Chamber Choir</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5E" w14:textId="77777777" w:rsidR="005E4C3E" w:rsidRDefault="00BF3721">
            <w:pPr>
              <w:spacing w:after="0" w:line="240" w:lineRule="auto"/>
              <w:jc w:val="center"/>
              <w:rPr>
                <w:rFonts w:ascii="Calibri" w:hAnsi="Calibri" w:cs="Calibri"/>
              </w:rPr>
            </w:pPr>
            <w:r>
              <w:rPr>
                <w:rFonts w:ascii="Calibri" w:hAnsi="Calibri" w:cs="Calibri"/>
              </w:rPr>
              <w:t>60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5F" w14:textId="77777777" w:rsidR="005E4C3E" w:rsidRDefault="00BF3721">
            <w:pPr>
              <w:spacing w:after="0" w:line="240" w:lineRule="auto"/>
              <w:jc w:val="center"/>
              <w:rPr>
                <w:rFonts w:ascii="Calibri" w:hAnsi="Calibri" w:cs="Calibri"/>
              </w:rPr>
            </w:pPr>
            <w:r>
              <w:rPr>
                <w:rFonts w:ascii="Calibri" w:hAnsi="Calibri" w:cs="Calibri"/>
              </w:rPr>
              <w:t>24</w:t>
            </w:r>
          </w:p>
        </w:tc>
      </w:tr>
      <w:tr w:rsidR="005E4C3E" w14:paraId="2ABA9E64"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1" w14:textId="77777777" w:rsidR="005E4C3E" w:rsidRDefault="00BF3721">
            <w:pPr>
              <w:spacing w:after="0" w:line="240" w:lineRule="auto"/>
              <w:jc w:val="center"/>
              <w:rPr>
                <w:rFonts w:ascii="Calibri" w:hAnsi="Calibri" w:cs="Calibri"/>
              </w:rPr>
            </w:pPr>
            <w:r>
              <w:rPr>
                <w:rFonts w:ascii="Calibri" w:hAnsi="Calibri" w:cs="Calibri"/>
              </w:rPr>
              <w:t>Debating</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2" w14:textId="77777777" w:rsidR="005E4C3E" w:rsidRDefault="00BF3721">
            <w:pPr>
              <w:spacing w:after="0" w:line="240" w:lineRule="auto"/>
              <w:jc w:val="center"/>
              <w:rPr>
                <w:rFonts w:ascii="Calibri" w:hAnsi="Calibri" w:cs="Calibri"/>
              </w:rPr>
            </w:pPr>
            <w:r>
              <w:rPr>
                <w:rFonts w:ascii="Calibri" w:hAnsi="Calibri" w:cs="Calibri"/>
              </w:rPr>
              <w:t>80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63" w14:textId="77777777" w:rsidR="005E4C3E" w:rsidRDefault="00BF3721">
            <w:pPr>
              <w:spacing w:after="0" w:line="240" w:lineRule="auto"/>
              <w:jc w:val="center"/>
              <w:rPr>
                <w:rFonts w:ascii="Calibri" w:hAnsi="Calibri" w:cs="Calibri"/>
              </w:rPr>
            </w:pPr>
            <w:r>
              <w:rPr>
                <w:rFonts w:ascii="Calibri" w:hAnsi="Calibri" w:cs="Calibri"/>
              </w:rPr>
              <w:t>59</w:t>
            </w:r>
          </w:p>
        </w:tc>
      </w:tr>
      <w:tr w:rsidR="005E4C3E" w14:paraId="2ABA9E68"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5" w14:textId="77777777" w:rsidR="005E4C3E" w:rsidRDefault="00BF3721">
            <w:pPr>
              <w:spacing w:after="0" w:line="240" w:lineRule="auto"/>
              <w:jc w:val="center"/>
              <w:rPr>
                <w:rFonts w:ascii="Calibri" w:hAnsi="Calibri" w:cs="Calibri"/>
              </w:rPr>
            </w:pPr>
            <w:r>
              <w:rPr>
                <w:rFonts w:ascii="Calibri" w:hAnsi="Calibri" w:cs="Calibri"/>
              </w:rPr>
              <w:t>Drama</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6" w14:textId="77777777" w:rsidR="005E4C3E" w:rsidRDefault="00BF3721">
            <w:pPr>
              <w:spacing w:after="0" w:line="240" w:lineRule="auto"/>
              <w:jc w:val="center"/>
              <w:rPr>
                <w:rFonts w:ascii="Calibri" w:hAnsi="Calibri" w:cs="Calibri"/>
              </w:rPr>
            </w:pPr>
            <w:r>
              <w:rPr>
                <w:rFonts w:ascii="Calibri" w:hAnsi="Calibri" w:cs="Calibri"/>
              </w:rPr>
              <w:t>100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67" w14:textId="77777777" w:rsidR="005E4C3E" w:rsidRDefault="00BF3721">
            <w:pPr>
              <w:spacing w:after="0" w:line="240" w:lineRule="auto"/>
              <w:jc w:val="center"/>
              <w:rPr>
                <w:rFonts w:ascii="Calibri" w:hAnsi="Calibri" w:cs="Calibri"/>
              </w:rPr>
            </w:pPr>
            <w:r>
              <w:rPr>
                <w:rFonts w:ascii="Calibri" w:hAnsi="Calibri" w:cs="Calibri"/>
              </w:rPr>
              <w:t>53</w:t>
            </w:r>
          </w:p>
        </w:tc>
      </w:tr>
      <w:tr w:rsidR="005E4C3E" w14:paraId="2ABA9E6C"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9" w14:textId="77777777" w:rsidR="005E4C3E" w:rsidRDefault="00BF3721">
            <w:pPr>
              <w:spacing w:after="0" w:line="240" w:lineRule="auto"/>
              <w:jc w:val="center"/>
              <w:rPr>
                <w:rFonts w:ascii="Calibri" w:hAnsi="Calibri" w:cs="Calibri"/>
              </w:rPr>
            </w:pPr>
            <w:r>
              <w:rPr>
                <w:rFonts w:ascii="Calibri" w:hAnsi="Calibri" w:cs="Calibri"/>
              </w:rPr>
              <w:t>Football</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A" w14:textId="77777777" w:rsidR="005E4C3E" w:rsidRDefault="00BF3721">
            <w:pPr>
              <w:spacing w:after="0" w:line="240" w:lineRule="auto"/>
              <w:jc w:val="center"/>
              <w:rPr>
                <w:rFonts w:ascii="Calibri" w:hAnsi="Calibri" w:cs="Calibri"/>
              </w:rPr>
            </w:pPr>
            <w:r>
              <w:rPr>
                <w:rFonts w:ascii="Calibri" w:hAnsi="Calibri" w:cs="Calibri"/>
              </w:rPr>
              <w:t>60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6B" w14:textId="77777777" w:rsidR="005E4C3E" w:rsidRDefault="00BF3721">
            <w:pPr>
              <w:spacing w:after="0" w:line="240" w:lineRule="auto"/>
              <w:jc w:val="center"/>
              <w:rPr>
                <w:rFonts w:ascii="Calibri" w:hAnsi="Calibri" w:cs="Calibri"/>
              </w:rPr>
            </w:pPr>
            <w:r>
              <w:rPr>
                <w:rFonts w:ascii="Calibri" w:hAnsi="Calibri" w:cs="Calibri"/>
              </w:rPr>
              <w:t>77</w:t>
            </w:r>
          </w:p>
        </w:tc>
      </w:tr>
      <w:tr w:rsidR="005E4C3E" w14:paraId="2ABA9E70"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D" w14:textId="77777777" w:rsidR="005E4C3E" w:rsidRDefault="00BF3721">
            <w:pPr>
              <w:spacing w:after="0" w:line="240" w:lineRule="auto"/>
              <w:jc w:val="center"/>
              <w:rPr>
                <w:rFonts w:ascii="Calibri" w:hAnsi="Calibri" w:cs="Calibri"/>
              </w:rPr>
            </w:pPr>
            <w:r>
              <w:rPr>
                <w:rFonts w:ascii="Calibri" w:hAnsi="Calibri" w:cs="Calibri"/>
              </w:rPr>
              <w:t>Chess</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6E" w14:textId="77777777" w:rsidR="005E4C3E" w:rsidRDefault="00BF3721">
            <w:pPr>
              <w:spacing w:after="0" w:line="240" w:lineRule="auto"/>
              <w:jc w:val="center"/>
              <w:rPr>
                <w:rFonts w:ascii="Calibri" w:hAnsi="Calibri" w:cs="Calibri"/>
              </w:rPr>
            </w:pPr>
            <w:r>
              <w:rPr>
                <w:rFonts w:ascii="Calibri" w:hAnsi="Calibri" w:cs="Calibri"/>
              </w:rPr>
              <w:t>20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6F" w14:textId="77777777" w:rsidR="005E4C3E" w:rsidRDefault="00BF3721">
            <w:pPr>
              <w:spacing w:after="0" w:line="240" w:lineRule="auto"/>
              <w:jc w:val="center"/>
              <w:rPr>
                <w:rFonts w:ascii="Calibri" w:hAnsi="Calibri" w:cs="Calibri"/>
              </w:rPr>
            </w:pPr>
            <w:r>
              <w:rPr>
                <w:rFonts w:ascii="Calibri" w:hAnsi="Calibri" w:cs="Calibri"/>
              </w:rPr>
              <w:t>41</w:t>
            </w:r>
          </w:p>
        </w:tc>
      </w:tr>
      <w:tr w:rsidR="005E4C3E" w14:paraId="2ABA9E74" w14:textId="77777777">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71" w14:textId="77777777" w:rsidR="005E4C3E" w:rsidRDefault="00BF3721">
            <w:pPr>
              <w:spacing w:after="0" w:line="240" w:lineRule="auto"/>
              <w:jc w:val="center"/>
              <w:rPr>
                <w:rFonts w:ascii="Calibri" w:hAnsi="Calibri" w:cs="Calibri"/>
              </w:rPr>
            </w:pPr>
            <w:r>
              <w:rPr>
                <w:rFonts w:ascii="Calibri" w:hAnsi="Calibri" w:cs="Calibri"/>
              </w:rPr>
              <w:t>Basketball</w:t>
            </w:r>
          </w:p>
        </w:tc>
        <w:tc>
          <w:tcPr>
            <w:tcW w:w="3245" w:type="dxa"/>
            <w:tcBorders>
              <w:top w:val="single" w:sz="4" w:space="0" w:color="000000"/>
              <w:bottom w:val="single" w:sz="4" w:space="0" w:color="000000"/>
            </w:tcBorders>
            <w:tcMar>
              <w:top w:w="0" w:type="dxa"/>
              <w:left w:w="108" w:type="dxa"/>
              <w:bottom w:w="0" w:type="dxa"/>
              <w:right w:w="108" w:type="dxa"/>
            </w:tcMar>
            <w:vAlign w:val="center"/>
          </w:tcPr>
          <w:p w14:paraId="2ABA9E72" w14:textId="77777777" w:rsidR="005E4C3E" w:rsidRDefault="00BF3721">
            <w:pPr>
              <w:spacing w:after="0" w:line="240" w:lineRule="auto"/>
              <w:jc w:val="center"/>
              <w:rPr>
                <w:rFonts w:ascii="Calibri" w:hAnsi="Calibri" w:cs="Calibri"/>
              </w:rPr>
            </w:pPr>
            <w:r>
              <w:rPr>
                <w:rFonts w:ascii="Calibri" w:hAnsi="Calibri" w:cs="Calibri"/>
              </w:rPr>
              <w:t>20</w:t>
            </w:r>
          </w:p>
        </w:tc>
        <w:tc>
          <w:tcPr>
            <w:tcW w:w="3246" w:type="dxa"/>
            <w:tcBorders>
              <w:top w:val="single" w:sz="4" w:space="0" w:color="000000"/>
              <w:bottom w:val="single" w:sz="4" w:space="0" w:color="000000"/>
            </w:tcBorders>
            <w:tcMar>
              <w:top w:w="0" w:type="dxa"/>
              <w:left w:w="108" w:type="dxa"/>
              <w:bottom w:w="0" w:type="dxa"/>
              <w:right w:w="108" w:type="dxa"/>
            </w:tcMar>
            <w:vAlign w:val="center"/>
          </w:tcPr>
          <w:p w14:paraId="2ABA9E73" w14:textId="77777777" w:rsidR="005E4C3E" w:rsidRDefault="00BF3721">
            <w:pPr>
              <w:spacing w:after="0" w:line="240" w:lineRule="auto"/>
              <w:jc w:val="center"/>
              <w:rPr>
                <w:rFonts w:ascii="Calibri" w:hAnsi="Calibri" w:cs="Calibri"/>
              </w:rPr>
            </w:pPr>
            <w:r>
              <w:rPr>
                <w:rFonts w:ascii="Calibri" w:hAnsi="Calibri" w:cs="Calibri"/>
              </w:rPr>
              <w:t>47</w:t>
            </w:r>
          </w:p>
        </w:tc>
      </w:tr>
    </w:tbl>
    <w:p w14:paraId="2ABA9E75" w14:textId="77777777" w:rsidR="005E4C3E" w:rsidRDefault="005E4C3E">
      <w:pPr>
        <w:rPr>
          <w:rFonts w:ascii="Calibri" w:hAnsi="Calibri" w:cs="Calibri"/>
        </w:rPr>
      </w:pPr>
    </w:p>
    <w:p w14:paraId="2ABA9E76" w14:textId="77777777" w:rsidR="005E4C3E" w:rsidRDefault="00BF3721">
      <w:pPr>
        <w:rPr>
          <w:rFonts w:ascii="Calibri" w:hAnsi="Calibri" w:cs="Calibri"/>
        </w:rPr>
      </w:pPr>
      <w:r>
        <w:rPr>
          <w:rFonts w:ascii="Calibri" w:hAnsi="Calibri" w:cs="Calibri"/>
        </w:rPr>
        <w:t>Key findings:</w:t>
      </w:r>
    </w:p>
    <w:p w14:paraId="2ABA9E77" w14:textId="77777777" w:rsidR="005E4C3E" w:rsidRDefault="00BF3721">
      <w:pPr>
        <w:pStyle w:val="ListParagraph"/>
        <w:numPr>
          <w:ilvl w:val="0"/>
          <w:numId w:val="6"/>
        </w:numPr>
        <w:rPr>
          <w:rFonts w:ascii="Calibri" w:hAnsi="Calibri" w:cs="Calibri"/>
        </w:rPr>
      </w:pPr>
      <w:r>
        <w:rPr>
          <w:rFonts w:ascii="Calibri" w:hAnsi="Calibri" w:cs="Calibri"/>
        </w:rPr>
        <w:t xml:space="preserve">Most Northern Irish schools offer a similar small selection of extracurriculars whereas different English schools may offer more less commonly available extracurriculars. </w:t>
      </w:r>
    </w:p>
    <w:p w14:paraId="2ABA9E78" w14:textId="1AE55269" w:rsidR="005E4C3E" w:rsidRDefault="00BF3721">
      <w:pPr>
        <w:pStyle w:val="ListParagraph"/>
        <w:numPr>
          <w:ilvl w:val="0"/>
          <w:numId w:val="6"/>
        </w:numPr>
        <w:rPr>
          <w:rFonts w:ascii="Calibri" w:hAnsi="Calibri" w:cs="Calibri"/>
        </w:rPr>
      </w:pPr>
      <w:r>
        <w:rPr>
          <w:rFonts w:ascii="Calibri" w:hAnsi="Calibri" w:cs="Calibri"/>
        </w:rPr>
        <w:t>For extracurriculars, the most commonly available activities in Northern Irish and English schools have some similarities. However, chamber choir</w:t>
      </w:r>
      <w:r w:rsidR="003115D4">
        <w:rPr>
          <w:rFonts w:ascii="Calibri" w:hAnsi="Calibri" w:cs="Calibri"/>
        </w:rPr>
        <w:t>, debating and drama</w:t>
      </w:r>
      <w:r>
        <w:rPr>
          <w:rFonts w:ascii="Calibri" w:hAnsi="Calibri" w:cs="Calibri"/>
        </w:rPr>
        <w:t xml:space="preserve"> </w:t>
      </w:r>
      <w:r w:rsidR="003115D4">
        <w:rPr>
          <w:rFonts w:ascii="Calibri" w:hAnsi="Calibri" w:cs="Calibri"/>
        </w:rPr>
        <w:t>a</w:t>
      </w:r>
      <w:r w:rsidR="00512F88">
        <w:rPr>
          <w:rFonts w:ascii="Calibri" w:hAnsi="Calibri" w:cs="Calibri"/>
        </w:rPr>
        <w:t>re</w:t>
      </w:r>
      <w:r>
        <w:rPr>
          <w:rFonts w:ascii="Calibri" w:hAnsi="Calibri" w:cs="Calibri"/>
        </w:rPr>
        <w:t xml:space="preserve"> much less available in England than in Northern Ireland by 36%,</w:t>
      </w:r>
      <w:r w:rsidR="000806DF">
        <w:rPr>
          <w:rFonts w:ascii="Calibri" w:hAnsi="Calibri" w:cs="Calibri"/>
        </w:rPr>
        <w:t xml:space="preserve"> 21% and 47%, respectively.</w:t>
      </w:r>
      <w:r>
        <w:rPr>
          <w:rFonts w:ascii="Calibri" w:hAnsi="Calibri" w:cs="Calibri"/>
        </w:rPr>
        <w:t xml:space="preserve"> </w:t>
      </w:r>
      <w:r w:rsidR="000806DF">
        <w:rPr>
          <w:rFonts w:ascii="Calibri" w:hAnsi="Calibri" w:cs="Calibri"/>
        </w:rPr>
        <w:t>W</w:t>
      </w:r>
      <w:r>
        <w:rPr>
          <w:rFonts w:ascii="Calibri" w:hAnsi="Calibri" w:cs="Calibri"/>
        </w:rPr>
        <w:t xml:space="preserve">ith basketball and chess being much more available in England than in Northern Ireland by 27% and 21%, respectively. </w:t>
      </w:r>
    </w:p>
    <w:p w14:paraId="2ABA9E79" w14:textId="77777777" w:rsidR="005E4C3E" w:rsidRDefault="005E4C3E">
      <w:pPr>
        <w:rPr>
          <w:rFonts w:ascii="Calibri" w:hAnsi="Calibri" w:cs="Calibri"/>
        </w:rPr>
      </w:pPr>
    </w:p>
    <w:p w14:paraId="2ABA9E7A" w14:textId="77777777" w:rsidR="005E4C3E" w:rsidRDefault="00BF3721">
      <w:pPr>
        <w:rPr>
          <w:rFonts w:ascii="Calibri" w:hAnsi="Calibri" w:cs="Calibri"/>
          <w:sz w:val="28"/>
          <w:szCs w:val="28"/>
        </w:rPr>
      </w:pPr>
      <w:r>
        <w:rPr>
          <w:rFonts w:ascii="Calibri" w:hAnsi="Calibri" w:cs="Calibri"/>
          <w:sz w:val="28"/>
          <w:szCs w:val="28"/>
        </w:rPr>
        <w:lastRenderedPageBreak/>
        <w:t>Did your secondary school/college inform (in person or via email) you about any outside-of-school opportunities available?</w:t>
      </w:r>
    </w:p>
    <w:p w14:paraId="2ABA9E7B" w14:textId="2A0D564E" w:rsidR="005E4C3E" w:rsidRDefault="00BF3721">
      <w:r>
        <w:rPr>
          <w:rFonts w:ascii="Calibri" w:hAnsi="Calibri" w:cs="Calibri"/>
          <w:noProof/>
        </w:rPr>
        <w:drawing>
          <wp:inline distT="0" distB="0" distL="0" distR="0" wp14:anchorId="2ABA9D79" wp14:editId="5CB4C1E1">
            <wp:extent cx="4781553" cy="3381378"/>
            <wp:effectExtent l="0" t="0" r="0" b="0"/>
            <wp:docPr id="167802994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ABA9E7C" w14:textId="2706B17B" w:rsidR="005E4C3E" w:rsidRDefault="00BF3721">
      <w:pPr>
        <w:rPr>
          <w:rFonts w:ascii="Calibri" w:hAnsi="Calibri" w:cs="Calibri"/>
        </w:rPr>
      </w:pPr>
      <w:r>
        <w:rPr>
          <w:rFonts w:ascii="Calibri" w:hAnsi="Calibri" w:cs="Calibri"/>
        </w:rPr>
        <w:t>Figure 7. Level of school communication reported by Northern Irish students.</w:t>
      </w:r>
    </w:p>
    <w:p w14:paraId="2ABA9E7D" w14:textId="1BB41A52" w:rsidR="005E4C3E" w:rsidRDefault="005E4C3E">
      <w:pPr>
        <w:rPr>
          <w:rFonts w:ascii="Calibri" w:hAnsi="Calibri" w:cs="Calibri"/>
        </w:rPr>
      </w:pPr>
    </w:p>
    <w:p w14:paraId="2ABA9E7E" w14:textId="1D7EC2E3" w:rsidR="005E4C3E" w:rsidRDefault="00BF3721">
      <w:r>
        <w:rPr>
          <w:rFonts w:ascii="Calibri" w:hAnsi="Calibri" w:cs="Calibri"/>
          <w:noProof/>
        </w:rPr>
        <w:drawing>
          <wp:inline distT="0" distB="0" distL="0" distR="0" wp14:anchorId="2ABA9D7B" wp14:editId="23073264">
            <wp:extent cx="4752978" cy="3390266"/>
            <wp:effectExtent l="0" t="0" r="0" b="0"/>
            <wp:docPr id="37673566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ABA9E7F" w14:textId="77777777" w:rsidR="005E4C3E" w:rsidRDefault="00BF3721">
      <w:pPr>
        <w:rPr>
          <w:rFonts w:ascii="Calibri" w:hAnsi="Calibri" w:cs="Calibri"/>
        </w:rPr>
      </w:pPr>
      <w:r>
        <w:rPr>
          <w:rFonts w:ascii="Calibri" w:hAnsi="Calibri" w:cs="Calibri"/>
        </w:rPr>
        <w:t>Figure 8. Level of school communication reported by English students.</w:t>
      </w:r>
    </w:p>
    <w:p w14:paraId="2ABA9E80" w14:textId="77777777" w:rsidR="005E4C3E" w:rsidRDefault="005E4C3E">
      <w:pPr>
        <w:rPr>
          <w:rFonts w:ascii="Calibri" w:hAnsi="Calibri" w:cs="Calibri"/>
        </w:rPr>
      </w:pPr>
    </w:p>
    <w:p w14:paraId="2ABA9E81" w14:textId="77777777" w:rsidR="005E4C3E" w:rsidRDefault="00BF3721">
      <w:pPr>
        <w:rPr>
          <w:rFonts w:ascii="Calibri" w:hAnsi="Calibri" w:cs="Calibri"/>
        </w:rPr>
      </w:pPr>
      <w:r>
        <w:rPr>
          <w:rFonts w:ascii="Calibri" w:hAnsi="Calibri" w:cs="Calibri"/>
        </w:rPr>
        <w:lastRenderedPageBreak/>
        <w:t>Key findings:</w:t>
      </w:r>
    </w:p>
    <w:p w14:paraId="2ABA9E82" w14:textId="77777777" w:rsidR="005E4C3E" w:rsidRDefault="00BF3721">
      <w:pPr>
        <w:pStyle w:val="ListParagraph"/>
        <w:numPr>
          <w:ilvl w:val="0"/>
          <w:numId w:val="7"/>
        </w:numPr>
        <w:rPr>
          <w:rFonts w:ascii="Calibri" w:hAnsi="Calibri" w:cs="Calibri"/>
        </w:rPr>
      </w:pPr>
      <w:r>
        <w:rPr>
          <w:rFonts w:ascii="Calibri" w:hAnsi="Calibri" w:cs="Calibri"/>
        </w:rPr>
        <w:t xml:space="preserve">80% of Northern Irish students and 82% of English students responded “Yes” when asked if their schools informing them of outside-of-school opportunities. </w:t>
      </w:r>
    </w:p>
    <w:p w14:paraId="2ABA9E83" w14:textId="77777777" w:rsidR="005E4C3E" w:rsidRDefault="00BF3721">
      <w:pPr>
        <w:pStyle w:val="ListParagraph"/>
        <w:numPr>
          <w:ilvl w:val="0"/>
          <w:numId w:val="7"/>
        </w:numPr>
        <w:rPr>
          <w:rFonts w:ascii="Calibri" w:hAnsi="Calibri" w:cs="Calibri"/>
        </w:rPr>
      </w:pPr>
      <w:r>
        <w:rPr>
          <w:rFonts w:ascii="Calibri" w:hAnsi="Calibri" w:cs="Calibri"/>
        </w:rPr>
        <w:t>The proportions are very similar across both regions, indicating a comparable level of communication from schools.</w:t>
      </w:r>
    </w:p>
    <w:p w14:paraId="2ABA9E84" w14:textId="77777777" w:rsidR="005E4C3E" w:rsidRDefault="005E4C3E">
      <w:pPr>
        <w:rPr>
          <w:rFonts w:ascii="Calibri" w:hAnsi="Calibri" w:cs="Calibri"/>
        </w:rPr>
      </w:pPr>
    </w:p>
    <w:p w14:paraId="2ABA9E85" w14:textId="77777777" w:rsidR="005E4C3E" w:rsidRDefault="00BF3721">
      <w:pPr>
        <w:rPr>
          <w:rFonts w:ascii="Calibri" w:hAnsi="Calibri" w:cs="Calibri"/>
          <w:sz w:val="28"/>
          <w:szCs w:val="28"/>
        </w:rPr>
      </w:pPr>
      <w:r>
        <w:rPr>
          <w:rFonts w:ascii="Calibri" w:hAnsi="Calibri" w:cs="Calibri"/>
          <w:sz w:val="28"/>
          <w:szCs w:val="28"/>
        </w:rPr>
        <w:t>Did universities hold programmes (pathway programmes or widening participation programmes) at your school?</w:t>
      </w:r>
    </w:p>
    <w:p w14:paraId="2ABA9E86" w14:textId="7E363D6E" w:rsidR="005E4C3E" w:rsidRDefault="00BF3721">
      <w:r>
        <w:rPr>
          <w:rFonts w:ascii="Calibri" w:hAnsi="Calibri" w:cs="Calibri"/>
          <w:noProof/>
          <w:sz w:val="28"/>
          <w:szCs w:val="28"/>
        </w:rPr>
        <w:drawing>
          <wp:inline distT="0" distB="0" distL="0" distR="0" wp14:anchorId="2ABA9D7F" wp14:editId="01DFA17F">
            <wp:extent cx="4200525" cy="2761616"/>
            <wp:effectExtent l="0" t="0" r="0" b="0"/>
            <wp:docPr id="63127714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ABA9E87" w14:textId="77777777" w:rsidR="005E4C3E" w:rsidRDefault="00BF3721">
      <w:pPr>
        <w:rPr>
          <w:rFonts w:ascii="Calibri" w:hAnsi="Calibri" w:cs="Calibri"/>
        </w:rPr>
      </w:pPr>
      <w:r>
        <w:rPr>
          <w:rFonts w:ascii="Calibri" w:hAnsi="Calibri" w:cs="Calibri"/>
        </w:rPr>
        <w:t>Figure 9. Availability of university programmes held at schools reported by Northern Irish students.</w:t>
      </w:r>
    </w:p>
    <w:p w14:paraId="2ABA9E88" w14:textId="77777777" w:rsidR="005E4C3E" w:rsidRDefault="005E4C3E">
      <w:pPr>
        <w:rPr>
          <w:rFonts w:ascii="Calibri" w:hAnsi="Calibri" w:cs="Calibri"/>
        </w:rPr>
      </w:pPr>
    </w:p>
    <w:p w14:paraId="2ABA9E89" w14:textId="55AEDA8C" w:rsidR="005E4C3E" w:rsidRDefault="00BF3721">
      <w:r>
        <w:rPr>
          <w:rFonts w:ascii="Calibri" w:hAnsi="Calibri" w:cs="Calibri"/>
          <w:noProof/>
        </w:rPr>
        <w:drawing>
          <wp:inline distT="0" distB="0" distL="0" distR="0" wp14:anchorId="2ABA9D83" wp14:editId="3003007B">
            <wp:extent cx="4876796" cy="2581278"/>
            <wp:effectExtent l="0" t="0" r="0" b="0"/>
            <wp:docPr id="136212669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ABA9E8A" w14:textId="77777777" w:rsidR="005E4C3E" w:rsidRDefault="00BF3721">
      <w:pPr>
        <w:rPr>
          <w:rFonts w:ascii="Calibri" w:hAnsi="Calibri" w:cs="Calibri"/>
        </w:rPr>
      </w:pPr>
      <w:r>
        <w:rPr>
          <w:rFonts w:ascii="Calibri" w:hAnsi="Calibri" w:cs="Calibri"/>
        </w:rPr>
        <w:t>Figure 10. Availability of university programmes held at schools reported by English students.</w:t>
      </w:r>
    </w:p>
    <w:p w14:paraId="2ABA9E8B" w14:textId="77777777" w:rsidR="005E4C3E" w:rsidRDefault="005E4C3E">
      <w:pPr>
        <w:rPr>
          <w:rFonts w:ascii="Calibri" w:hAnsi="Calibri" w:cs="Calibri"/>
        </w:rPr>
      </w:pPr>
    </w:p>
    <w:p w14:paraId="2ABA9E8C" w14:textId="77777777" w:rsidR="005E4C3E" w:rsidRDefault="00BF3721">
      <w:pPr>
        <w:rPr>
          <w:rFonts w:ascii="Calibri" w:hAnsi="Calibri" w:cs="Calibri"/>
        </w:rPr>
      </w:pPr>
      <w:r>
        <w:rPr>
          <w:rFonts w:ascii="Calibri" w:hAnsi="Calibri" w:cs="Calibri"/>
        </w:rPr>
        <w:t>Key findings:</w:t>
      </w:r>
    </w:p>
    <w:p w14:paraId="2ABA9E8D" w14:textId="77777777" w:rsidR="005E4C3E" w:rsidRDefault="00BF3721">
      <w:pPr>
        <w:pStyle w:val="ListParagraph"/>
        <w:numPr>
          <w:ilvl w:val="0"/>
          <w:numId w:val="8"/>
        </w:numPr>
        <w:rPr>
          <w:rFonts w:ascii="Calibri" w:hAnsi="Calibri" w:cs="Calibri"/>
        </w:rPr>
      </w:pPr>
      <w:r>
        <w:rPr>
          <w:rFonts w:ascii="Calibri" w:hAnsi="Calibri" w:cs="Calibri"/>
        </w:rPr>
        <w:t xml:space="preserve">40% of Northern Irish students and 47% of English students responded “Yes” when asked if universities held programmes at their school. </w:t>
      </w:r>
    </w:p>
    <w:p w14:paraId="2ABA9E8E" w14:textId="77777777" w:rsidR="005E4C3E" w:rsidRDefault="00BF3721">
      <w:pPr>
        <w:pStyle w:val="ListParagraph"/>
        <w:numPr>
          <w:ilvl w:val="0"/>
          <w:numId w:val="8"/>
        </w:numPr>
        <w:rPr>
          <w:rFonts w:ascii="Calibri" w:hAnsi="Calibri" w:cs="Calibri"/>
        </w:rPr>
      </w:pPr>
      <w:r>
        <w:rPr>
          <w:rFonts w:ascii="Calibri" w:hAnsi="Calibri" w:cs="Calibri"/>
        </w:rPr>
        <w:t xml:space="preserve">This suggests a moderate level of university outreach in both countries, with England showing a slightly higher rate of university outreach. </w:t>
      </w:r>
    </w:p>
    <w:p w14:paraId="2ABA9E8F" w14:textId="77777777" w:rsidR="005E4C3E" w:rsidRDefault="00BF3721">
      <w:pPr>
        <w:pStyle w:val="ListParagraph"/>
        <w:numPr>
          <w:ilvl w:val="0"/>
          <w:numId w:val="8"/>
        </w:numPr>
        <w:rPr>
          <w:rFonts w:ascii="Calibri" w:hAnsi="Calibri" w:cs="Calibri"/>
        </w:rPr>
      </w:pPr>
      <w:r>
        <w:rPr>
          <w:rFonts w:ascii="Calibri" w:hAnsi="Calibri" w:cs="Calibri"/>
        </w:rPr>
        <w:t>English students are 24% more likely to be unsure about university programmes at their schools than Northern Irish students.</w:t>
      </w:r>
    </w:p>
    <w:p w14:paraId="2ABA9E90" w14:textId="77777777" w:rsidR="005E4C3E" w:rsidRDefault="005E4C3E">
      <w:pPr>
        <w:rPr>
          <w:rFonts w:ascii="Calibri" w:hAnsi="Calibri" w:cs="Calibri"/>
        </w:rPr>
      </w:pPr>
    </w:p>
    <w:p w14:paraId="2ABA9E91" w14:textId="77777777" w:rsidR="005E4C3E" w:rsidRDefault="00BF3721">
      <w:pPr>
        <w:rPr>
          <w:rFonts w:ascii="Calibri" w:hAnsi="Calibri" w:cs="Calibri"/>
          <w:sz w:val="28"/>
          <w:szCs w:val="28"/>
        </w:rPr>
      </w:pPr>
      <w:r>
        <w:rPr>
          <w:rFonts w:ascii="Calibri" w:hAnsi="Calibri" w:cs="Calibri"/>
          <w:sz w:val="28"/>
          <w:szCs w:val="28"/>
        </w:rPr>
        <w:t>Did universities hold talks at your school?</w:t>
      </w:r>
    </w:p>
    <w:p w14:paraId="2ABA9E92" w14:textId="3B00F2D7" w:rsidR="005E4C3E" w:rsidRDefault="00BF3721">
      <w:r>
        <w:rPr>
          <w:rFonts w:ascii="Calibri" w:hAnsi="Calibri" w:cs="Calibri"/>
          <w:noProof/>
          <w:sz w:val="28"/>
          <w:szCs w:val="28"/>
        </w:rPr>
        <w:drawing>
          <wp:inline distT="0" distB="0" distL="0" distR="0" wp14:anchorId="2ABA9D85" wp14:editId="2E70F6DA">
            <wp:extent cx="4467228" cy="2466978"/>
            <wp:effectExtent l="0" t="0" r="0" b="0"/>
            <wp:docPr id="206135253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ABA9E93" w14:textId="77777777" w:rsidR="005E4C3E" w:rsidRDefault="00BF3721">
      <w:pPr>
        <w:rPr>
          <w:rFonts w:ascii="Calibri" w:hAnsi="Calibri" w:cs="Calibri"/>
        </w:rPr>
      </w:pPr>
      <w:r>
        <w:rPr>
          <w:rFonts w:ascii="Calibri" w:hAnsi="Calibri" w:cs="Calibri"/>
        </w:rPr>
        <w:t>Figure 11. University talks held at schools reported by Northern Irish students.</w:t>
      </w:r>
    </w:p>
    <w:p w14:paraId="2ABA9E94" w14:textId="77777777" w:rsidR="005E4C3E" w:rsidRDefault="005E4C3E">
      <w:pPr>
        <w:rPr>
          <w:rFonts w:ascii="Calibri" w:hAnsi="Calibri" w:cs="Calibri"/>
        </w:rPr>
      </w:pPr>
    </w:p>
    <w:p w14:paraId="2ABA9E95" w14:textId="77777777" w:rsidR="005E4C3E" w:rsidRDefault="00BF3721">
      <w:r>
        <w:rPr>
          <w:rFonts w:ascii="Calibri" w:hAnsi="Calibri" w:cs="Calibri"/>
          <w:noProof/>
        </w:rPr>
        <w:drawing>
          <wp:inline distT="0" distB="0" distL="0" distR="0" wp14:anchorId="2ABA9D87" wp14:editId="4FF0D9F9">
            <wp:extent cx="4304666" cy="2313944"/>
            <wp:effectExtent l="0" t="0" r="0" b="0"/>
            <wp:docPr id="124196369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ABA9E96" w14:textId="77777777" w:rsidR="005E4C3E" w:rsidRDefault="00BF3721">
      <w:pPr>
        <w:rPr>
          <w:rFonts w:ascii="Calibri" w:hAnsi="Calibri" w:cs="Calibri"/>
        </w:rPr>
      </w:pPr>
      <w:r>
        <w:rPr>
          <w:rFonts w:ascii="Calibri" w:hAnsi="Calibri" w:cs="Calibri"/>
        </w:rPr>
        <w:t>Figure 12. University talks held at schools reported by English students.</w:t>
      </w:r>
    </w:p>
    <w:p w14:paraId="2ABA9E97" w14:textId="77777777" w:rsidR="005E4C3E" w:rsidRDefault="00BF3721">
      <w:pPr>
        <w:rPr>
          <w:rFonts w:ascii="Calibri" w:hAnsi="Calibri" w:cs="Calibri"/>
        </w:rPr>
      </w:pPr>
      <w:r>
        <w:rPr>
          <w:rFonts w:ascii="Calibri" w:hAnsi="Calibri" w:cs="Calibri"/>
        </w:rPr>
        <w:lastRenderedPageBreak/>
        <w:t>Key findings:</w:t>
      </w:r>
    </w:p>
    <w:p w14:paraId="2ABA9E98" w14:textId="77777777" w:rsidR="005E4C3E" w:rsidRDefault="00BF3721">
      <w:pPr>
        <w:pStyle w:val="ListParagraph"/>
        <w:numPr>
          <w:ilvl w:val="0"/>
          <w:numId w:val="9"/>
        </w:numPr>
        <w:rPr>
          <w:rFonts w:ascii="Calibri" w:hAnsi="Calibri" w:cs="Calibri"/>
        </w:rPr>
      </w:pPr>
      <w:r>
        <w:rPr>
          <w:rFonts w:ascii="Calibri" w:hAnsi="Calibri" w:cs="Calibri"/>
        </w:rPr>
        <w:t xml:space="preserve">40% of Northern Irish students and 47% of English students responded “Yes” when asked if universities held talks at their school. </w:t>
      </w:r>
    </w:p>
    <w:p w14:paraId="2ABA9E99" w14:textId="77777777" w:rsidR="005E4C3E" w:rsidRDefault="00BF3721">
      <w:pPr>
        <w:pStyle w:val="ListParagraph"/>
        <w:numPr>
          <w:ilvl w:val="0"/>
          <w:numId w:val="9"/>
        </w:numPr>
        <w:rPr>
          <w:rFonts w:ascii="Calibri" w:hAnsi="Calibri" w:cs="Calibri"/>
        </w:rPr>
      </w:pPr>
      <w:r>
        <w:rPr>
          <w:rFonts w:ascii="Calibri" w:hAnsi="Calibri" w:cs="Calibri"/>
        </w:rPr>
        <w:t xml:space="preserve">This suggests a moderate level of university outreach in both countries, with England showing a slightly higher rate of university outreach. </w:t>
      </w:r>
    </w:p>
    <w:p w14:paraId="2ABA9E9A" w14:textId="77777777" w:rsidR="005E4C3E" w:rsidRDefault="00BF3721">
      <w:pPr>
        <w:pStyle w:val="ListParagraph"/>
        <w:numPr>
          <w:ilvl w:val="0"/>
          <w:numId w:val="9"/>
        </w:numPr>
        <w:rPr>
          <w:rFonts w:ascii="Calibri" w:hAnsi="Calibri" w:cs="Calibri"/>
        </w:rPr>
      </w:pPr>
      <w:r>
        <w:rPr>
          <w:rFonts w:ascii="Calibri" w:hAnsi="Calibri" w:cs="Calibri"/>
        </w:rPr>
        <w:t>English students are 12% more likely to be unsure about university talks at their schools than Northern Irish students.</w:t>
      </w:r>
    </w:p>
    <w:p w14:paraId="2ABA9E9B" w14:textId="77777777" w:rsidR="005E4C3E" w:rsidRDefault="005E4C3E">
      <w:pPr>
        <w:rPr>
          <w:rFonts w:ascii="Calibri" w:hAnsi="Calibri" w:cs="Calibri"/>
        </w:rPr>
      </w:pPr>
    </w:p>
    <w:p w14:paraId="2ABA9E9C" w14:textId="77777777" w:rsidR="005E4C3E" w:rsidRDefault="00BF3721">
      <w:pPr>
        <w:rPr>
          <w:rFonts w:ascii="Calibri" w:hAnsi="Calibri" w:cs="Calibri"/>
          <w:sz w:val="28"/>
          <w:szCs w:val="28"/>
        </w:rPr>
      </w:pPr>
      <w:r>
        <w:rPr>
          <w:rFonts w:ascii="Calibri" w:hAnsi="Calibri" w:cs="Calibri"/>
          <w:sz w:val="28"/>
          <w:szCs w:val="28"/>
        </w:rPr>
        <w:t>Did your secondary school/college have a programme or scheme which provided any additional help for students applying to Oxford or Cambridge?</w:t>
      </w:r>
    </w:p>
    <w:p w14:paraId="2ABA9E9D" w14:textId="1564B984" w:rsidR="005E4C3E" w:rsidRDefault="00BF3721">
      <w:r>
        <w:rPr>
          <w:rFonts w:ascii="Calibri" w:hAnsi="Calibri" w:cs="Calibri"/>
          <w:noProof/>
          <w:sz w:val="28"/>
          <w:szCs w:val="28"/>
        </w:rPr>
        <w:drawing>
          <wp:inline distT="0" distB="0" distL="0" distR="0" wp14:anchorId="2ABA9D89" wp14:editId="542DB2AD">
            <wp:extent cx="3952878" cy="2381253"/>
            <wp:effectExtent l="0" t="0" r="0" b="0"/>
            <wp:docPr id="12974788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ABA9E9E" w14:textId="77777777" w:rsidR="005E4C3E" w:rsidRDefault="00BF3721">
      <w:pPr>
        <w:rPr>
          <w:rFonts w:ascii="Calibri" w:hAnsi="Calibri" w:cs="Calibri"/>
        </w:rPr>
      </w:pPr>
      <w:r>
        <w:rPr>
          <w:rFonts w:ascii="Calibri" w:hAnsi="Calibri" w:cs="Calibri"/>
        </w:rPr>
        <w:t>Figure 13. Availability of programmes supporting Oxbridge applications reported by Northern Irish students.</w:t>
      </w:r>
    </w:p>
    <w:p w14:paraId="2ABA9E9F" w14:textId="77777777" w:rsidR="005E4C3E" w:rsidRDefault="005E4C3E">
      <w:pPr>
        <w:rPr>
          <w:rFonts w:ascii="Calibri" w:hAnsi="Calibri" w:cs="Calibri"/>
        </w:rPr>
      </w:pPr>
    </w:p>
    <w:p w14:paraId="2ABA9EA0" w14:textId="77777777" w:rsidR="005E4C3E" w:rsidRDefault="00BF3721">
      <w:r>
        <w:rPr>
          <w:rFonts w:ascii="Calibri" w:hAnsi="Calibri" w:cs="Calibri"/>
          <w:noProof/>
        </w:rPr>
        <w:drawing>
          <wp:inline distT="0" distB="0" distL="0" distR="0" wp14:anchorId="2ABA9D8B" wp14:editId="64225D5E">
            <wp:extent cx="4572000" cy="2286000"/>
            <wp:effectExtent l="0" t="0" r="0" b="0"/>
            <wp:docPr id="7876442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ABA9EA1" w14:textId="77777777" w:rsidR="005E4C3E" w:rsidRDefault="00BF3721">
      <w:pPr>
        <w:rPr>
          <w:rFonts w:ascii="Calibri" w:hAnsi="Calibri" w:cs="Calibri"/>
        </w:rPr>
      </w:pPr>
      <w:r>
        <w:rPr>
          <w:rFonts w:ascii="Calibri" w:hAnsi="Calibri" w:cs="Calibri"/>
        </w:rPr>
        <w:t>Figure 14. Availability of programmes supporting Oxbridge applications reported by English students.</w:t>
      </w:r>
    </w:p>
    <w:p w14:paraId="2ABA9EA2" w14:textId="77777777" w:rsidR="005E4C3E" w:rsidRDefault="00BF3721">
      <w:pPr>
        <w:rPr>
          <w:rFonts w:ascii="Calibri" w:hAnsi="Calibri" w:cs="Calibri"/>
        </w:rPr>
      </w:pPr>
      <w:r>
        <w:rPr>
          <w:rFonts w:ascii="Calibri" w:hAnsi="Calibri" w:cs="Calibri"/>
        </w:rPr>
        <w:lastRenderedPageBreak/>
        <w:t>Key findings:</w:t>
      </w:r>
    </w:p>
    <w:p w14:paraId="2ABA9EA3" w14:textId="77777777" w:rsidR="005E4C3E" w:rsidRDefault="00BF3721">
      <w:pPr>
        <w:pStyle w:val="ListParagraph"/>
        <w:numPr>
          <w:ilvl w:val="0"/>
          <w:numId w:val="10"/>
        </w:numPr>
        <w:rPr>
          <w:rFonts w:ascii="Calibri" w:hAnsi="Calibri" w:cs="Calibri"/>
        </w:rPr>
      </w:pPr>
      <w:r>
        <w:rPr>
          <w:rFonts w:ascii="Calibri" w:hAnsi="Calibri" w:cs="Calibri"/>
        </w:rPr>
        <w:t>0% of Northern Irish students and 76% of English students responded “Yes” to their schools providing support for Oxford and Cambridge applications.</w:t>
      </w:r>
    </w:p>
    <w:p w14:paraId="2ABA9EA4" w14:textId="77777777" w:rsidR="005E4C3E" w:rsidRDefault="00BF3721">
      <w:pPr>
        <w:pStyle w:val="ListParagraph"/>
        <w:numPr>
          <w:ilvl w:val="0"/>
          <w:numId w:val="10"/>
        </w:numPr>
        <w:rPr>
          <w:rFonts w:ascii="Calibri" w:hAnsi="Calibri" w:cs="Calibri"/>
        </w:rPr>
      </w:pPr>
      <w:r>
        <w:rPr>
          <w:rFonts w:ascii="Calibri" w:hAnsi="Calibri" w:cs="Calibri"/>
        </w:rPr>
        <w:t xml:space="preserve">60% of Northern Irish students and 6% of English students not knowing whether this support was offered or not. </w:t>
      </w:r>
    </w:p>
    <w:p w14:paraId="2ABA9EA5" w14:textId="77777777" w:rsidR="005E4C3E" w:rsidRDefault="00BF3721">
      <w:pPr>
        <w:pStyle w:val="ListParagraph"/>
        <w:numPr>
          <w:ilvl w:val="0"/>
          <w:numId w:val="10"/>
        </w:numPr>
        <w:rPr>
          <w:rFonts w:ascii="Calibri" w:hAnsi="Calibri" w:cs="Calibri"/>
        </w:rPr>
      </w:pPr>
      <w:r>
        <w:rPr>
          <w:rFonts w:ascii="Calibri" w:hAnsi="Calibri" w:cs="Calibri"/>
        </w:rPr>
        <w:t>This suggests that while English schools more commonly provide this support, a large proportion of Northern Irish students are unaware of this support.</w:t>
      </w:r>
    </w:p>
    <w:p w14:paraId="2ABA9EA6" w14:textId="77777777" w:rsidR="005E4C3E" w:rsidRDefault="005E4C3E">
      <w:pPr>
        <w:rPr>
          <w:rFonts w:ascii="Calibri" w:hAnsi="Calibri" w:cs="Calibri"/>
        </w:rPr>
      </w:pPr>
    </w:p>
    <w:p w14:paraId="2ABA9EA7" w14:textId="77777777" w:rsidR="005E4C3E" w:rsidRDefault="00BF3721">
      <w:pPr>
        <w:rPr>
          <w:rFonts w:ascii="Calibri" w:hAnsi="Calibri" w:cs="Calibri"/>
          <w:sz w:val="28"/>
          <w:szCs w:val="28"/>
        </w:rPr>
      </w:pPr>
      <w:r>
        <w:rPr>
          <w:rFonts w:ascii="Calibri" w:hAnsi="Calibri" w:cs="Calibri"/>
          <w:sz w:val="28"/>
          <w:szCs w:val="28"/>
        </w:rPr>
        <w:t>Did your secondary school/college provide any additional support to students struggling with certain subjects (such as maths/</w:t>
      </w:r>
      <w:proofErr w:type="spellStart"/>
      <w:r>
        <w:rPr>
          <w:rFonts w:ascii="Calibri" w:hAnsi="Calibri" w:cs="Calibri"/>
          <w:sz w:val="28"/>
          <w:szCs w:val="28"/>
        </w:rPr>
        <w:t>english</w:t>
      </w:r>
      <w:proofErr w:type="spellEnd"/>
      <w:r>
        <w:rPr>
          <w:rFonts w:ascii="Calibri" w:hAnsi="Calibri" w:cs="Calibri"/>
          <w:sz w:val="28"/>
          <w:szCs w:val="28"/>
        </w:rPr>
        <w:t xml:space="preserve"> help desk)?</w:t>
      </w:r>
    </w:p>
    <w:p w14:paraId="2ABA9EA8" w14:textId="7D3F80CD" w:rsidR="005E4C3E" w:rsidRDefault="00BF3721">
      <w:r>
        <w:rPr>
          <w:rFonts w:ascii="Calibri" w:hAnsi="Calibri" w:cs="Calibri"/>
          <w:noProof/>
          <w:sz w:val="28"/>
          <w:szCs w:val="28"/>
        </w:rPr>
        <w:drawing>
          <wp:inline distT="0" distB="0" distL="0" distR="0" wp14:anchorId="2ABA9D8D" wp14:editId="083D4411">
            <wp:extent cx="4314825" cy="2313944"/>
            <wp:effectExtent l="0" t="0" r="0" b="0"/>
            <wp:docPr id="9138492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ABA9EA9" w14:textId="77777777" w:rsidR="005E4C3E" w:rsidRDefault="00BF3721">
      <w:pPr>
        <w:rPr>
          <w:rFonts w:ascii="Calibri" w:hAnsi="Calibri" w:cs="Calibri"/>
        </w:rPr>
      </w:pPr>
      <w:r>
        <w:rPr>
          <w:rFonts w:ascii="Calibri" w:hAnsi="Calibri" w:cs="Calibri"/>
        </w:rPr>
        <w:t>Figure 15. Availability of extra academic support at schools reported by Northern Irish students.</w:t>
      </w:r>
    </w:p>
    <w:p w14:paraId="2ABA9EAA" w14:textId="77777777" w:rsidR="005E4C3E" w:rsidRDefault="005E4C3E">
      <w:pPr>
        <w:rPr>
          <w:rFonts w:ascii="Calibri" w:hAnsi="Calibri" w:cs="Calibri"/>
        </w:rPr>
      </w:pPr>
    </w:p>
    <w:p w14:paraId="2ABA9EAB" w14:textId="77777777" w:rsidR="005E4C3E" w:rsidRDefault="00BF3721">
      <w:r>
        <w:rPr>
          <w:rFonts w:ascii="Calibri" w:hAnsi="Calibri" w:cs="Calibri"/>
          <w:noProof/>
        </w:rPr>
        <w:drawing>
          <wp:inline distT="0" distB="0" distL="0" distR="0" wp14:anchorId="2ABA9D8F" wp14:editId="372ABA72">
            <wp:extent cx="5219066" cy="2304416"/>
            <wp:effectExtent l="0" t="0" r="0" b="0"/>
            <wp:docPr id="3610709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ABA9EAC" w14:textId="77777777" w:rsidR="005E4C3E" w:rsidRDefault="00BF3721">
      <w:pPr>
        <w:rPr>
          <w:rFonts w:ascii="Calibri" w:hAnsi="Calibri" w:cs="Calibri"/>
        </w:rPr>
      </w:pPr>
      <w:r>
        <w:rPr>
          <w:rFonts w:ascii="Calibri" w:hAnsi="Calibri" w:cs="Calibri"/>
        </w:rPr>
        <w:t>Figure 16. Availability of extra academic support at schools reported by English students.</w:t>
      </w:r>
    </w:p>
    <w:p w14:paraId="2ABA9EAD" w14:textId="77777777" w:rsidR="005E4C3E" w:rsidRDefault="005E4C3E">
      <w:pPr>
        <w:rPr>
          <w:rFonts w:ascii="Calibri" w:hAnsi="Calibri" w:cs="Calibri"/>
        </w:rPr>
      </w:pPr>
    </w:p>
    <w:p w14:paraId="2ABA9EAE" w14:textId="77777777" w:rsidR="005E4C3E" w:rsidRDefault="00BF3721">
      <w:pPr>
        <w:rPr>
          <w:rFonts w:ascii="Calibri" w:hAnsi="Calibri" w:cs="Calibri"/>
        </w:rPr>
      </w:pPr>
      <w:r>
        <w:rPr>
          <w:rFonts w:ascii="Calibri" w:hAnsi="Calibri" w:cs="Calibri"/>
        </w:rPr>
        <w:lastRenderedPageBreak/>
        <w:t>Key findings:</w:t>
      </w:r>
    </w:p>
    <w:p w14:paraId="2ABA9EAF" w14:textId="77777777" w:rsidR="005E4C3E" w:rsidRDefault="00BF3721">
      <w:pPr>
        <w:pStyle w:val="ListParagraph"/>
        <w:numPr>
          <w:ilvl w:val="0"/>
          <w:numId w:val="11"/>
        </w:numPr>
        <w:rPr>
          <w:rFonts w:ascii="Calibri" w:hAnsi="Calibri" w:cs="Calibri"/>
        </w:rPr>
      </w:pPr>
      <w:r>
        <w:rPr>
          <w:rFonts w:ascii="Calibri" w:hAnsi="Calibri" w:cs="Calibri"/>
        </w:rPr>
        <w:t>40% of Northern Irish students and 71% of English students responded “Yes” to their schools offering additional subject support.</w:t>
      </w:r>
    </w:p>
    <w:p w14:paraId="2ABA9EB0" w14:textId="77777777" w:rsidR="005E4C3E" w:rsidRDefault="00BF3721">
      <w:pPr>
        <w:pStyle w:val="ListParagraph"/>
        <w:numPr>
          <w:ilvl w:val="0"/>
          <w:numId w:val="11"/>
        </w:numPr>
        <w:rPr>
          <w:rFonts w:ascii="Calibri" w:hAnsi="Calibri" w:cs="Calibri"/>
        </w:rPr>
      </w:pPr>
      <w:r>
        <w:rPr>
          <w:rFonts w:ascii="Calibri" w:hAnsi="Calibri" w:cs="Calibri"/>
        </w:rPr>
        <w:t>18% of English students not knowing whether this additional support was offered or not.</w:t>
      </w:r>
    </w:p>
    <w:p w14:paraId="2ABA9EB1" w14:textId="77777777" w:rsidR="005E4C3E" w:rsidRDefault="00BF3721">
      <w:pPr>
        <w:pStyle w:val="ListParagraph"/>
        <w:numPr>
          <w:ilvl w:val="0"/>
          <w:numId w:val="11"/>
        </w:numPr>
        <w:rPr>
          <w:rFonts w:ascii="Calibri" w:hAnsi="Calibri" w:cs="Calibri"/>
        </w:rPr>
      </w:pPr>
      <w:r>
        <w:rPr>
          <w:rFonts w:ascii="Calibri" w:hAnsi="Calibri" w:cs="Calibri"/>
        </w:rPr>
        <w:t>This demonstrates that English schools more commonly provide this support than Northern Irish schools, with a few English students being unaware of this support.</w:t>
      </w:r>
    </w:p>
    <w:p w14:paraId="2ABA9EB2" w14:textId="77777777" w:rsidR="005E4C3E" w:rsidRDefault="005E4C3E">
      <w:pPr>
        <w:rPr>
          <w:rFonts w:ascii="Calibri" w:hAnsi="Calibri" w:cs="Calibri"/>
        </w:rPr>
      </w:pPr>
    </w:p>
    <w:p w14:paraId="2ABA9EB3" w14:textId="77777777" w:rsidR="005E4C3E" w:rsidRDefault="00BF3721">
      <w:pPr>
        <w:rPr>
          <w:rFonts w:ascii="Calibri" w:hAnsi="Calibri" w:cs="Calibri"/>
          <w:sz w:val="28"/>
          <w:szCs w:val="28"/>
        </w:rPr>
      </w:pPr>
      <w:r>
        <w:rPr>
          <w:rFonts w:ascii="Calibri" w:hAnsi="Calibri" w:cs="Calibri"/>
          <w:sz w:val="28"/>
          <w:szCs w:val="28"/>
        </w:rPr>
        <w:t>How ethnically diverse do you feel your secondary school/college was?</w:t>
      </w:r>
    </w:p>
    <w:p w14:paraId="2ABA9EB4" w14:textId="02DB3A08" w:rsidR="005E4C3E" w:rsidRDefault="00BF3721">
      <w:r>
        <w:rPr>
          <w:rFonts w:ascii="Calibri" w:hAnsi="Calibri" w:cs="Calibri"/>
          <w:noProof/>
          <w:sz w:val="28"/>
          <w:szCs w:val="28"/>
        </w:rPr>
        <w:drawing>
          <wp:inline distT="0" distB="0" distL="0" distR="0" wp14:anchorId="2ABA9D91" wp14:editId="2F4DF71C">
            <wp:extent cx="4572000" cy="2743200"/>
            <wp:effectExtent l="0" t="0" r="0" b="0"/>
            <wp:docPr id="201322269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BA9EB5" w14:textId="77777777" w:rsidR="005E4C3E" w:rsidRDefault="00BF3721">
      <w:pPr>
        <w:rPr>
          <w:rFonts w:ascii="Calibri" w:hAnsi="Calibri" w:cs="Calibri"/>
        </w:rPr>
      </w:pPr>
      <w:r>
        <w:rPr>
          <w:rFonts w:ascii="Calibri" w:hAnsi="Calibri" w:cs="Calibri"/>
        </w:rPr>
        <w:t>Figure 17. Ethnic diversity at schools reported by Northern Irish students.</w:t>
      </w:r>
    </w:p>
    <w:p w14:paraId="2ABA9EB6" w14:textId="77777777" w:rsidR="005E4C3E" w:rsidRDefault="005E4C3E">
      <w:pPr>
        <w:rPr>
          <w:rFonts w:ascii="Calibri" w:hAnsi="Calibri" w:cs="Calibri"/>
        </w:rPr>
      </w:pPr>
    </w:p>
    <w:p w14:paraId="2ABA9EB7" w14:textId="77777777" w:rsidR="005E4C3E" w:rsidRDefault="00BF3721">
      <w:r>
        <w:rPr>
          <w:rFonts w:ascii="Calibri" w:hAnsi="Calibri" w:cs="Calibri"/>
          <w:noProof/>
        </w:rPr>
        <w:drawing>
          <wp:inline distT="0" distB="0" distL="0" distR="0" wp14:anchorId="2ABA9D93" wp14:editId="2DBA7F6B">
            <wp:extent cx="5190491" cy="2774317"/>
            <wp:effectExtent l="0" t="0" r="0" b="0"/>
            <wp:docPr id="13468537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ABA9EB8" w14:textId="77777777" w:rsidR="005E4C3E" w:rsidRDefault="00BF3721">
      <w:pPr>
        <w:rPr>
          <w:rFonts w:ascii="Calibri" w:hAnsi="Calibri" w:cs="Calibri"/>
        </w:rPr>
      </w:pPr>
      <w:r>
        <w:rPr>
          <w:rFonts w:ascii="Calibri" w:hAnsi="Calibri" w:cs="Calibri"/>
        </w:rPr>
        <w:t>Figure 18. Ethnic diversity at schools reported by English students.</w:t>
      </w:r>
    </w:p>
    <w:p w14:paraId="2ABA9EB9" w14:textId="77777777" w:rsidR="005E4C3E" w:rsidRDefault="00BF3721">
      <w:pPr>
        <w:rPr>
          <w:rFonts w:ascii="Calibri" w:hAnsi="Calibri" w:cs="Calibri"/>
        </w:rPr>
      </w:pPr>
      <w:r>
        <w:rPr>
          <w:rFonts w:ascii="Calibri" w:hAnsi="Calibri" w:cs="Calibri"/>
        </w:rPr>
        <w:lastRenderedPageBreak/>
        <w:t>Key findings:</w:t>
      </w:r>
    </w:p>
    <w:p w14:paraId="2ABA9EBA" w14:textId="77777777" w:rsidR="005E4C3E" w:rsidRDefault="00BF3721">
      <w:pPr>
        <w:pStyle w:val="ListParagraph"/>
        <w:numPr>
          <w:ilvl w:val="0"/>
          <w:numId w:val="12"/>
        </w:numPr>
        <w:rPr>
          <w:rFonts w:ascii="Calibri" w:hAnsi="Calibri" w:cs="Calibri"/>
        </w:rPr>
      </w:pPr>
      <w:r>
        <w:rPr>
          <w:rFonts w:ascii="Calibri" w:hAnsi="Calibri" w:cs="Calibri"/>
        </w:rPr>
        <w:t>English students gave a wider range of responses compared to Northern Irish students, where responses are concentrated to indicate Northern Irish schools have a rather poor ethnic diversity.</w:t>
      </w:r>
    </w:p>
    <w:p w14:paraId="2ABA9EBB" w14:textId="77777777" w:rsidR="005E4C3E" w:rsidRDefault="00BF3721">
      <w:pPr>
        <w:pStyle w:val="ListParagraph"/>
        <w:numPr>
          <w:ilvl w:val="0"/>
          <w:numId w:val="12"/>
        </w:numPr>
        <w:rPr>
          <w:rFonts w:ascii="Calibri" w:hAnsi="Calibri" w:cs="Calibri"/>
        </w:rPr>
      </w:pPr>
      <w:r>
        <w:rPr>
          <w:rFonts w:ascii="Calibri" w:hAnsi="Calibri" w:cs="Calibri"/>
        </w:rPr>
        <w:t>0% of Northern Irish students and 53% of English students felt their secondary school/college had very good ethnic diversity, and</w:t>
      </w:r>
    </w:p>
    <w:p w14:paraId="2ABA9EBC" w14:textId="77777777" w:rsidR="005E4C3E" w:rsidRDefault="00BF3721">
      <w:pPr>
        <w:pStyle w:val="ListParagraph"/>
        <w:numPr>
          <w:ilvl w:val="0"/>
          <w:numId w:val="12"/>
        </w:numPr>
        <w:rPr>
          <w:rFonts w:ascii="Calibri" w:hAnsi="Calibri" w:cs="Calibri"/>
        </w:rPr>
      </w:pPr>
      <w:r>
        <w:rPr>
          <w:rFonts w:ascii="Calibri" w:hAnsi="Calibri" w:cs="Calibri"/>
        </w:rPr>
        <w:t>60% of Northern Irish students and 0% of English students felt their secondary school/college had very poor ethnic diversity.</w:t>
      </w:r>
    </w:p>
    <w:p w14:paraId="2ABA9EBD" w14:textId="77777777" w:rsidR="005E4C3E" w:rsidRDefault="005E4C3E">
      <w:pPr>
        <w:rPr>
          <w:rFonts w:ascii="Calibri" w:hAnsi="Calibri" w:cs="Calibri"/>
        </w:rPr>
      </w:pPr>
    </w:p>
    <w:p w14:paraId="2ABA9EBE" w14:textId="77777777" w:rsidR="005E4C3E" w:rsidRDefault="00BF3721">
      <w:pPr>
        <w:rPr>
          <w:rFonts w:ascii="Calibri" w:hAnsi="Calibri" w:cs="Calibri"/>
          <w:sz w:val="28"/>
          <w:szCs w:val="28"/>
        </w:rPr>
      </w:pPr>
      <w:r>
        <w:rPr>
          <w:rFonts w:ascii="Calibri" w:hAnsi="Calibri" w:cs="Calibri"/>
          <w:sz w:val="28"/>
          <w:szCs w:val="28"/>
        </w:rPr>
        <w:t>On average, how did you find your teachers' teaching ability at your school?</w:t>
      </w:r>
    </w:p>
    <w:p w14:paraId="2ABA9EBF" w14:textId="0D611DA8" w:rsidR="005E4C3E" w:rsidRDefault="00BF3721">
      <w:r>
        <w:rPr>
          <w:rFonts w:ascii="Calibri" w:hAnsi="Calibri" w:cs="Calibri"/>
          <w:noProof/>
        </w:rPr>
        <w:drawing>
          <wp:inline distT="0" distB="0" distL="0" distR="0" wp14:anchorId="2ABA9D95" wp14:editId="61BB5C2B">
            <wp:extent cx="4572000" cy="2609853"/>
            <wp:effectExtent l="0" t="0" r="0" b="0"/>
            <wp:docPr id="168357192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ABA9EC0" w14:textId="77777777" w:rsidR="005E4C3E" w:rsidRDefault="00BF3721">
      <w:pPr>
        <w:rPr>
          <w:rFonts w:ascii="Calibri" w:hAnsi="Calibri" w:cs="Calibri"/>
        </w:rPr>
      </w:pPr>
      <w:r>
        <w:rPr>
          <w:rFonts w:ascii="Calibri" w:hAnsi="Calibri" w:cs="Calibri"/>
        </w:rPr>
        <w:t>Figure 19. Teaching quality at schools reported by Northern Irish students.</w:t>
      </w:r>
    </w:p>
    <w:p w14:paraId="2ABA9EC1" w14:textId="77777777" w:rsidR="005E4C3E" w:rsidRDefault="005E4C3E">
      <w:pPr>
        <w:rPr>
          <w:rFonts w:ascii="Calibri" w:hAnsi="Calibri" w:cs="Calibri"/>
        </w:rPr>
      </w:pPr>
    </w:p>
    <w:p w14:paraId="2ABA9EC2" w14:textId="77777777" w:rsidR="005E4C3E" w:rsidRDefault="00BF3721">
      <w:r>
        <w:rPr>
          <w:rFonts w:ascii="Calibri" w:hAnsi="Calibri" w:cs="Calibri"/>
          <w:noProof/>
        </w:rPr>
        <w:drawing>
          <wp:inline distT="0" distB="0" distL="0" distR="0" wp14:anchorId="2ABA9D97" wp14:editId="38B185A7">
            <wp:extent cx="5181603" cy="2561591"/>
            <wp:effectExtent l="0" t="0" r="0" b="0"/>
            <wp:docPr id="44322140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ABA9EC3" w14:textId="77777777" w:rsidR="005E4C3E" w:rsidRDefault="00BF3721">
      <w:pPr>
        <w:rPr>
          <w:rFonts w:ascii="Calibri" w:hAnsi="Calibri" w:cs="Calibri"/>
        </w:rPr>
      </w:pPr>
      <w:r>
        <w:rPr>
          <w:rFonts w:ascii="Calibri" w:hAnsi="Calibri" w:cs="Calibri"/>
        </w:rPr>
        <w:t>Figure 20. Teaching quality at schools reported by English students.</w:t>
      </w:r>
    </w:p>
    <w:p w14:paraId="2ABA9EC4" w14:textId="77777777" w:rsidR="005E4C3E" w:rsidRDefault="005E4C3E">
      <w:pPr>
        <w:rPr>
          <w:rFonts w:ascii="Calibri" w:hAnsi="Calibri" w:cs="Calibri"/>
        </w:rPr>
      </w:pPr>
    </w:p>
    <w:p w14:paraId="2ABA9EC5" w14:textId="77777777" w:rsidR="005E4C3E" w:rsidRDefault="00BF3721">
      <w:pPr>
        <w:rPr>
          <w:rFonts w:ascii="Calibri" w:hAnsi="Calibri" w:cs="Calibri"/>
        </w:rPr>
      </w:pPr>
      <w:r>
        <w:rPr>
          <w:rFonts w:ascii="Calibri" w:hAnsi="Calibri" w:cs="Calibri"/>
        </w:rPr>
        <w:t>Key findings:</w:t>
      </w:r>
    </w:p>
    <w:p w14:paraId="2ABA9EC6" w14:textId="77777777" w:rsidR="005E4C3E" w:rsidRDefault="00BF3721">
      <w:pPr>
        <w:pStyle w:val="ListParagraph"/>
        <w:numPr>
          <w:ilvl w:val="0"/>
          <w:numId w:val="13"/>
        </w:numPr>
        <w:rPr>
          <w:rFonts w:ascii="Calibri" w:hAnsi="Calibri" w:cs="Calibri"/>
        </w:rPr>
      </w:pPr>
      <w:r>
        <w:rPr>
          <w:rFonts w:ascii="Calibri" w:hAnsi="Calibri" w:cs="Calibri"/>
        </w:rPr>
        <w:t>English students gave a wider range of responses compared to Northern Irish students, where responses are concentrated to indicate Northern Irish students think more positively about their teachers’ teaching abilities.</w:t>
      </w:r>
    </w:p>
    <w:p w14:paraId="2ABA9EC7" w14:textId="77777777" w:rsidR="005E4C3E" w:rsidRDefault="00BF3721">
      <w:pPr>
        <w:pStyle w:val="ListParagraph"/>
        <w:numPr>
          <w:ilvl w:val="0"/>
          <w:numId w:val="13"/>
        </w:numPr>
        <w:rPr>
          <w:rFonts w:ascii="Calibri" w:hAnsi="Calibri" w:cs="Calibri"/>
        </w:rPr>
      </w:pPr>
      <w:r>
        <w:rPr>
          <w:rFonts w:ascii="Calibri" w:hAnsi="Calibri" w:cs="Calibri"/>
        </w:rPr>
        <w:t>100% of Northern Irish students and 47% of English students believed their teachers’ teaching ability was good.</w:t>
      </w:r>
    </w:p>
    <w:p w14:paraId="2ABA9EC8" w14:textId="77777777" w:rsidR="005E4C3E" w:rsidRDefault="005E4C3E">
      <w:pPr>
        <w:rPr>
          <w:rFonts w:ascii="Calibri" w:hAnsi="Calibri" w:cs="Calibri"/>
        </w:rPr>
      </w:pPr>
    </w:p>
    <w:p w14:paraId="2ABA9EC9" w14:textId="77777777" w:rsidR="005E4C3E" w:rsidRDefault="00BF3721">
      <w:pPr>
        <w:rPr>
          <w:rFonts w:ascii="Calibri" w:hAnsi="Calibri" w:cs="Calibri"/>
          <w:sz w:val="32"/>
          <w:szCs w:val="32"/>
        </w:rPr>
      </w:pPr>
      <w:r>
        <w:rPr>
          <w:rFonts w:ascii="Calibri" w:hAnsi="Calibri" w:cs="Calibri"/>
          <w:sz w:val="32"/>
          <w:szCs w:val="32"/>
        </w:rPr>
        <w:t>Discussion</w:t>
      </w:r>
    </w:p>
    <w:p w14:paraId="2ABA9ECA" w14:textId="77777777" w:rsidR="005E4C3E" w:rsidRDefault="00BF3721">
      <w:pPr>
        <w:rPr>
          <w:rFonts w:ascii="Calibri" w:hAnsi="Calibri" w:cs="Calibri"/>
          <w:sz w:val="28"/>
          <w:szCs w:val="28"/>
        </w:rPr>
      </w:pPr>
      <w:r>
        <w:rPr>
          <w:rFonts w:ascii="Calibri" w:hAnsi="Calibri" w:cs="Calibri"/>
          <w:sz w:val="28"/>
          <w:szCs w:val="28"/>
        </w:rPr>
        <w:t>Subject Offerings at GCSE and A-Level</w:t>
      </w:r>
    </w:p>
    <w:p w14:paraId="2ABA9ECB" w14:textId="1708FED1" w:rsidR="005E4C3E" w:rsidRDefault="00BF3721">
      <w:pPr>
        <w:rPr>
          <w:rFonts w:ascii="Calibri" w:hAnsi="Calibri" w:cs="Calibri"/>
        </w:rPr>
      </w:pPr>
      <w:r>
        <w:rPr>
          <w:rFonts w:ascii="Calibri" w:hAnsi="Calibri" w:cs="Calibri"/>
        </w:rPr>
        <w:t>The</w:t>
      </w:r>
      <w:r w:rsidR="00EB527F">
        <w:rPr>
          <w:rFonts w:ascii="Calibri" w:hAnsi="Calibri" w:cs="Calibri"/>
        </w:rPr>
        <w:t xml:space="preserve"> first difference at GCSE between Northern Ireland and England is that</w:t>
      </w:r>
      <w:r w:rsidR="00C53DAE">
        <w:rPr>
          <w:rFonts w:ascii="Calibri" w:hAnsi="Calibri" w:cs="Calibri"/>
        </w:rPr>
        <w:t xml:space="preserve"> the</w:t>
      </w:r>
      <w:r>
        <w:rPr>
          <w:rFonts w:ascii="Calibri" w:hAnsi="Calibri" w:cs="Calibri"/>
        </w:rPr>
        <w:t xml:space="preserve"> numbers of GCSEs students can </w:t>
      </w:r>
      <w:r w:rsidR="00C53DAE">
        <w:rPr>
          <w:rFonts w:ascii="Calibri" w:hAnsi="Calibri" w:cs="Calibri"/>
        </w:rPr>
        <w:t>study</w:t>
      </w:r>
      <w:r>
        <w:rPr>
          <w:rFonts w:ascii="Calibri" w:hAnsi="Calibri" w:cs="Calibri"/>
        </w:rPr>
        <w:t xml:space="preserve"> in England</w:t>
      </w:r>
      <w:r w:rsidR="005A04FA">
        <w:rPr>
          <w:rFonts w:ascii="Calibri" w:hAnsi="Calibri" w:cs="Calibri"/>
        </w:rPr>
        <w:t xml:space="preserve"> is much more varied</w:t>
      </w:r>
      <w:r w:rsidR="00C53DAE">
        <w:rPr>
          <w:rFonts w:ascii="Calibri" w:hAnsi="Calibri" w:cs="Calibri"/>
        </w:rPr>
        <w:t>,</w:t>
      </w:r>
      <w:r w:rsidR="00457BB7">
        <w:rPr>
          <w:rFonts w:ascii="Calibri" w:hAnsi="Calibri" w:cs="Calibri"/>
        </w:rPr>
        <w:t xml:space="preserve"> compared to</w:t>
      </w:r>
      <w:r>
        <w:rPr>
          <w:rFonts w:ascii="Calibri" w:hAnsi="Calibri" w:cs="Calibri"/>
        </w:rPr>
        <w:t xml:space="preserve"> Northern Ireland. This can be explained by the low level of Northern Irish participants in the survey, limiting the range of schools from Northern Ireland. </w:t>
      </w:r>
    </w:p>
    <w:p w14:paraId="2ABA9ECD" w14:textId="461ECDCC" w:rsidR="005E4C3E" w:rsidRPr="00C92EE4" w:rsidRDefault="00BF3721">
      <w:pPr>
        <w:rPr>
          <w:rFonts w:ascii="Calibri" w:hAnsi="Calibri" w:cs="Calibri"/>
        </w:rPr>
      </w:pPr>
      <w:r>
        <w:rPr>
          <w:rFonts w:ascii="Calibri" w:hAnsi="Calibri" w:cs="Calibri"/>
        </w:rPr>
        <w:t xml:space="preserve">At GCSE, both Northern Irish and English schools </w:t>
      </w:r>
      <w:r w:rsidR="009822E3">
        <w:rPr>
          <w:rFonts w:ascii="Calibri" w:hAnsi="Calibri" w:cs="Calibri"/>
        </w:rPr>
        <w:t>tend to</w:t>
      </w:r>
      <w:r>
        <w:rPr>
          <w:rFonts w:ascii="Calibri" w:hAnsi="Calibri" w:cs="Calibri"/>
        </w:rPr>
        <w:t xml:space="preserve"> offer mostly hard subjects. </w:t>
      </w:r>
      <w:r w:rsidR="00A84F01">
        <w:rPr>
          <w:rFonts w:ascii="Calibri" w:hAnsi="Calibri" w:cs="Calibri"/>
        </w:rPr>
        <w:t>An explanation</w:t>
      </w:r>
      <w:r>
        <w:rPr>
          <w:rFonts w:ascii="Calibri" w:hAnsi="Calibri" w:cs="Calibri"/>
        </w:rPr>
        <w:t xml:space="preserve"> for this</w:t>
      </w:r>
      <w:r w:rsidR="00467107">
        <w:rPr>
          <w:rFonts w:ascii="Calibri" w:hAnsi="Calibri" w:cs="Calibri"/>
        </w:rPr>
        <w:t xml:space="preserve">, consistent with previous </w:t>
      </w:r>
      <w:r w:rsidR="00467107" w:rsidRPr="00C92EE4">
        <w:rPr>
          <w:rFonts w:ascii="Calibri" w:hAnsi="Calibri" w:cs="Calibri"/>
        </w:rPr>
        <w:t>literature findings, is</w:t>
      </w:r>
      <w:r w:rsidRPr="00C92EE4">
        <w:rPr>
          <w:rFonts w:ascii="Calibri" w:hAnsi="Calibri" w:cs="Calibri"/>
        </w:rPr>
        <w:t xml:space="preserve"> that</w:t>
      </w:r>
      <w:r w:rsidR="006421AA" w:rsidRPr="00C92EE4">
        <w:rPr>
          <w:rFonts w:ascii="Calibri" w:hAnsi="Calibri" w:cs="Calibri"/>
        </w:rPr>
        <w:t xml:space="preserve"> studying</w:t>
      </w:r>
      <w:r w:rsidRPr="00C92EE4">
        <w:rPr>
          <w:rFonts w:ascii="Calibri" w:hAnsi="Calibri" w:cs="Calibri"/>
        </w:rPr>
        <w:t xml:space="preserve"> </w:t>
      </w:r>
      <w:r w:rsidR="00B1639A" w:rsidRPr="00C92EE4">
        <w:rPr>
          <w:rFonts w:ascii="Calibri" w:hAnsi="Calibri" w:cs="Calibri"/>
        </w:rPr>
        <w:t xml:space="preserve">soft subjects </w:t>
      </w:r>
      <w:r w:rsidR="006421AA" w:rsidRPr="00C92EE4">
        <w:rPr>
          <w:rFonts w:ascii="Calibri" w:hAnsi="Calibri" w:cs="Calibri"/>
        </w:rPr>
        <w:t xml:space="preserve">at A-Level </w:t>
      </w:r>
      <w:r w:rsidR="00B1639A" w:rsidRPr="00C92EE4">
        <w:rPr>
          <w:rFonts w:ascii="Calibri" w:hAnsi="Calibri" w:cs="Calibri"/>
        </w:rPr>
        <w:t>do</w:t>
      </w:r>
      <w:r w:rsidR="006421AA" w:rsidRPr="00C92EE4">
        <w:rPr>
          <w:rFonts w:ascii="Calibri" w:hAnsi="Calibri" w:cs="Calibri"/>
        </w:rPr>
        <w:t>es</w:t>
      </w:r>
      <w:r w:rsidR="00B1639A" w:rsidRPr="00C92EE4">
        <w:rPr>
          <w:rFonts w:ascii="Calibri" w:hAnsi="Calibri" w:cs="Calibri"/>
        </w:rPr>
        <w:t xml:space="preserve"> not require </w:t>
      </w:r>
      <w:r w:rsidR="006421AA" w:rsidRPr="00C92EE4">
        <w:rPr>
          <w:rFonts w:ascii="Calibri" w:hAnsi="Calibri" w:cs="Calibri"/>
        </w:rPr>
        <w:t>a prior GCSE qualification</w:t>
      </w:r>
      <w:r w:rsidR="00B1639A" w:rsidRPr="00C92EE4">
        <w:rPr>
          <w:rFonts w:ascii="Calibri" w:hAnsi="Calibri" w:cs="Calibri"/>
        </w:rPr>
        <w:t xml:space="preserve"> in that subject.</w:t>
      </w:r>
      <w:r w:rsidR="00312DAB" w:rsidRPr="00C92EE4">
        <w:rPr>
          <w:rFonts w:ascii="Calibri" w:hAnsi="Calibri" w:cs="Calibri"/>
          <w:vertAlign w:val="superscript"/>
        </w:rPr>
        <w:t>12,13</w:t>
      </w:r>
      <w:r w:rsidR="00B1639A" w:rsidRPr="00C92EE4">
        <w:rPr>
          <w:rFonts w:ascii="Calibri" w:hAnsi="Calibri" w:cs="Calibri"/>
        </w:rPr>
        <w:t xml:space="preserve"> </w:t>
      </w:r>
      <w:r w:rsidR="006421AA" w:rsidRPr="00C92EE4">
        <w:rPr>
          <w:rFonts w:ascii="Calibri" w:hAnsi="Calibri" w:cs="Calibri"/>
        </w:rPr>
        <w:t>Therefore, schools emphasise</w:t>
      </w:r>
      <w:r w:rsidRPr="00C92EE4">
        <w:rPr>
          <w:rFonts w:ascii="Calibri" w:hAnsi="Calibri" w:cs="Calibri"/>
        </w:rPr>
        <w:t xml:space="preserve"> hard subjects </w:t>
      </w:r>
      <w:r w:rsidR="006421AA" w:rsidRPr="00C92EE4">
        <w:rPr>
          <w:rFonts w:ascii="Calibri" w:hAnsi="Calibri" w:cs="Calibri"/>
        </w:rPr>
        <w:t>at GCSE because it will not</w:t>
      </w:r>
      <w:r w:rsidRPr="00C92EE4">
        <w:rPr>
          <w:rFonts w:ascii="Calibri" w:hAnsi="Calibri" w:cs="Calibri"/>
        </w:rPr>
        <w:t xml:space="preserve"> affect a student’s choice of subjects at A-Level. </w:t>
      </w:r>
      <w:r w:rsidR="00A63EBA" w:rsidRPr="00C92EE4">
        <w:rPr>
          <w:rFonts w:ascii="Calibri" w:hAnsi="Calibri" w:cs="Calibri"/>
        </w:rPr>
        <w:t>Moreover, r</w:t>
      </w:r>
      <w:r w:rsidR="009822E3" w:rsidRPr="00C92EE4">
        <w:rPr>
          <w:rFonts w:ascii="Calibri" w:hAnsi="Calibri" w:cs="Calibri"/>
        </w:rPr>
        <w:t>esults demonstrate that England</w:t>
      </w:r>
      <w:r w:rsidRPr="00C92EE4">
        <w:rPr>
          <w:rFonts w:ascii="Calibri" w:hAnsi="Calibri" w:cs="Calibri"/>
        </w:rPr>
        <w:t xml:space="preserve"> prioritise</w:t>
      </w:r>
      <w:r w:rsidR="009822E3" w:rsidRPr="00C92EE4">
        <w:rPr>
          <w:rFonts w:ascii="Calibri" w:hAnsi="Calibri" w:cs="Calibri"/>
        </w:rPr>
        <w:t>s</w:t>
      </w:r>
      <w:r w:rsidRPr="00C92EE4">
        <w:rPr>
          <w:rFonts w:ascii="Calibri" w:hAnsi="Calibri" w:cs="Calibri"/>
        </w:rPr>
        <w:t xml:space="preserve"> computer science over Digital Technology/ICT, which is considered the harder version of ICT, at both GCSE and A-level. The </w:t>
      </w:r>
      <w:r w:rsidR="00545846" w:rsidRPr="00C92EE4">
        <w:rPr>
          <w:rFonts w:ascii="Calibri" w:hAnsi="Calibri" w:cs="Calibri"/>
        </w:rPr>
        <w:t>reasons for this</w:t>
      </w:r>
      <w:r w:rsidRPr="00C92EE4">
        <w:rPr>
          <w:rFonts w:ascii="Calibri" w:hAnsi="Calibri" w:cs="Calibri"/>
        </w:rPr>
        <w:t xml:space="preserve"> </w:t>
      </w:r>
      <w:r w:rsidR="00DD3586" w:rsidRPr="00C92EE4">
        <w:rPr>
          <w:rFonts w:ascii="Calibri" w:hAnsi="Calibri" w:cs="Calibri"/>
        </w:rPr>
        <w:t>remain</w:t>
      </w:r>
      <w:r w:rsidRPr="00C92EE4">
        <w:rPr>
          <w:rFonts w:ascii="Calibri" w:hAnsi="Calibri" w:cs="Calibri"/>
        </w:rPr>
        <w:t xml:space="preserve"> unc</w:t>
      </w:r>
      <w:r w:rsidR="00545846" w:rsidRPr="00C92EE4">
        <w:rPr>
          <w:rFonts w:ascii="Calibri" w:hAnsi="Calibri" w:cs="Calibri"/>
        </w:rPr>
        <w:t>lear</w:t>
      </w:r>
      <w:r w:rsidR="00DD3586" w:rsidRPr="00C92EE4">
        <w:rPr>
          <w:rFonts w:ascii="Calibri" w:hAnsi="Calibri" w:cs="Calibri"/>
        </w:rPr>
        <w:t>, highlighting a gap in literature on subject prioritisation</w:t>
      </w:r>
      <w:r w:rsidRPr="00C92EE4">
        <w:rPr>
          <w:rFonts w:ascii="Calibri" w:hAnsi="Calibri" w:cs="Calibri"/>
        </w:rPr>
        <w:t>.</w:t>
      </w:r>
    </w:p>
    <w:p w14:paraId="2ABA9ECE" w14:textId="0ECEC978" w:rsidR="005E4C3E" w:rsidRPr="00C92EE4" w:rsidRDefault="00BF3721">
      <w:pPr>
        <w:rPr>
          <w:rFonts w:ascii="Calibri" w:hAnsi="Calibri" w:cs="Calibri"/>
        </w:rPr>
      </w:pPr>
      <w:r w:rsidRPr="00C92EE4">
        <w:rPr>
          <w:rFonts w:ascii="Calibri" w:hAnsi="Calibri" w:cs="Calibri"/>
        </w:rPr>
        <w:t xml:space="preserve">From GCSE to A-level, </w:t>
      </w:r>
      <w:r w:rsidR="000D1500" w:rsidRPr="000D1500">
        <w:rPr>
          <w:rFonts w:ascii="Calibri" w:hAnsi="Calibri" w:cs="Calibri"/>
        </w:rPr>
        <w:t>the proportion of schools offering further mathematics increases in England but decreases in Northern Ireland</w:t>
      </w:r>
      <w:r w:rsidRPr="00C92EE4">
        <w:rPr>
          <w:rFonts w:ascii="Calibri" w:hAnsi="Calibri" w:cs="Calibri"/>
        </w:rPr>
        <w:t xml:space="preserve">. This is most likely because further mathematics at A-Level does not require the GCSE but is very advantageous. There is no prior research </w:t>
      </w:r>
      <w:r w:rsidR="00457BB7" w:rsidRPr="00C92EE4">
        <w:rPr>
          <w:rFonts w:ascii="Calibri" w:hAnsi="Calibri" w:cs="Calibri"/>
        </w:rPr>
        <w:t>that explains this</w:t>
      </w:r>
      <w:r w:rsidRPr="00C92EE4">
        <w:rPr>
          <w:rFonts w:ascii="Calibri" w:hAnsi="Calibri" w:cs="Calibri"/>
        </w:rPr>
        <w:t xml:space="preserve">, but it is highly likely </w:t>
      </w:r>
      <w:r w:rsidR="00E82602">
        <w:rPr>
          <w:rFonts w:ascii="Calibri" w:hAnsi="Calibri" w:cs="Calibri"/>
        </w:rPr>
        <w:t>the schools have different priorities.</w:t>
      </w:r>
      <w:r w:rsidRPr="00C92EE4">
        <w:rPr>
          <w:rFonts w:ascii="Calibri" w:hAnsi="Calibri" w:cs="Calibri"/>
        </w:rPr>
        <w:t xml:space="preserve"> Northern Irish schools </w:t>
      </w:r>
      <w:r w:rsidR="002B3531">
        <w:rPr>
          <w:rFonts w:ascii="Calibri" w:hAnsi="Calibri" w:cs="Calibri"/>
        </w:rPr>
        <w:t>prepare</w:t>
      </w:r>
      <w:r w:rsidRPr="00C92EE4">
        <w:rPr>
          <w:rFonts w:ascii="Calibri" w:hAnsi="Calibri" w:cs="Calibri"/>
        </w:rPr>
        <w:t xml:space="preserve"> students for the A-Level, while English schools </w:t>
      </w:r>
      <w:r w:rsidR="002B3531">
        <w:rPr>
          <w:rFonts w:ascii="Calibri" w:hAnsi="Calibri" w:cs="Calibri"/>
        </w:rPr>
        <w:t>encourage broad</w:t>
      </w:r>
      <w:r w:rsidR="00994E83">
        <w:rPr>
          <w:rFonts w:ascii="Calibri" w:hAnsi="Calibri" w:cs="Calibri"/>
        </w:rPr>
        <w:t>er</w:t>
      </w:r>
      <w:r w:rsidR="002B3531">
        <w:rPr>
          <w:rFonts w:ascii="Calibri" w:hAnsi="Calibri" w:cs="Calibri"/>
        </w:rPr>
        <w:t xml:space="preserve"> GCSE subjects</w:t>
      </w:r>
      <w:r w:rsidRPr="00C92EE4">
        <w:rPr>
          <w:rFonts w:ascii="Calibri" w:hAnsi="Calibri" w:cs="Calibri"/>
        </w:rPr>
        <w:t xml:space="preserve">. </w:t>
      </w:r>
    </w:p>
    <w:p w14:paraId="2ABA9ECF" w14:textId="3E851529" w:rsidR="005E4C3E" w:rsidRDefault="00BF3721">
      <w:pPr>
        <w:rPr>
          <w:rFonts w:ascii="Calibri" w:hAnsi="Calibri" w:cs="Calibri"/>
        </w:rPr>
      </w:pPr>
      <w:r w:rsidRPr="00C92EE4">
        <w:rPr>
          <w:rFonts w:ascii="Calibri" w:hAnsi="Calibri" w:cs="Calibri"/>
        </w:rPr>
        <w:t xml:space="preserve">At A-level, Northern Irish schools’ subject offerings seem to </w:t>
      </w:r>
      <w:r w:rsidR="00AC012C">
        <w:rPr>
          <w:rFonts w:ascii="Calibri" w:hAnsi="Calibri" w:cs="Calibri"/>
        </w:rPr>
        <w:t xml:space="preserve">be </w:t>
      </w:r>
      <w:r w:rsidR="0006236F">
        <w:rPr>
          <w:rFonts w:ascii="Calibri" w:hAnsi="Calibri" w:cs="Calibri"/>
        </w:rPr>
        <w:t>narrower, with a few hard and soft subjects.</w:t>
      </w:r>
      <w:r w:rsidRPr="00C92EE4">
        <w:rPr>
          <w:rFonts w:ascii="Calibri" w:hAnsi="Calibri" w:cs="Calibri"/>
        </w:rPr>
        <w:t xml:space="preserve"> English schools’ subject offerings are more diverse and include a lot of soft subjects. This </w:t>
      </w:r>
      <w:r w:rsidR="00075315" w:rsidRPr="00C92EE4">
        <w:rPr>
          <w:rFonts w:ascii="Calibri" w:hAnsi="Calibri" w:cs="Calibri"/>
        </w:rPr>
        <w:t xml:space="preserve">trend is consistent </w:t>
      </w:r>
      <w:r w:rsidR="00942017" w:rsidRPr="00C92EE4">
        <w:rPr>
          <w:rFonts w:ascii="Calibri" w:hAnsi="Calibri" w:cs="Calibri"/>
        </w:rPr>
        <w:t>with previous literature that mention</w:t>
      </w:r>
      <w:r w:rsidR="00937EEA" w:rsidRPr="00C92EE4">
        <w:rPr>
          <w:rFonts w:ascii="Calibri" w:hAnsi="Calibri" w:cs="Calibri"/>
        </w:rPr>
        <w:t xml:space="preserve"> </w:t>
      </w:r>
      <w:r w:rsidR="00942017" w:rsidRPr="00C92EE4">
        <w:rPr>
          <w:rFonts w:ascii="Calibri" w:hAnsi="Calibri" w:cs="Calibri"/>
        </w:rPr>
        <w:t xml:space="preserve">some </w:t>
      </w:r>
      <w:r w:rsidRPr="00C92EE4">
        <w:rPr>
          <w:rFonts w:ascii="Calibri" w:hAnsi="Calibri" w:cs="Calibri"/>
        </w:rPr>
        <w:t>schools priorit</w:t>
      </w:r>
      <w:r w:rsidR="00942017" w:rsidRPr="00C92EE4">
        <w:rPr>
          <w:rFonts w:ascii="Calibri" w:hAnsi="Calibri" w:cs="Calibri"/>
        </w:rPr>
        <w:t xml:space="preserve">ise </w:t>
      </w:r>
      <w:r w:rsidRPr="00C92EE4">
        <w:rPr>
          <w:rFonts w:ascii="Calibri" w:hAnsi="Calibri" w:cs="Calibri"/>
        </w:rPr>
        <w:t>the school’s overall ranking</w:t>
      </w:r>
      <w:r w:rsidR="00942017" w:rsidRPr="00C92EE4">
        <w:rPr>
          <w:rFonts w:ascii="Calibri" w:hAnsi="Calibri" w:cs="Calibri"/>
        </w:rPr>
        <w:t>.</w:t>
      </w:r>
      <w:r w:rsidR="00DC0AA6" w:rsidRPr="00C92EE4">
        <w:rPr>
          <w:rFonts w:ascii="Calibri" w:hAnsi="Calibri" w:cs="Calibri"/>
          <w:vertAlign w:val="superscript"/>
        </w:rPr>
        <w:t>11</w:t>
      </w:r>
      <w:r w:rsidR="00942017">
        <w:rPr>
          <w:rFonts w:ascii="Calibri" w:hAnsi="Calibri" w:cs="Calibri"/>
        </w:rPr>
        <w:t xml:space="preserve"> Therefore,</w:t>
      </w:r>
      <w:r>
        <w:rPr>
          <w:rFonts w:ascii="Calibri" w:hAnsi="Calibri" w:cs="Calibri"/>
        </w:rPr>
        <w:t xml:space="preserve"> </w:t>
      </w:r>
      <w:r w:rsidR="00942017">
        <w:rPr>
          <w:rFonts w:ascii="Calibri" w:hAnsi="Calibri" w:cs="Calibri"/>
        </w:rPr>
        <w:t>they provide</w:t>
      </w:r>
      <w:r>
        <w:rPr>
          <w:rFonts w:ascii="Calibri" w:hAnsi="Calibri" w:cs="Calibri"/>
        </w:rPr>
        <w:t xml:space="preserve"> softer subjects that are considered easier, to improve average grade attainment</w:t>
      </w:r>
      <w:r w:rsidR="00942017">
        <w:rPr>
          <w:rFonts w:ascii="Calibri" w:hAnsi="Calibri" w:cs="Calibri"/>
        </w:rPr>
        <w:t>.</w:t>
      </w:r>
    </w:p>
    <w:p w14:paraId="2ABA9ED0" w14:textId="2F9B367A" w:rsidR="005E4C3E" w:rsidRDefault="00BF3721">
      <w:r>
        <w:rPr>
          <w:rFonts w:ascii="Calibri" w:hAnsi="Calibri" w:cs="Calibri"/>
        </w:rPr>
        <w:t xml:space="preserve">However, most of these </w:t>
      </w:r>
      <w:r w:rsidR="00D1515C">
        <w:rPr>
          <w:rFonts w:ascii="Calibri" w:hAnsi="Calibri" w:cs="Calibri"/>
        </w:rPr>
        <w:t>disparities</w:t>
      </w:r>
      <w:r>
        <w:rPr>
          <w:rFonts w:ascii="Calibri" w:hAnsi="Calibri" w:cs="Calibri"/>
        </w:rPr>
        <w:t xml:space="preserve"> may be explained by school funding. </w:t>
      </w:r>
      <w:r w:rsidR="00D1515C">
        <w:rPr>
          <w:rFonts w:ascii="Calibri" w:hAnsi="Calibri" w:cs="Calibri"/>
        </w:rPr>
        <w:t>The department of Education for the tw</w:t>
      </w:r>
      <w:r w:rsidR="00CC6C1E">
        <w:rPr>
          <w:rFonts w:ascii="Calibri" w:hAnsi="Calibri" w:cs="Calibri"/>
        </w:rPr>
        <w:t>o</w:t>
      </w:r>
      <w:r w:rsidR="00D1515C">
        <w:rPr>
          <w:rFonts w:ascii="Calibri" w:hAnsi="Calibri" w:cs="Calibri"/>
        </w:rPr>
        <w:t xml:space="preserve"> nations </w:t>
      </w:r>
      <w:r w:rsidR="00CC6C1E">
        <w:rPr>
          <w:rFonts w:ascii="Calibri" w:hAnsi="Calibri" w:cs="Calibri"/>
        </w:rPr>
        <w:t>have highlighted that s</w:t>
      </w:r>
      <w:r>
        <w:rPr>
          <w:rFonts w:ascii="Calibri" w:hAnsi="Calibri" w:cs="Calibri"/>
        </w:rPr>
        <w:t>tate schools in England and Northern Ireland are partly funded based off school size.</w:t>
      </w:r>
      <w:r>
        <w:rPr>
          <w:rFonts w:ascii="Calibri" w:hAnsi="Calibri" w:cs="Calibri"/>
          <w:vertAlign w:val="superscript"/>
        </w:rPr>
        <w:t>36, 37</w:t>
      </w:r>
      <w:r>
        <w:rPr>
          <w:rFonts w:ascii="Calibri" w:hAnsi="Calibri" w:cs="Calibri"/>
        </w:rPr>
        <w:t xml:space="preserve"> England have bigger schools on average (800) compared to Northern Ireland (500).</w:t>
      </w:r>
      <w:r>
        <w:rPr>
          <w:rFonts w:ascii="Calibri" w:hAnsi="Calibri" w:cs="Calibri"/>
          <w:vertAlign w:val="superscript"/>
        </w:rPr>
        <w:t>38</w:t>
      </w:r>
      <w:r>
        <w:rPr>
          <w:rFonts w:ascii="Calibri" w:hAnsi="Calibri" w:cs="Calibri"/>
        </w:rPr>
        <w:t xml:space="preserve"> Therefore, most English state schools will receive more funding and be able to offer more subjects, extracurriculars and better equipment required for computer science. </w:t>
      </w:r>
    </w:p>
    <w:p w14:paraId="2ABA9ED1" w14:textId="20A344B7" w:rsidR="005E4C3E" w:rsidRDefault="00BF3721">
      <w:pPr>
        <w:rPr>
          <w:rFonts w:ascii="Calibri" w:hAnsi="Calibri" w:cs="Calibri"/>
        </w:rPr>
      </w:pPr>
      <w:r>
        <w:rPr>
          <w:rFonts w:ascii="Calibri" w:hAnsi="Calibri" w:cs="Calibri"/>
        </w:rPr>
        <w:lastRenderedPageBreak/>
        <w:t>It is important to note that by offering a narrower range of subjects, limits Northern Irish students’ choice to tailor their studies to their strengths and interests. This may cause students to feel compelled to take subjects that are not suited to their abilities, which can negatively impact their overall attainment. Lower grades can then limit university course options and career pathways. This structural disadvantage reduces access to higher education opportunities and restricts long-term professional prospects for Northern Irish students.</w:t>
      </w:r>
    </w:p>
    <w:p w14:paraId="2ABA9ED2" w14:textId="77777777" w:rsidR="005E4C3E" w:rsidRDefault="005E4C3E">
      <w:pPr>
        <w:rPr>
          <w:rFonts w:ascii="Calibri" w:hAnsi="Calibri" w:cs="Calibri"/>
        </w:rPr>
      </w:pPr>
    </w:p>
    <w:p w14:paraId="2ABA9ED3" w14:textId="77777777" w:rsidR="005E4C3E" w:rsidRDefault="00BF3721">
      <w:pPr>
        <w:rPr>
          <w:rFonts w:ascii="Calibri" w:hAnsi="Calibri" w:cs="Calibri"/>
          <w:sz w:val="28"/>
          <w:szCs w:val="28"/>
        </w:rPr>
      </w:pPr>
      <w:r>
        <w:rPr>
          <w:rFonts w:ascii="Calibri" w:hAnsi="Calibri" w:cs="Calibri"/>
          <w:sz w:val="28"/>
          <w:szCs w:val="28"/>
        </w:rPr>
        <w:t>Extracurricular Offerings</w:t>
      </w:r>
    </w:p>
    <w:p w14:paraId="2ABA9ED4" w14:textId="04C85336" w:rsidR="005E4C3E" w:rsidRPr="00DC0AA6" w:rsidRDefault="00BF3721">
      <w:pPr>
        <w:rPr>
          <w:rFonts w:ascii="Calibri" w:hAnsi="Calibri" w:cs="Calibri"/>
          <w:vertAlign w:val="superscript"/>
        </w:rPr>
      </w:pPr>
      <w:r>
        <w:rPr>
          <w:rFonts w:ascii="Calibri" w:hAnsi="Calibri" w:cs="Calibri"/>
        </w:rPr>
        <w:t>Analysis reveals English schools tend to offer</w:t>
      </w:r>
      <w:r w:rsidR="002440CA">
        <w:rPr>
          <w:rFonts w:ascii="Calibri" w:hAnsi="Calibri" w:cs="Calibri"/>
        </w:rPr>
        <w:t xml:space="preserve"> a wider range of</w:t>
      </w:r>
      <w:r>
        <w:rPr>
          <w:rFonts w:ascii="Calibri" w:hAnsi="Calibri" w:cs="Calibri"/>
        </w:rPr>
        <w:t xml:space="preserve"> extracurriculars than Northern Irish Schools</w:t>
      </w:r>
      <w:r w:rsidR="00197A2A">
        <w:rPr>
          <w:rFonts w:ascii="Calibri" w:hAnsi="Calibri" w:cs="Calibri"/>
        </w:rPr>
        <w:t xml:space="preserve">. </w:t>
      </w:r>
      <w:r w:rsidR="00690C9F">
        <w:rPr>
          <w:rFonts w:ascii="Calibri" w:hAnsi="Calibri" w:cs="Calibri"/>
        </w:rPr>
        <w:t>As literature notes,</w:t>
      </w:r>
      <w:r>
        <w:rPr>
          <w:rFonts w:ascii="Calibri" w:hAnsi="Calibri" w:cs="Calibri"/>
        </w:rPr>
        <w:t xml:space="preserve"> Northern Irish schools</w:t>
      </w:r>
      <w:r w:rsidR="00690C9F">
        <w:rPr>
          <w:rFonts w:ascii="Calibri" w:hAnsi="Calibri" w:cs="Calibri"/>
        </w:rPr>
        <w:t xml:space="preserve"> have a</w:t>
      </w:r>
      <w:r w:rsidR="00E204CF">
        <w:rPr>
          <w:rFonts w:ascii="Calibri" w:hAnsi="Calibri" w:cs="Calibri"/>
        </w:rPr>
        <w:t xml:space="preserve"> smaller </w:t>
      </w:r>
      <w:r>
        <w:rPr>
          <w:rFonts w:ascii="Calibri" w:hAnsi="Calibri" w:cs="Calibri"/>
        </w:rPr>
        <w:t xml:space="preserve">average population, hence </w:t>
      </w:r>
      <w:r w:rsidR="008D687C">
        <w:rPr>
          <w:rFonts w:ascii="Calibri" w:hAnsi="Calibri" w:cs="Calibri"/>
        </w:rPr>
        <w:t>this reduces the demand for less commonly available activities</w:t>
      </w:r>
      <w:r w:rsidR="009B0D88">
        <w:rPr>
          <w:rFonts w:ascii="Calibri" w:hAnsi="Calibri" w:cs="Calibri"/>
        </w:rPr>
        <w:t xml:space="preserve"> and the funding available </w:t>
      </w:r>
      <w:r>
        <w:rPr>
          <w:rFonts w:ascii="Calibri" w:hAnsi="Calibri" w:cs="Calibri"/>
        </w:rPr>
        <w:t xml:space="preserve">to pay for coaches, equipment and supervision </w:t>
      </w:r>
      <w:r w:rsidRPr="00C92EE4">
        <w:rPr>
          <w:rFonts w:ascii="Calibri" w:hAnsi="Calibri" w:cs="Calibri"/>
        </w:rPr>
        <w:t>staff.</w:t>
      </w:r>
      <w:r w:rsidR="00DC0AA6" w:rsidRPr="00C92EE4">
        <w:rPr>
          <w:rFonts w:ascii="Calibri" w:hAnsi="Calibri" w:cs="Calibri"/>
          <w:vertAlign w:val="superscript"/>
        </w:rPr>
        <w:t>37,38</w:t>
      </w:r>
    </w:p>
    <w:p w14:paraId="2ABA9ED5" w14:textId="0EEAAF63" w:rsidR="005E4C3E" w:rsidRDefault="0058383A">
      <w:pPr>
        <w:rPr>
          <w:rFonts w:ascii="Calibri" w:hAnsi="Calibri" w:cs="Calibri"/>
        </w:rPr>
      </w:pPr>
      <w:r>
        <w:rPr>
          <w:rFonts w:ascii="Calibri" w:hAnsi="Calibri" w:cs="Calibri"/>
        </w:rPr>
        <w:t>Additionally, E</w:t>
      </w:r>
      <w:r w:rsidR="00BF3721">
        <w:rPr>
          <w:rFonts w:ascii="Calibri" w:hAnsi="Calibri" w:cs="Calibri"/>
        </w:rPr>
        <w:t xml:space="preserve">nglish schools offer super curriculars, such as subject societies which top Russell </w:t>
      </w:r>
      <w:r w:rsidR="000F393F">
        <w:rPr>
          <w:rFonts w:ascii="Calibri" w:hAnsi="Calibri" w:cs="Calibri"/>
        </w:rPr>
        <w:t>G</w:t>
      </w:r>
      <w:r w:rsidR="00BF3721">
        <w:rPr>
          <w:rFonts w:ascii="Calibri" w:hAnsi="Calibri" w:cs="Calibri"/>
        </w:rPr>
        <w:t xml:space="preserve">roup universities favour, that Northern Irish schools do not. This </w:t>
      </w:r>
      <w:r w:rsidR="00645DF4">
        <w:rPr>
          <w:rFonts w:ascii="Calibri" w:hAnsi="Calibri" w:cs="Calibri"/>
        </w:rPr>
        <w:t>might be attributed to</w:t>
      </w:r>
      <w:r w:rsidR="00BF3721">
        <w:rPr>
          <w:rFonts w:ascii="Calibri" w:hAnsi="Calibri" w:cs="Calibri"/>
        </w:rPr>
        <w:t xml:space="preserve"> Northern Irish </w:t>
      </w:r>
      <w:r w:rsidR="00645DF4">
        <w:rPr>
          <w:rFonts w:ascii="Calibri" w:hAnsi="Calibri" w:cs="Calibri"/>
        </w:rPr>
        <w:t>students favouring</w:t>
      </w:r>
      <w:r w:rsidR="00BF3721">
        <w:rPr>
          <w:rFonts w:ascii="Calibri" w:hAnsi="Calibri" w:cs="Calibri"/>
        </w:rPr>
        <w:t xml:space="preserve"> Queen’s University Belfast, a Russell </w:t>
      </w:r>
      <w:r w:rsidR="000F393F">
        <w:rPr>
          <w:rFonts w:ascii="Calibri" w:hAnsi="Calibri" w:cs="Calibri"/>
        </w:rPr>
        <w:t>G</w:t>
      </w:r>
      <w:r w:rsidR="00BF3721">
        <w:rPr>
          <w:rFonts w:ascii="Calibri" w:hAnsi="Calibri" w:cs="Calibri"/>
        </w:rPr>
        <w:t xml:space="preserve">roup university in Northern Ireland </w:t>
      </w:r>
      <w:r w:rsidR="00C3773C">
        <w:rPr>
          <w:rFonts w:ascii="Calibri" w:hAnsi="Calibri" w:cs="Calibri"/>
        </w:rPr>
        <w:t>that is considered the United Kingdom’s most affordable city.</w:t>
      </w:r>
      <w:r w:rsidR="00CE7D35">
        <w:rPr>
          <w:rFonts w:ascii="Calibri" w:hAnsi="Calibri" w:cs="Calibri"/>
          <w:vertAlign w:val="superscript"/>
        </w:rPr>
        <w:t>39</w:t>
      </w:r>
      <w:r w:rsidR="00C3773C">
        <w:rPr>
          <w:rFonts w:ascii="Calibri" w:hAnsi="Calibri" w:cs="Calibri"/>
        </w:rPr>
        <w:t xml:space="preserve"> </w:t>
      </w:r>
      <w:r w:rsidR="00E4348C">
        <w:rPr>
          <w:rFonts w:ascii="Calibri" w:hAnsi="Calibri" w:cs="Calibri"/>
        </w:rPr>
        <w:t>Hence, there is less demand on schools to provide super curriculars</w:t>
      </w:r>
      <w:r w:rsidR="0034366D">
        <w:rPr>
          <w:rFonts w:ascii="Calibri" w:hAnsi="Calibri" w:cs="Calibri"/>
        </w:rPr>
        <w:t>.</w:t>
      </w:r>
    </w:p>
    <w:p w14:paraId="2ABA9ED6" w14:textId="23D45BCD" w:rsidR="005E4C3E" w:rsidRDefault="00BF3721">
      <w:pPr>
        <w:rPr>
          <w:rFonts w:ascii="Calibri" w:hAnsi="Calibri" w:cs="Calibri"/>
        </w:rPr>
      </w:pPr>
      <w:r>
        <w:rPr>
          <w:rFonts w:ascii="Calibri" w:hAnsi="Calibri" w:cs="Calibri"/>
        </w:rPr>
        <w:t xml:space="preserve">This slim range of extracurriculars offered in Northern Irish schools may result in </w:t>
      </w:r>
      <w:r w:rsidR="00063744">
        <w:rPr>
          <w:rFonts w:ascii="Calibri" w:hAnsi="Calibri" w:cs="Calibri"/>
        </w:rPr>
        <w:t>fewer</w:t>
      </w:r>
      <w:r>
        <w:rPr>
          <w:rFonts w:ascii="Calibri" w:hAnsi="Calibri" w:cs="Calibri"/>
        </w:rPr>
        <w:t xml:space="preserve"> students engaging with them. This disparity places Northern Irish applicants at a significant disadvantage</w:t>
      </w:r>
      <w:r w:rsidR="00D86167">
        <w:rPr>
          <w:rFonts w:ascii="Calibri" w:hAnsi="Calibri" w:cs="Calibri"/>
        </w:rPr>
        <w:t xml:space="preserve"> </w:t>
      </w:r>
      <w:r w:rsidR="00EB4779">
        <w:rPr>
          <w:rFonts w:ascii="Calibri" w:hAnsi="Calibri" w:cs="Calibri"/>
        </w:rPr>
        <w:t>in comparison to</w:t>
      </w:r>
      <w:r>
        <w:rPr>
          <w:rFonts w:ascii="Calibri" w:hAnsi="Calibri" w:cs="Calibri"/>
        </w:rPr>
        <w:t xml:space="preserve"> English students</w:t>
      </w:r>
      <w:r w:rsidR="00EB4779">
        <w:rPr>
          <w:rFonts w:ascii="Calibri" w:hAnsi="Calibri" w:cs="Calibri"/>
        </w:rPr>
        <w:t xml:space="preserve">, who </w:t>
      </w:r>
      <w:r>
        <w:rPr>
          <w:rFonts w:ascii="Calibri" w:hAnsi="Calibri" w:cs="Calibri"/>
        </w:rPr>
        <w:t>are more likely to take part in extracurriculars</w:t>
      </w:r>
      <w:r w:rsidR="000907F8">
        <w:rPr>
          <w:rFonts w:ascii="Calibri" w:hAnsi="Calibri" w:cs="Calibri"/>
        </w:rPr>
        <w:t>.</w:t>
      </w:r>
      <w:r>
        <w:rPr>
          <w:rFonts w:ascii="Calibri" w:hAnsi="Calibri" w:cs="Calibri"/>
        </w:rPr>
        <w:t xml:space="preserve"> </w:t>
      </w:r>
      <w:r w:rsidR="00537EB6">
        <w:rPr>
          <w:rFonts w:ascii="Calibri" w:hAnsi="Calibri" w:cs="Calibri"/>
        </w:rPr>
        <w:t>Prior literature</w:t>
      </w:r>
      <w:r w:rsidR="006F63BA">
        <w:rPr>
          <w:rFonts w:ascii="Calibri" w:hAnsi="Calibri" w:cs="Calibri"/>
        </w:rPr>
        <w:t xml:space="preserve"> emphasise</w:t>
      </w:r>
      <w:r w:rsidR="00EF3AC7">
        <w:rPr>
          <w:rFonts w:ascii="Calibri" w:hAnsi="Calibri" w:cs="Calibri"/>
        </w:rPr>
        <w:t>s that</w:t>
      </w:r>
      <w:r w:rsidR="000907F8">
        <w:rPr>
          <w:rFonts w:ascii="Calibri" w:hAnsi="Calibri" w:cs="Calibri"/>
        </w:rPr>
        <w:t xml:space="preserve"> </w:t>
      </w:r>
      <w:r w:rsidR="006F63BA">
        <w:rPr>
          <w:rFonts w:ascii="Calibri" w:hAnsi="Calibri" w:cs="Calibri"/>
        </w:rPr>
        <w:t xml:space="preserve">these activities </w:t>
      </w:r>
      <w:r>
        <w:rPr>
          <w:rFonts w:ascii="Calibri" w:hAnsi="Calibri" w:cs="Calibri"/>
        </w:rPr>
        <w:t>showcase vital skills such as teamwork, passion for their subject…etc</w:t>
      </w:r>
      <w:r w:rsidR="00E14016">
        <w:rPr>
          <w:rFonts w:ascii="Calibri" w:hAnsi="Calibri" w:cs="Calibri"/>
        </w:rPr>
        <w:t>,</w:t>
      </w:r>
      <w:r w:rsidR="006F63BA">
        <w:rPr>
          <w:rFonts w:ascii="Calibri" w:hAnsi="Calibri" w:cs="Calibri"/>
        </w:rPr>
        <w:t xml:space="preserve"> which is favoured by </w:t>
      </w:r>
      <w:r w:rsidR="006F63BA" w:rsidRPr="00C173C7">
        <w:rPr>
          <w:rFonts w:ascii="Calibri" w:hAnsi="Calibri" w:cs="Calibri"/>
        </w:rPr>
        <w:t>top universities.</w:t>
      </w:r>
      <w:r w:rsidR="00C173C7">
        <w:rPr>
          <w:rFonts w:ascii="Calibri" w:hAnsi="Calibri" w:cs="Calibri"/>
          <w:vertAlign w:val="superscript"/>
        </w:rPr>
        <w:t>7,9</w:t>
      </w:r>
      <w:r w:rsidR="006F63BA">
        <w:rPr>
          <w:rFonts w:ascii="Calibri" w:hAnsi="Calibri" w:cs="Calibri"/>
        </w:rPr>
        <w:t xml:space="preserve"> </w:t>
      </w:r>
      <w:r w:rsidR="00E14016">
        <w:rPr>
          <w:rFonts w:ascii="Calibri" w:hAnsi="Calibri" w:cs="Calibri"/>
        </w:rPr>
        <w:t>This</w:t>
      </w:r>
      <w:r>
        <w:rPr>
          <w:rFonts w:ascii="Calibri" w:hAnsi="Calibri" w:cs="Calibri"/>
        </w:rPr>
        <w:t xml:space="preserve"> improves </w:t>
      </w:r>
      <w:r w:rsidR="00E14016">
        <w:rPr>
          <w:rFonts w:ascii="Calibri" w:hAnsi="Calibri" w:cs="Calibri"/>
        </w:rPr>
        <w:t>English students’</w:t>
      </w:r>
      <w:r>
        <w:rPr>
          <w:rFonts w:ascii="Calibri" w:hAnsi="Calibri" w:cs="Calibri"/>
        </w:rPr>
        <w:t xml:space="preserve"> chances of securing places at prestigious universities. As a result, this reinforces regional inequalities in higher education access, creating an unfair advantage for English students while restricting the opportunities available to equally capable students in Northern Ireland</w:t>
      </w:r>
    </w:p>
    <w:p w14:paraId="2ABA9ED7" w14:textId="77777777" w:rsidR="005E4C3E" w:rsidRDefault="00BF3721">
      <w:pPr>
        <w:rPr>
          <w:rFonts w:ascii="Calibri" w:hAnsi="Calibri" w:cs="Calibri"/>
          <w:sz w:val="28"/>
          <w:szCs w:val="28"/>
        </w:rPr>
      </w:pPr>
      <w:r>
        <w:rPr>
          <w:rFonts w:ascii="Calibri" w:hAnsi="Calibri" w:cs="Calibri"/>
          <w:sz w:val="28"/>
          <w:szCs w:val="28"/>
        </w:rPr>
        <w:t>Student Support</w:t>
      </w:r>
    </w:p>
    <w:p w14:paraId="2ABA9ED8" w14:textId="7FED3FCD" w:rsidR="005E4C3E" w:rsidRDefault="00FA57A0">
      <w:pPr>
        <w:rPr>
          <w:rFonts w:ascii="Calibri" w:hAnsi="Calibri" w:cs="Calibri"/>
        </w:rPr>
      </w:pPr>
      <w:r>
        <w:rPr>
          <w:rFonts w:ascii="Calibri" w:hAnsi="Calibri" w:cs="Calibri"/>
        </w:rPr>
        <w:t>Findings indicate</w:t>
      </w:r>
      <w:r w:rsidR="00BF3721">
        <w:rPr>
          <w:rFonts w:ascii="Calibri" w:hAnsi="Calibri" w:cs="Calibri"/>
        </w:rPr>
        <w:t xml:space="preserve"> there </w:t>
      </w:r>
      <w:r>
        <w:rPr>
          <w:rFonts w:ascii="Calibri" w:hAnsi="Calibri" w:cs="Calibri"/>
        </w:rPr>
        <w:t>are</w:t>
      </w:r>
      <w:r w:rsidR="00BF3721">
        <w:rPr>
          <w:rFonts w:ascii="Calibri" w:hAnsi="Calibri" w:cs="Calibri"/>
        </w:rPr>
        <w:t xml:space="preserve"> similar</w:t>
      </w:r>
      <w:r>
        <w:rPr>
          <w:rFonts w:ascii="Calibri" w:hAnsi="Calibri" w:cs="Calibri"/>
        </w:rPr>
        <w:t>,</w:t>
      </w:r>
      <w:r w:rsidR="00BF3721">
        <w:rPr>
          <w:rFonts w:ascii="Calibri" w:hAnsi="Calibri" w:cs="Calibri"/>
        </w:rPr>
        <w:t xml:space="preserve"> high levels of communication between schools and pupils in Northern Ireland and England regarding opportunities outside of school, showing active efforts from the schools.</w:t>
      </w:r>
    </w:p>
    <w:p w14:paraId="2ABA9ED9" w14:textId="72BDBAF9" w:rsidR="005E4C3E" w:rsidRDefault="00BF3721">
      <w:pPr>
        <w:rPr>
          <w:rFonts w:ascii="Calibri" w:hAnsi="Calibri" w:cs="Calibri"/>
        </w:rPr>
      </w:pPr>
      <w:r>
        <w:rPr>
          <w:rFonts w:ascii="Calibri" w:hAnsi="Calibri" w:cs="Calibri"/>
        </w:rPr>
        <w:t>both regions</w:t>
      </w:r>
      <w:r w:rsidR="000534B2">
        <w:rPr>
          <w:rFonts w:ascii="Calibri" w:hAnsi="Calibri" w:cs="Calibri"/>
        </w:rPr>
        <w:t xml:space="preserve"> report </w:t>
      </w:r>
      <w:r>
        <w:rPr>
          <w:rFonts w:ascii="Calibri" w:hAnsi="Calibri" w:cs="Calibri"/>
        </w:rPr>
        <w:t xml:space="preserve">similar levels of university programmes and talks held in schools. This similar level could be because all the participants who studied in Northern Ireland, attended schools close in distance to Ulster University and University of Belfast. Therefore, these results do not account for all Northern Irish schools, which may have an actual lower average </w:t>
      </w:r>
      <w:r w:rsidR="000C0B46">
        <w:rPr>
          <w:rFonts w:ascii="Calibri" w:hAnsi="Calibri" w:cs="Calibri"/>
        </w:rPr>
        <w:t>because</w:t>
      </w:r>
      <w:r>
        <w:rPr>
          <w:rFonts w:ascii="Calibri" w:hAnsi="Calibri" w:cs="Calibri"/>
        </w:rPr>
        <w:t xml:space="preserve"> Northern Ireland </w:t>
      </w:r>
      <w:r w:rsidR="009F1F19">
        <w:rPr>
          <w:rFonts w:ascii="Calibri" w:hAnsi="Calibri" w:cs="Calibri"/>
        </w:rPr>
        <w:t>is home to</w:t>
      </w:r>
      <w:r w:rsidR="00D87AAE">
        <w:rPr>
          <w:rFonts w:ascii="Calibri" w:hAnsi="Calibri" w:cs="Calibri"/>
        </w:rPr>
        <w:t xml:space="preserve"> only</w:t>
      </w:r>
      <w:r>
        <w:rPr>
          <w:rFonts w:ascii="Calibri" w:hAnsi="Calibri" w:cs="Calibri"/>
        </w:rPr>
        <w:t xml:space="preserve"> </w:t>
      </w:r>
      <w:r w:rsidR="0023372E">
        <w:rPr>
          <w:rFonts w:ascii="Calibri" w:hAnsi="Calibri" w:cs="Calibri"/>
        </w:rPr>
        <w:t xml:space="preserve">those </w:t>
      </w:r>
      <w:r w:rsidR="00E4348C">
        <w:rPr>
          <w:rFonts w:ascii="Calibri" w:hAnsi="Calibri" w:cs="Calibri"/>
        </w:rPr>
        <w:t>two</w:t>
      </w:r>
      <w:r>
        <w:rPr>
          <w:rFonts w:ascii="Calibri" w:hAnsi="Calibri" w:cs="Calibri"/>
        </w:rPr>
        <w:t xml:space="preserve"> universities (excluding higher education providers). However, more English students are unaware of programmes. A possible explanation is that the programmes held by universities at their schools were targeted at specific groups of students, that they do not represent. </w:t>
      </w:r>
    </w:p>
    <w:p w14:paraId="2ABA9EDA" w14:textId="77777777" w:rsidR="005E4C3E" w:rsidRDefault="00BF3721">
      <w:pPr>
        <w:rPr>
          <w:rFonts w:ascii="Calibri" w:hAnsi="Calibri" w:cs="Calibri"/>
        </w:rPr>
      </w:pPr>
      <w:r>
        <w:rPr>
          <w:rFonts w:ascii="Calibri" w:hAnsi="Calibri" w:cs="Calibri"/>
        </w:rPr>
        <w:lastRenderedPageBreak/>
        <w:t>Without access to university-led programmes, outreach activities and informational talks, students from low-socioeconomic backgrounds may find it more difficult to progress to higher education. This disadvantage can arise as they are less likely to benefit from contextual offers and the absence of exposure causing them to lack sufficient knowledge about the application process, funding options and the range of courses available. Together, these barriers reduce their confidence and likelihood of applying, further reinforcing higher educational inequality.</w:t>
      </w:r>
    </w:p>
    <w:p w14:paraId="2ABA9EDC" w14:textId="781705D7" w:rsidR="005E4C3E" w:rsidRDefault="00BF3721">
      <w:pPr>
        <w:rPr>
          <w:rFonts w:ascii="Calibri" w:hAnsi="Calibri" w:cs="Calibri"/>
        </w:rPr>
      </w:pPr>
      <w:r>
        <w:rPr>
          <w:rFonts w:ascii="Calibri" w:hAnsi="Calibri" w:cs="Calibri"/>
        </w:rPr>
        <w:t xml:space="preserve">Results demonstrate it is very common for English state schools to offer support for Oxbridge application. This may be the result of University of Oxford and Cambridge’s prestigious reputation, with admission into both institutions benefiting the schools’ reputations. </w:t>
      </w:r>
      <w:r w:rsidR="007D6F9E">
        <w:rPr>
          <w:rFonts w:ascii="Calibri" w:hAnsi="Calibri" w:cs="Calibri"/>
        </w:rPr>
        <w:t>In contrast, r</w:t>
      </w:r>
      <w:r w:rsidR="00C5170D">
        <w:rPr>
          <w:rFonts w:ascii="Calibri" w:hAnsi="Calibri" w:cs="Calibri"/>
        </w:rPr>
        <w:t>esults</w:t>
      </w:r>
      <w:r w:rsidR="00965FB8" w:rsidRPr="00965FB8">
        <w:rPr>
          <w:rFonts w:ascii="Calibri" w:hAnsi="Calibri" w:cs="Calibri"/>
        </w:rPr>
        <w:t xml:space="preserve"> from Northern Irish students indicate limited support, or l</w:t>
      </w:r>
      <w:r w:rsidR="00965FB8">
        <w:rPr>
          <w:rFonts w:ascii="Calibri" w:hAnsi="Calibri" w:cs="Calibri"/>
        </w:rPr>
        <w:t>ack of</w:t>
      </w:r>
      <w:r w:rsidR="00965FB8" w:rsidRPr="00965FB8">
        <w:rPr>
          <w:rFonts w:ascii="Calibri" w:hAnsi="Calibri" w:cs="Calibri"/>
        </w:rPr>
        <w:t xml:space="preserve"> awareness of available support, when applying to the UK’s top universities</w:t>
      </w:r>
      <w:r>
        <w:rPr>
          <w:rFonts w:ascii="Calibri" w:hAnsi="Calibri" w:cs="Calibri"/>
        </w:rPr>
        <w:t xml:space="preserve">. This </w:t>
      </w:r>
      <w:r w:rsidR="00071416">
        <w:rPr>
          <w:rFonts w:ascii="Calibri" w:hAnsi="Calibri" w:cs="Calibri"/>
        </w:rPr>
        <w:t>likely reflects</w:t>
      </w:r>
      <w:r>
        <w:rPr>
          <w:rFonts w:ascii="Calibri" w:hAnsi="Calibri" w:cs="Calibri"/>
        </w:rPr>
        <w:t xml:space="preserve"> the </w:t>
      </w:r>
      <w:r w:rsidR="003B2A23">
        <w:rPr>
          <w:rFonts w:ascii="Calibri" w:hAnsi="Calibri" w:cs="Calibri"/>
        </w:rPr>
        <w:t>low</w:t>
      </w:r>
      <w:r>
        <w:rPr>
          <w:rFonts w:ascii="Calibri" w:hAnsi="Calibri" w:cs="Calibri"/>
        </w:rPr>
        <w:t xml:space="preserve"> Northern Irish student population </w:t>
      </w:r>
      <w:r w:rsidR="003B2A23">
        <w:rPr>
          <w:rFonts w:ascii="Calibri" w:hAnsi="Calibri" w:cs="Calibri"/>
        </w:rPr>
        <w:t>at the</w:t>
      </w:r>
      <w:r>
        <w:rPr>
          <w:rFonts w:ascii="Calibri" w:hAnsi="Calibri" w:cs="Calibri"/>
        </w:rPr>
        <w:t xml:space="preserve"> </w:t>
      </w:r>
      <w:r w:rsidR="003B2A23">
        <w:rPr>
          <w:rFonts w:ascii="Calibri" w:hAnsi="Calibri" w:cs="Calibri"/>
        </w:rPr>
        <w:t>U</w:t>
      </w:r>
      <w:r>
        <w:rPr>
          <w:rFonts w:ascii="Calibri" w:hAnsi="Calibri" w:cs="Calibri"/>
        </w:rPr>
        <w:t>niversity of Oxford and Cambridge</w:t>
      </w:r>
      <w:r w:rsidR="00864F8C">
        <w:rPr>
          <w:rFonts w:ascii="Calibri" w:hAnsi="Calibri" w:cs="Calibri"/>
        </w:rPr>
        <w:t xml:space="preserve">, influenced </w:t>
      </w:r>
      <w:r w:rsidR="00CE158F">
        <w:rPr>
          <w:rFonts w:ascii="Calibri" w:hAnsi="Calibri" w:cs="Calibri"/>
        </w:rPr>
        <w:t>by</w:t>
      </w:r>
      <w:r w:rsidR="00864F8C">
        <w:rPr>
          <w:rFonts w:ascii="Calibri" w:hAnsi="Calibri" w:cs="Calibri"/>
        </w:rPr>
        <w:t xml:space="preserve"> financial barriers,</w:t>
      </w:r>
      <w:r>
        <w:rPr>
          <w:rFonts w:ascii="Calibri" w:hAnsi="Calibri" w:cs="Calibri"/>
        </w:rPr>
        <w:t xml:space="preserve"> as stated in previous </w:t>
      </w:r>
      <w:r w:rsidRPr="0055124C">
        <w:rPr>
          <w:rFonts w:ascii="Calibri" w:hAnsi="Calibri" w:cs="Calibri"/>
        </w:rPr>
        <w:t>literature</w:t>
      </w:r>
      <w:r w:rsidR="00864F8C" w:rsidRPr="0055124C">
        <w:rPr>
          <w:rFonts w:ascii="Calibri" w:hAnsi="Calibri" w:cs="Calibri"/>
        </w:rPr>
        <w:t>.</w:t>
      </w:r>
      <w:r w:rsidR="00DC0AA6" w:rsidRPr="0055124C">
        <w:rPr>
          <w:rFonts w:ascii="Calibri" w:hAnsi="Calibri" w:cs="Calibri"/>
          <w:vertAlign w:val="superscript"/>
        </w:rPr>
        <w:t>15,16</w:t>
      </w:r>
      <w:r w:rsidR="0055124C" w:rsidRPr="0055124C">
        <w:rPr>
          <w:rFonts w:ascii="Calibri" w:hAnsi="Calibri" w:cs="Calibri"/>
          <w:vertAlign w:val="superscript"/>
        </w:rPr>
        <w:t>,17,18</w:t>
      </w:r>
      <w:r w:rsidR="00864F8C">
        <w:rPr>
          <w:rFonts w:ascii="Calibri" w:hAnsi="Calibri" w:cs="Calibri"/>
        </w:rPr>
        <w:t xml:space="preserve"> T</w:t>
      </w:r>
      <w:r>
        <w:rPr>
          <w:rFonts w:ascii="Calibri" w:hAnsi="Calibri" w:cs="Calibri"/>
        </w:rPr>
        <w:t>herefore, Northern Irish students may not even explore this form of support or there is less demand for the schools to provide this support.</w:t>
      </w:r>
    </w:p>
    <w:p w14:paraId="2ABA9EDD" w14:textId="0A25EDB7" w:rsidR="005E4C3E" w:rsidRDefault="00BF3721">
      <w:pPr>
        <w:rPr>
          <w:rFonts w:ascii="Calibri" w:hAnsi="Calibri" w:cs="Calibri"/>
        </w:rPr>
      </w:pPr>
      <w:r>
        <w:rPr>
          <w:rFonts w:ascii="Calibri" w:hAnsi="Calibri" w:cs="Calibri"/>
        </w:rPr>
        <w:t xml:space="preserve">It </w:t>
      </w:r>
      <w:r w:rsidR="009879EB">
        <w:rPr>
          <w:rFonts w:ascii="Calibri" w:hAnsi="Calibri" w:cs="Calibri"/>
        </w:rPr>
        <w:t xml:space="preserve">also seems to be </w:t>
      </w:r>
      <w:r>
        <w:rPr>
          <w:rFonts w:ascii="Calibri" w:hAnsi="Calibri" w:cs="Calibri"/>
        </w:rPr>
        <w:t>more common for English state schools to offer specific subject support for their students than in Northern Irish state schools</w:t>
      </w:r>
      <w:r w:rsidR="00195970">
        <w:rPr>
          <w:rFonts w:ascii="Calibri" w:hAnsi="Calibri" w:cs="Calibri"/>
        </w:rPr>
        <w:t xml:space="preserve">. </w:t>
      </w:r>
      <w:r w:rsidR="00A37800">
        <w:rPr>
          <w:rFonts w:ascii="Calibri" w:hAnsi="Calibri" w:cs="Calibri"/>
        </w:rPr>
        <w:t xml:space="preserve">This would reflect </w:t>
      </w:r>
      <w:r w:rsidR="004C40FF">
        <w:rPr>
          <w:rFonts w:ascii="Calibri" w:hAnsi="Calibri" w:cs="Calibri"/>
        </w:rPr>
        <w:t>the additional</w:t>
      </w:r>
      <w:r>
        <w:rPr>
          <w:rFonts w:ascii="Calibri" w:hAnsi="Calibri" w:cs="Calibri"/>
        </w:rPr>
        <w:t xml:space="preserve"> funding </w:t>
      </w:r>
      <w:r w:rsidR="004C40FF">
        <w:rPr>
          <w:rFonts w:ascii="Calibri" w:hAnsi="Calibri" w:cs="Calibri"/>
        </w:rPr>
        <w:t xml:space="preserve">English schools receive due to their </w:t>
      </w:r>
      <w:r w:rsidR="003115B2">
        <w:rPr>
          <w:rFonts w:ascii="Calibri" w:hAnsi="Calibri" w:cs="Calibri"/>
        </w:rPr>
        <w:t>larger average student population and</w:t>
      </w:r>
      <w:r w:rsidR="00FF7BE0">
        <w:rPr>
          <w:rFonts w:ascii="Calibri" w:hAnsi="Calibri" w:cs="Calibri"/>
        </w:rPr>
        <w:t xml:space="preserve"> the pressure of </w:t>
      </w:r>
      <w:r>
        <w:rPr>
          <w:rFonts w:ascii="Calibri" w:hAnsi="Calibri" w:cs="Calibri"/>
        </w:rPr>
        <w:t>school rankings</w:t>
      </w:r>
      <w:r w:rsidR="003115B2">
        <w:rPr>
          <w:rFonts w:ascii="Calibri" w:hAnsi="Calibri" w:cs="Calibri"/>
        </w:rPr>
        <w:t>,</w:t>
      </w:r>
      <w:r>
        <w:rPr>
          <w:rFonts w:ascii="Calibri" w:hAnsi="Calibri" w:cs="Calibri"/>
        </w:rPr>
        <w:t xml:space="preserve"> </w:t>
      </w:r>
      <w:r w:rsidR="003115B2">
        <w:rPr>
          <w:rFonts w:ascii="Calibri" w:hAnsi="Calibri" w:cs="Calibri"/>
        </w:rPr>
        <w:t>which</w:t>
      </w:r>
      <w:r>
        <w:rPr>
          <w:rFonts w:ascii="Calibri" w:hAnsi="Calibri" w:cs="Calibri"/>
        </w:rPr>
        <w:t xml:space="preserve"> may drive schools to offer this support so their students can achieve higher grades, </w:t>
      </w:r>
      <w:r w:rsidR="003115B2">
        <w:rPr>
          <w:rFonts w:ascii="Calibri" w:hAnsi="Calibri" w:cs="Calibri"/>
        </w:rPr>
        <w:t>to improve</w:t>
      </w:r>
      <w:r>
        <w:rPr>
          <w:rFonts w:ascii="Calibri" w:hAnsi="Calibri" w:cs="Calibri"/>
        </w:rPr>
        <w:t xml:space="preserve"> their school </w:t>
      </w:r>
      <w:r w:rsidRPr="00C92EE4">
        <w:rPr>
          <w:rFonts w:ascii="Calibri" w:hAnsi="Calibri" w:cs="Calibri"/>
        </w:rPr>
        <w:t>rank.</w:t>
      </w:r>
      <w:r w:rsidR="00224407" w:rsidRPr="00C92EE4">
        <w:rPr>
          <w:rFonts w:ascii="Calibri" w:hAnsi="Calibri" w:cs="Calibri"/>
          <w:vertAlign w:val="superscript"/>
        </w:rPr>
        <w:t>11,38</w:t>
      </w:r>
      <w:r>
        <w:rPr>
          <w:rFonts w:ascii="Calibri" w:hAnsi="Calibri" w:cs="Calibri"/>
        </w:rPr>
        <w:t xml:space="preserve"> </w:t>
      </w:r>
    </w:p>
    <w:p w14:paraId="2ABA9EDE" w14:textId="46519D1F" w:rsidR="005E4C3E" w:rsidRDefault="00BF3721">
      <w:pPr>
        <w:rPr>
          <w:rFonts w:ascii="Calibri" w:hAnsi="Calibri" w:cs="Calibri"/>
        </w:rPr>
      </w:pPr>
      <w:r>
        <w:rPr>
          <w:rFonts w:ascii="Calibri" w:hAnsi="Calibri" w:cs="Calibri"/>
        </w:rPr>
        <w:t>The low availability of Oxbridge application support and subject-specific help desks in Northern Ireland, compared to England, places Northern Irish students at a disadvantage. English students</w:t>
      </w:r>
      <w:r w:rsidR="00E61106">
        <w:rPr>
          <w:rFonts w:ascii="Calibri" w:hAnsi="Calibri" w:cs="Calibri"/>
        </w:rPr>
        <w:t xml:space="preserve"> </w:t>
      </w:r>
      <w:proofErr w:type="gramStart"/>
      <w:r w:rsidR="00E61106">
        <w:rPr>
          <w:rFonts w:ascii="Calibri" w:hAnsi="Calibri" w:cs="Calibri"/>
        </w:rPr>
        <w:t>are able to</w:t>
      </w:r>
      <w:proofErr w:type="gramEnd"/>
      <w:r>
        <w:rPr>
          <w:rFonts w:ascii="Calibri" w:hAnsi="Calibri" w:cs="Calibri"/>
        </w:rPr>
        <w:t xml:space="preserve"> benefit from access to tailored guidance and preparation resources</w:t>
      </w:r>
      <w:r w:rsidR="00E61106">
        <w:rPr>
          <w:rFonts w:ascii="Calibri" w:hAnsi="Calibri" w:cs="Calibri"/>
        </w:rPr>
        <w:t xml:space="preserve">, which </w:t>
      </w:r>
      <w:r>
        <w:rPr>
          <w:rFonts w:ascii="Calibri" w:hAnsi="Calibri" w:cs="Calibri"/>
        </w:rPr>
        <w:t xml:space="preserve">can significantly improve applicants’ competitiveness and success rates in securing places at highly selective universities. </w:t>
      </w:r>
    </w:p>
    <w:p w14:paraId="2ABA9EDF" w14:textId="77777777" w:rsidR="005E4C3E" w:rsidRDefault="00BF3721">
      <w:pPr>
        <w:rPr>
          <w:rFonts w:ascii="Calibri" w:hAnsi="Calibri" w:cs="Calibri"/>
          <w:sz w:val="28"/>
          <w:szCs w:val="28"/>
        </w:rPr>
      </w:pPr>
      <w:r>
        <w:rPr>
          <w:rFonts w:ascii="Calibri" w:hAnsi="Calibri" w:cs="Calibri"/>
          <w:sz w:val="28"/>
          <w:szCs w:val="28"/>
        </w:rPr>
        <w:t>Ethnic Diversity</w:t>
      </w:r>
    </w:p>
    <w:p w14:paraId="2ABA9EE1" w14:textId="02B8CBF0" w:rsidR="005E4C3E" w:rsidRPr="009C5A79" w:rsidRDefault="001F1D0C">
      <w:pPr>
        <w:rPr>
          <w:rFonts w:ascii="Calibri" w:hAnsi="Calibri" w:cs="Calibri"/>
        </w:rPr>
      </w:pPr>
      <w:r>
        <w:rPr>
          <w:rFonts w:ascii="Calibri" w:hAnsi="Calibri" w:cs="Calibri"/>
        </w:rPr>
        <w:t>Results suggest</w:t>
      </w:r>
      <w:r w:rsidR="00BF3721">
        <w:rPr>
          <w:rFonts w:ascii="Calibri" w:hAnsi="Calibri" w:cs="Calibri"/>
        </w:rPr>
        <w:t xml:space="preserve"> that ethnic diversity in Northern Irish schools is rather poor. Again, this may be due to the low number of Northern Irish </w:t>
      </w:r>
      <w:r w:rsidR="009C5A79">
        <w:rPr>
          <w:rFonts w:ascii="Calibri" w:hAnsi="Calibri" w:cs="Calibri"/>
        </w:rPr>
        <w:t>participants,</w:t>
      </w:r>
      <w:r w:rsidR="00BF3721">
        <w:rPr>
          <w:rFonts w:ascii="Calibri" w:hAnsi="Calibri" w:cs="Calibri"/>
        </w:rPr>
        <w:t xml:space="preserve"> or the participants attended high achieving schools in Northern Ireland, with low diversity. English schools have a wider range in ethnic diversity; this would agree with literature that suggest</w:t>
      </w:r>
      <w:r w:rsidR="00C63355">
        <w:rPr>
          <w:rFonts w:ascii="Calibri" w:hAnsi="Calibri" w:cs="Calibri"/>
        </w:rPr>
        <w:t>s</w:t>
      </w:r>
      <w:r w:rsidR="00BF3721">
        <w:rPr>
          <w:rFonts w:ascii="Calibri" w:hAnsi="Calibri" w:cs="Calibri"/>
        </w:rPr>
        <w:t xml:space="preserve"> England has a much more diverse population, with a mix of neighbour</w:t>
      </w:r>
      <w:r w:rsidR="009E35A5">
        <w:rPr>
          <w:rFonts w:ascii="Calibri" w:hAnsi="Calibri" w:cs="Calibri"/>
        </w:rPr>
        <w:t>hood</w:t>
      </w:r>
      <w:r w:rsidR="00BF3721">
        <w:rPr>
          <w:rFonts w:ascii="Calibri" w:hAnsi="Calibri" w:cs="Calibri"/>
        </w:rPr>
        <w:t>s that are high and low in diversity, in comparison with Northern Ireland.</w:t>
      </w:r>
      <w:r w:rsidR="00BF3721">
        <w:rPr>
          <w:rFonts w:ascii="Calibri" w:hAnsi="Calibri" w:cs="Calibri"/>
          <w:vertAlign w:val="superscript"/>
        </w:rPr>
        <w:t>28</w:t>
      </w:r>
    </w:p>
    <w:p w14:paraId="2ABA9EE2" w14:textId="77777777" w:rsidR="005E4C3E" w:rsidRDefault="00BF3721">
      <w:pPr>
        <w:rPr>
          <w:rFonts w:ascii="Calibri" w:hAnsi="Calibri" w:cs="Calibri"/>
        </w:rPr>
      </w:pPr>
      <w:r>
        <w:rPr>
          <w:rFonts w:ascii="Calibri" w:hAnsi="Calibri" w:cs="Calibri"/>
        </w:rPr>
        <w:t xml:space="preserve">Due to the lower levels of diversity in grammar schools in Northern Ireland, this can create a less inclusive environment for ethnic minority students. As a result, these students may face discrimination, which can put them at an academic disadvantage even after overcoming the initial barrier of entering a grammar school. In contrast, schools in England tend to be more diverse and inclusive, which is associated with higher levels of grade attainment among students, highlighting how inclusivity can foster fairer opportunities and better outcomes. This is not to say that ethnic minority students in English schools do not experience discrimination however, the greater diversity </w:t>
      </w:r>
      <w:r>
        <w:rPr>
          <w:rFonts w:ascii="Calibri" w:hAnsi="Calibri" w:cs="Calibri"/>
        </w:rPr>
        <w:lastRenderedPageBreak/>
        <w:t>and inclusivity in England means that Northern Irish students in grammar schools are more likely to face these challenges.</w:t>
      </w:r>
    </w:p>
    <w:p w14:paraId="2ABA9EE3" w14:textId="77777777" w:rsidR="005E4C3E" w:rsidRDefault="005E4C3E">
      <w:pPr>
        <w:rPr>
          <w:rFonts w:ascii="Calibri" w:hAnsi="Calibri" w:cs="Calibri"/>
        </w:rPr>
      </w:pPr>
    </w:p>
    <w:p w14:paraId="2ABA9EE4" w14:textId="77777777" w:rsidR="005E4C3E" w:rsidRDefault="00BF3721">
      <w:pPr>
        <w:rPr>
          <w:rFonts w:ascii="Calibri" w:hAnsi="Calibri" w:cs="Calibri"/>
          <w:sz w:val="28"/>
          <w:szCs w:val="28"/>
        </w:rPr>
      </w:pPr>
      <w:r>
        <w:rPr>
          <w:rFonts w:ascii="Calibri" w:hAnsi="Calibri" w:cs="Calibri"/>
          <w:sz w:val="28"/>
          <w:szCs w:val="28"/>
        </w:rPr>
        <w:t>Teaching Quality</w:t>
      </w:r>
    </w:p>
    <w:p w14:paraId="476311C4" w14:textId="46774050" w:rsidR="00F57A71" w:rsidRDefault="00BF3721">
      <w:pPr>
        <w:rPr>
          <w:rFonts w:ascii="Calibri" w:hAnsi="Calibri" w:cs="Calibri"/>
        </w:rPr>
      </w:pPr>
      <w:r>
        <w:rPr>
          <w:rFonts w:ascii="Calibri" w:hAnsi="Calibri" w:cs="Calibri"/>
        </w:rPr>
        <w:t xml:space="preserve">It appears that teaching quality in Northern Ireland can be agreed upon by all participants who studied in Northern Irish state schools, with a collective result of good. </w:t>
      </w:r>
      <w:r w:rsidR="00F57A71" w:rsidRPr="00F57A71">
        <w:rPr>
          <w:rFonts w:ascii="Calibri" w:hAnsi="Calibri" w:cs="Calibri"/>
        </w:rPr>
        <w:t>Th</w:t>
      </w:r>
      <w:r w:rsidR="00F57A71">
        <w:rPr>
          <w:rFonts w:ascii="Calibri" w:hAnsi="Calibri" w:cs="Calibri"/>
        </w:rPr>
        <w:t>ese results</w:t>
      </w:r>
      <w:r w:rsidR="00F57A71" w:rsidRPr="00F57A71">
        <w:rPr>
          <w:rFonts w:ascii="Calibri" w:hAnsi="Calibri" w:cs="Calibri"/>
        </w:rPr>
        <w:t xml:space="preserve"> </w:t>
      </w:r>
      <w:r w:rsidR="00F57A71">
        <w:rPr>
          <w:rFonts w:ascii="Calibri" w:hAnsi="Calibri" w:cs="Calibri"/>
        </w:rPr>
        <w:t>exhibit</w:t>
      </w:r>
      <w:r w:rsidR="00F57A71" w:rsidRPr="00F57A71">
        <w:rPr>
          <w:rFonts w:ascii="Calibri" w:hAnsi="Calibri" w:cs="Calibri"/>
        </w:rPr>
        <w:t xml:space="preserve"> the highly standardised teacher training routes in Northern Ireland, limited to two institutions</w:t>
      </w:r>
    </w:p>
    <w:p w14:paraId="2ABA9EE6" w14:textId="4D274D0F" w:rsidR="005E4C3E" w:rsidRDefault="00BF3721">
      <w:pPr>
        <w:rPr>
          <w:rFonts w:ascii="Calibri" w:hAnsi="Calibri" w:cs="Calibri"/>
        </w:rPr>
      </w:pPr>
      <w:r>
        <w:rPr>
          <w:rFonts w:ascii="Calibri" w:hAnsi="Calibri" w:cs="Calibri"/>
        </w:rPr>
        <w:t>Student</w:t>
      </w:r>
      <w:r w:rsidRPr="00C92EE4">
        <w:rPr>
          <w:rFonts w:ascii="Calibri" w:hAnsi="Calibri" w:cs="Calibri"/>
        </w:rPr>
        <w:t>s in England have a range of responses</w:t>
      </w:r>
      <w:r w:rsidR="00E07084" w:rsidRPr="00C92EE4">
        <w:rPr>
          <w:rFonts w:ascii="Calibri" w:hAnsi="Calibri" w:cs="Calibri"/>
        </w:rPr>
        <w:t xml:space="preserve">. </w:t>
      </w:r>
      <w:r w:rsidR="00632501" w:rsidRPr="00C92EE4">
        <w:rPr>
          <w:rFonts w:ascii="Calibri" w:hAnsi="Calibri" w:cs="Calibri"/>
        </w:rPr>
        <w:t xml:space="preserve">A reason for this </w:t>
      </w:r>
      <w:r w:rsidR="004E30D1" w:rsidRPr="00C92EE4">
        <w:rPr>
          <w:rFonts w:ascii="Calibri" w:hAnsi="Calibri" w:cs="Calibri"/>
        </w:rPr>
        <w:t>could</w:t>
      </w:r>
      <w:r w:rsidR="00632501" w:rsidRPr="00C92EE4">
        <w:rPr>
          <w:rFonts w:ascii="Calibri" w:hAnsi="Calibri" w:cs="Calibri"/>
        </w:rPr>
        <w:t xml:space="preserve"> be </w:t>
      </w:r>
      <w:r w:rsidR="004E30D1" w:rsidRPr="00C92EE4">
        <w:rPr>
          <w:rFonts w:ascii="Calibri" w:hAnsi="Calibri" w:cs="Calibri"/>
        </w:rPr>
        <w:t>England’s</w:t>
      </w:r>
      <w:r w:rsidR="00632501" w:rsidRPr="00C92EE4">
        <w:rPr>
          <w:rFonts w:ascii="Calibri" w:hAnsi="Calibri" w:cs="Calibri"/>
        </w:rPr>
        <w:t xml:space="preserve"> reliance on academies and free schools, where QTS is not required </w:t>
      </w:r>
      <w:r w:rsidR="009E35A5">
        <w:rPr>
          <w:rFonts w:ascii="Calibri" w:hAnsi="Calibri" w:cs="Calibri"/>
        </w:rPr>
        <w:t>for</w:t>
      </w:r>
      <w:r w:rsidR="00632501" w:rsidRPr="00C92EE4">
        <w:rPr>
          <w:rFonts w:ascii="Calibri" w:hAnsi="Calibri" w:cs="Calibri"/>
        </w:rPr>
        <w:t xml:space="preserve"> teachers</w:t>
      </w:r>
      <w:r w:rsidR="00F60E12" w:rsidRPr="00C92EE4">
        <w:rPr>
          <w:rFonts w:ascii="Calibri" w:hAnsi="Calibri" w:cs="Calibri"/>
        </w:rPr>
        <w:t>.</w:t>
      </w:r>
      <w:r w:rsidR="00C92EE4" w:rsidRPr="00C92EE4">
        <w:rPr>
          <w:rFonts w:ascii="Calibri" w:hAnsi="Calibri" w:cs="Calibri"/>
          <w:vertAlign w:val="superscript"/>
        </w:rPr>
        <w:t>31</w:t>
      </w:r>
      <w:r w:rsidRPr="00C92EE4">
        <w:rPr>
          <w:rFonts w:ascii="Calibri" w:hAnsi="Calibri" w:cs="Calibri"/>
        </w:rPr>
        <w:t xml:space="preserve"> </w:t>
      </w:r>
      <w:r w:rsidR="00F60E12" w:rsidRPr="00C92EE4">
        <w:rPr>
          <w:rFonts w:ascii="Calibri" w:hAnsi="Calibri" w:cs="Calibri"/>
        </w:rPr>
        <w:t>T</w:t>
      </w:r>
      <w:r w:rsidRPr="00C92EE4">
        <w:rPr>
          <w:rFonts w:ascii="Calibri" w:hAnsi="Calibri" w:cs="Calibri"/>
        </w:rPr>
        <w:t>herefore</w:t>
      </w:r>
      <w:r w:rsidR="00F60E12" w:rsidRPr="00C92EE4">
        <w:rPr>
          <w:rFonts w:ascii="Calibri" w:hAnsi="Calibri" w:cs="Calibri"/>
        </w:rPr>
        <w:t>,</w:t>
      </w:r>
      <w:r w:rsidRPr="00C92EE4">
        <w:rPr>
          <w:rFonts w:ascii="Calibri" w:hAnsi="Calibri" w:cs="Calibri"/>
        </w:rPr>
        <w:t xml:space="preserve"> their level of teaching may not reach professional standards. </w:t>
      </w:r>
      <w:r w:rsidR="00231F65" w:rsidRPr="00C92EE4">
        <w:rPr>
          <w:rFonts w:ascii="Calibri" w:hAnsi="Calibri" w:cs="Calibri"/>
        </w:rPr>
        <w:t>In addition, t</w:t>
      </w:r>
      <w:r w:rsidR="00223AC4" w:rsidRPr="00C92EE4">
        <w:rPr>
          <w:rFonts w:ascii="Calibri" w:hAnsi="Calibri" w:cs="Calibri"/>
        </w:rPr>
        <w:t>he diversity in teacher training routes across England reduces standardisation</w:t>
      </w:r>
      <w:r w:rsidRPr="00C92EE4">
        <w:rPr>
          <w:rFonts w:ascii="Calibri" w:hAnsi="Calibri" w:cs="Calibri"/>
        </w:rPr>
        <w:t xml:space="preserve">, leading to teachers with different teaching abilities </w:t>
      </w:r>
      <w:r w:rsidR="00D87AAE" w:rsidRPr="00C92EE4">
        <w:rPr>
          <w:rFonts w:ascii="Calibri" w:hAnsi="Calibri" w:cs="Calibri"/>
        </w:rPr>
        <w:t>–</w:t>
      </w:r>
      <w:r w:rsidRPr="00C92EE4">
        <w:rPr>
          <w:rFonts w:ascii="Calibri" w:hAnsi="Calibri" w:cs="Calibri"/>
        </w:rPr>
        <w:t xml:space="preserve"> if most people who study to become a teacher in a region works as a teacher in that region. </w:t>
      </w:r>
      <w:r w:rsidR="00231F65" w:rsidRPr="00C92EE4">
        <w:rPr>
          <w:rFonts w:ascii="Calibri" w:hAnsi="Calibri" w:cs="Calibri"/>
        </w:rPr>
        <w:t>Lastly</w:t>
      </w:r>
      <w:r w:rsidRPr="00C92EE4">
        <w:rPr>
          <w:rFonts w:ascii="Calibri" w:hAnsi="Calibri" w:cs="Calibri"/>
        </w:rPr>
        <w:t xml:space="preserve">, </w:t>
      </w:r>
      <w:r w:rsidR="00231F65" w:rsidRPr="00C92EE4">
        <w:rPr>
          <w:rFonts w:ascii="Calibri" w:hAnsi="Calibri" w:cs="Calibri"/>
        </w:rPr>
        <w:t xml:space="preserve">the </w:t>
      </w:r>
      <w:r w:rsidRPr="00C92EE4">
        <w:rPr>
          <w:rFonts w:ascii="Calibri" w:hAnsi="Calibri" w:cs="Calibri"/>
        </w:rPr>
        <w:t>average larger school size may translate to more students in a classroom.</w:t>
      </w:r>
      <w:r w:rsidR="00C92EE4" w:rsidRPr="00C92EE4">
        <w:rPr>
          <w:rFonts w:ascii="Calibri" w:hAnsi="Calibri" w:cs="Calibri"/>
          <w:vertAlign w:val="superscript"/>
        </w:rPr>
        <w:t>38</w:t>
      </w:r>
      <w:r w:rsidRPr="00C92EE4">
        <w:rPr>
          <w:rFonts w:ascii="Calibri" w:hAnsi="Calibri" w:cs="Calibri"/>
        </w:rPr>
        <w:t xml:space="preserve"> This could limit the teacher’s ability to provide individualised support</w:t>
      </w:r>
      <w:r>
        <w:rPr>
          <w:rFonts w:ascii="Calibri" w:hAnsi="Calibri" w:cs="Calibri"/>
        </w:rPr>
        <w:t xml:space="preserve"> to students, leading some to feel that the teaching quality was inadequate. </w:t>
      </w:r>
    </w:p>
    <w:p w14:paraId="2ABA9EE7" w14:textId="0EBCFC89" w:rsidR="005E4C3E" w:rsidRDefault="00BF3721">
      <w:pPr>
        <w:rPr>
          <w:rFonts w:ascii="Calibri" w:hAnsi="Calibri" w:cs="Calibri"/>
        </w:rPr>
      </w:pPr>
      <w:r>
        <w:rPr>
          <w:rFonts w:ascii="Calibri" w:hAnsi="Calibri" w:cs="Calibri"/>
        </w:rPr>
        <w:t>This places some English students at a disadvantage, as being taught by a poor teacher can lead to weaker academic progress, lower motivation and widening inequality between students across the region. In the long</w:t>
      </w:r>
      <w:r w:rsidR="003D76E7">
        <w:rPr>
          <w:rFonts w:ascii="Calibri" w:hAnsi="Calibri" w:cs="Calibri"/>
        </w:rPr>
        <w:t>-t</w:t>
      </w:r>
      <w:r>
        <w:rPr>
          <w:rFonts w:ascii="Calibri" w:hAnsi="Calibri" w:cs="Calibri"/>
        </w:rPr>
        <w:t>erm, this can negatively affect exam outcomes and limit opportunities for higher education or future careers compared to their Northern Irish peers and other English students.</w:t>
      </w:r>
    </w:p>
    <w:p w14:paraId="2ABA9EE8" w14:textId="14F259D6" w:rsidR="005E4C3E" w:rsidRDefault="00AF67CD">
      <w:pPr>
        <w:rPr>
          <w:rFonts w:ascii="Calibri" w:hAnsi="Calibri" w:cs="Calibri"/>
        </w:rPr>
      </w:pPr>
      <w:r>
        <w:rPr>
          <w:rFonts w:ascii="Calibri" w:hAnsi="Calibri" w:cs="Calibri"/>
        </w:rPr>
        <w:t>The results are also limited by t</w:t>
      </w:r>
      <w:r w:rsidR="00BF3721">
        <w:rPr>
          <w:rFonts w:ascii="Calibri" w:hAnsi="Calibri" w:cs="Calibri"/>
        </w:rPr>
        <w:t xml:space="preserve">he small number of participants who studied in a Northern Irish school, </w:t>
      </w:r>
      <w:r>
        <w:rPr>
          <w:rFonts w:ascii="Calibri" w:hAnsi="Calibri" w:cs="Calibri"/>
        </w:rPr>
        <w:t>r</w:t>
      </w:r>
      <w:r w:rsidR="00990D06">
        <w:rPr>
          <w:rFonts w:ascii="Calibri" w:hAnsi="Calibri" w:cs="Calibri"/>
        </w:rPr>
        <w:t>estricting the generalisability of</w:t>
      </w:r>
      <w:r w:rsidR="00BF3721">
        <w:rPr>
          <w:rFonts w:ascii="Calibri" w:hAnsi="Calibri" w:cs="Calibri"/>
        </w:rPr>
        <w:t xml:space="preserve"> teaching quality across all Northern Irish schools</w:t>
      </w:r>
      <w:r w:rsidR="005E4513">
        <w:rPr>
          <w:rFonts w:ascii="Calibri" w:hAnsi="Calibri" w:cs="Calibri"/>
        </w:rPr>
        <w:t>.</w:t>
      </w:r>
    </w:p>
    <w:p w14:paraId="2ABA9EE9" w14:textId="77777777" w:rsidR="005E4C3E" w:rsidRDefault="005E4C3E">
      <w:pPr>
        <w:rPr>
          <w:rFonts w:ascii="Calibri" w:hAnsi="Calibri" w:cs="Calibri"/>
        </w:rPr>
      </w:pPr>
    </w:p>
    <w:p w14:paraId="2ABA9EEA" w14:textId="77777777" w:rsidR="005E4C3E" w:rsidRDefault="00BF3721">
      <w:pPr>
        <w:rPr>
          <w:rFonts w:ascii="Calibri" w:hAnsi="Calibri" w:cs="Calibri"/>
          <w:sz w:val="32"/>
          <w:szCs w:val="32"/>
        </w:rPr>
      </w:pPr>
      <w:r>
        <w:rPr>
          <w:rFonts w:ascii="Calibri" w:hAnsi="Calibri" w:cs="Calibri"/>
          <w:sz w:val="32"/>
          <w:szCs w:val="32"/>
        </w:rPr>
        <w:t>Conclusion</w:t>
      </w:r>
    </w:p>
    <w:p w14:paraId="2ABA9EEB" w14:textId="77777777" w:rsidR="005E4C3E" w:rsidRDefault="00BF3721">
      <w:pPr>
        <w:rPr>
          <w:rFonts w:ascii="Calibri" w:hAnsi="Calibri" w:cs="Calibri"/>
        </w:rPr>
      </w:pPr>
      <w:r>
        <w:rPr>
          <w:rFonts w:ascii="Calibri" w:hAnsi="Calibri" w:cs="Calibri"/>
        </w:rPr>
        <w:t xml:space="preserve">This study compared state schools in Northern Ireland and England, with a focus on subjects, extracurriculars, academic resources, ethnic diversity and teaching quality. The findings suggest that Northern Irish state schools generally offer fewer opportunities than English state schools. </w:t>
      </w:r>
    </w:p>
    <w:p w14:paraId="2ABA9EEC" w14:textId="77777777" w:rsidR="005E4C3E" w:rsidRDefault="00BF3721">
      <w:pPr>
        <w:rPr>
          <w:rFonts w:ascii="Calibri" w:hAnsi="Calibri" w:cs="Calibri"/>
        </w:rPr>
      </w:pPr>
      <w:r>
        <w:rPr>
          <w:rFonts w:ascii="Calibri" w:hAnsi="Calibri" w:cs="Calibri"/>
        </w:rPr>
        <w:t>Several key themes appear:</w:t>
      </w:r>
    </w:p>
    <w:p w14:paraId="2ABA9EED" w14:textId="2C1CF93D" w:rsidR="005E4C3E" w:rsidRDefault="00BF3721">
      <w:pPr>
        <w:pStyle w:val="ListParagraph"/>
        <w:numPr>
          <w:ilvl w:val="0"/>
          <w:numId w:val="14"/>
        </w:numPr>
        <w:rPr>
          <w:rFonts w:ascii="Calibri" w:hAnsi="Calibri" w:cs="Calibri"/>
        </w:rPr>
      </w:pPr>
      <w:r>
        <w:rPr>
          <w:rFonts w:ascii="Calibri" w:hAnsi="Calibri" w:cs="Calibri"/>
        </w:rPr>
        <w:t xml:space="preserve">Subject Offerings: English schools provide a wider range of GCSEs, A-levels and soft subjects, while Northern Irish schools </w:t>
      </w:r>
      <w:r w:rsidR="008F54DE">
        <w:rPr>
          <w:rFonts w:ascii="Calibri" w:hAnsi="Calibri" w:cs="Calibri"/>
        </w:rPr>
        <w:t>provide fewer options</w:t>
      </w:r>
      <w:r>
        <w:rPr>
          <w:rFonts w:ascii="Calibri" w:hAnsi="Calibri" w:cs="Calibri"/>
        </w:rPr>
        <w:t>. This reduces flexibility and may disadvantage Northern Irish students who perform better in alternative subjects. Differences in subject breadth appear tied to school funding.</w:t>
      </w:r>
    </w:p>
    <w:p w14:paraId="2ABA9EEE" w14:textId="77777777" w:rsidR="005E4C3E" w:rsidRDefault="00BF3721">
      <w:pPr>
        <w:pStyle w:val="ListParagraph"/>
        <w:numPr>
          <w:ilvl w:val="0"/>
          <w:numId w:val="14"/>
        </w:numPr>
        <w:rPr>
          <w:rFonts w:ascii="Calibri" w:hAnsi="Calibri" w:cs="Calibri"/>
        </w:rPr>
      </w:pPr>
      <w:r>
        <w:rPr>
          <w:rFonts w:ascii="Calibri" w:hAnsi="Calibri" w:cs="Calibri"/>
        </w:rPr>
        <w:t>Extracurriculars and Super-curriculars: English schools typically offer more extracurriculars and super-curriculars, including subject societies valued by Oxbridge, whereas Northern Irish provision is narrower. This disparity may contribute to lower application and success rates at elite universities for Northern Irish students.</w:t>
      </w:r>
    </w:p>
    <w:p w14:paraId="2ABA9EEF" w14:textId="32D632E0" w:rsidR="005E4C3E" w:rsidRDefault="00BF3721">
      <w:pPr>
        <w:pStyle w:val="ListParagraph"/>
        <w:numPr>
          <w:ilvl w:val="0"/>
          <w:numId w:val="14"/>
        </w:numPr>
        <w:rPr>
          <w:rFonts w:ascii="Calibri" w:hAnsi="Calibri" w:cs="Calibri"/>
        </w:rPr>
      </w:pPr>
      <w:r>
        <w:rPr>
          <w:rFonts w:ascii="Calibri" w:hAnsi="Calibri" w:cs="Calibri"/>
        </w:rPr>
        <w:lastRenderedPageBreak/>
        <w:t>Funding and Size: England’s larger average school size receives more funding, enabling broader subject choice, better resources and greater support services. In contrast, Northern Ireland’s smaller average school size face</w:t>
      </w:r>
      <w:r w:rsidR="003D76E7">
        <w:rPr>
          <w:rFonts w:ascii="Calibri" w:hAnsi="Calibri" w:cs="Calibri"/>
        </w:rPr>
        <w:t>s</w:t>
      </w:r>
      <w:r>
        <w:rPr>
          <w:rFonts w:ascii="Calibri" w:hAnsi="Calibri" w:cs="Calibri"/>
        </w:rPr>
        <w:t xml:space="preserve"> funding limitations that restrict opportunities.</w:t>
      </w:r>
    </w:p>
    <w:p w14:paraId="2ABA9EF0" w14:textId="77777777" w:rsidR="005E4C3E" w:rsidRDefault="00BF3721">
      <w:pPr>
        <w:pStyle w:val="ListParagraph"/>
        <w:numPr>
          <w:ilvl w:val="0"/>
          <w:numId w:val="14"/>
        </w:numPr>
        <w:rPr>
          <w:rFonts w:ascii="Calibri" w:hAnsi="Calibri" w:cs="Calibri"/>
        </w:rPr>
      </w:pPr>
      <w:r>
        <w:rPr>
          <w:rFonts w:ascii="Calibri" w:hAnsi="Calibri" w:cs="Calibri"/>
        </w:rPr>
        <w:t>University Outreach and Support: While both regions host university programmes, Northern Irish students are less aware of Oxbridge and subject-specific support. English schools seem to place more importance on guidance for prestigious university applications, possibly driven by institutional reputation and rankings.</w:t>
      </w:r>
    </w:p>
    <w:p w14:paraId="2ABA9EF1" w14:textId="77777777" w:rsidR="005E4C3E" w:rsidRDefault="00BF3721">
      <w:pPr>
        <w:pStyle w:val="ListParagraph"/>
        <w:numPr>
          <w:ilvl w:val="0"/>
          <w:numId w:val="14"/>
        </w:numPr>
        <w:rPr>
          <w:rFonts w:ascii="Calibri" w:hAnsi="Calibri" w:cs="Calibri"/>
        </w:rPr>
      </w:pPr>
      <w:r>
        <w:rPr>
          <w:rFonts w:ascii="Calibri" w:hAnsi="Calibri" w:cs="Calibri"/>
        </w:rPr>
        <w:t>Diversity and Inclusivity: English schools demonstrate greater ethnic diversity, which literature associates with inclusivity and improved outcomes. Limited diversity in Northern Irish grammar schools may disadvantage minority students, contributing to unequal experiences and attainment.</w:t>
      </w:r>
    </w:p>
    <w:p w14:paraId="2ABA9EF2" w14:textId="77777777" w:rsidR="005E4C3E" w:rsidRDefault="00BF3721">
      <w:pPr>
        <w:pStyle w:val="ListParagraph"/>
        <w:numPr>
          <w:ilvl w:val="0"/>
          <w:numId w:val="14"/>
        </w:numPr>
        <w:rPr>
          <w:rFonts w:ascii="Calibri" w:hAnsi="Calibri" w:cs="Calibri"/>
        </w:rPr>
      </w:pPr>
      <w:r>
        <w:rPr>
          <w:rFonts w:ascii="Calibri" w:hAnsi="Calibri" w:cs="Calibri"/>
        </w:rPr>
        <w:t>Teaching Quality: Teaching in Northern Ireland appears more standardised and consistently rated as good, while England shows greater variability. This inconsistency may stem from bigger classrooms or differences in teacher training pathways and school types (e.g., academies and free schools).</w:t>
      </w:r>
    </w:p>
    <w:p w14:paraId="2ABA9EF3" w14:textId="3BCCD113" w:rsidR="005E4C3E" w:rsidRDefault="00BF3721">
      <w:pPr>
        <w:rPr>
          <w:rFonts w:ascii="Calibri" w:hAnsi="Calibri" w:cs="Calibri"/>
        </w:rPr>
      </w:pPr>
      <w:r>
        <w:rPr>
          <w:rFonts w:ascii="Calibri" w:hAnsi="Calibri" w:cs="Calibri"/>
        </w:rPr>
        <w:t xml:space="preserve">Overall, the findings highlight a disparity; Northern Irish state schools operate with </w:t>
      </w:r>
      <w:r w:rsidR="0087327B">
        <w:rPr>
          <w:rFonts w:ascii="Calibri" w:hAnsi="Calibri" w:cs="Calibri"/>
        </w:rPr>
        <w:t>fewer</w:t>
      </w:r>
      <w:r>
        <w:rPr>
          <w:rFonts w:ascii="Calibri" w:hAnsi="Calibri" w:cs="Calibri"/>
        </w:rPr>
        <w:t xml:space="preserve"> resources and a narrower subject selection, placing students at a disadvantage compared to their English peers. This affects subject choice, extracurricular engagement and access to elite universities, with long</w:t>
      </w:r>
      <w:r w:rsidR="003D76E7">
        <w:rPr>
          <w:rFonts w:ascii="Calibri" w:hAnsi="Calibri" w:cs="Calibri"/>
        </w:rPr>
        <w:t>-</w:t>
      </w:r>
      <w:r>
        <w:rPr>
          <w:rFonts w:ascii="Calibri" w:hAnsi="Calibri" w:cs="Calibri"/>
        </w:rPr>
        <w:t>term implications that may reinforce regional inequalities in education and career opportunities.</w:t>
      </w:r>
    </w:p>
    <w:p w14:paraId="2ABA9EF4" w14:textId="77777777" w:rsidR="005E4C3E" w:rsidRDefault="00BF3721">
      <w:pPr>
        <w:rPr>
          <w:rFonts w:ascii="Calibri" w:hAnsi="Calibri" w:cs="Calibri"/>
        </w:rPr>
      </w:pPr>
      <w:r>
        <w:rPr>
          <w:rFonts w:ascii="Calibri" w:hAnsi="Calibri" w:cs="Calibri"/>
        </w:rPr>
        <w:t xml:space="preserve">Going forward, further research on a larger scale is recommended, as it can capture a wider range of schools and participants, which allows generalisability of the results. Future studies should also explore student perspectives in greater depth by asking questions such as: </w:t>
      </w:r>
    </w:p>
    <w:p w14:paraId="2ABA9EF5" w14:textId="77777777" w:rsidR="005E4C3E" w:rsidRDefault="00BF3721">
      <w:pPr>
        <w:numPr>
          <w:ilvl w:val="0"/>
          <w:numId w:val="15"/>
        </w:numPr>
        <w:rPr>
          <w:rFonts w:ascii="Calibri" w:hAnsi="Calibri" w:cs="Calibri"/>
        </w:rPr>
      </w:pPr>
      <w:r>
        <w:rPr>
          <w:rFonts w:ascii="Calibri" w:hAnsi="Calibri" w:cs="Calibri"/>
        </w:rPr>
        <w:t xml:space="preserve">What subjects or extracurriculars would you like your school to offer? </w:t>
      </w:r>
    </w:p>
    <w:p w14:paraId="2ABA9EF6" w14:textId="77777777" w:rsidR="005E4C3E" w:rsidRDefault="00BF3721">
      <w:pPr>
        <w:numPr>
          <w:ilvl w:val="0"/>
          <w:numId w:val="15"/>
        </w:numPr>
        <w:rPr>
          <w:rFonts w:ascii="Calibri" w:hAnsi="Calibri" w:cs="Calibri"/>
        </w:rPr>
      </w:pPr>
      <w:r>
        <w:rPr>
          <w:rFonts w:ascii="Calibri" w:hAnsi="Calibri" w:cs="Calibri"/>
        </w:rPr>
        <w:t>Why would you like your school to offer these?</w:t>
      </w:r>
    </w:p>
    <w:p w14:paraId="2ABA9EF7" w14:textId="77777777" w:rsidR="005E4C3E" w:rsidRDefault="00BF3721">
      <w:pPr>
        <w:numPr>
          <w:ilvl w:val="0"/>
          <w:numId w:val="15"/>
        </w:numPr>
        <w:rPr>
          <w:rFonts w:ascii="Calibri" w:hAnsi="Calibri" w:cs="Calibri"/>
        </w:rPr>
      </w:pPr>
      <w:r>
        <w:rPr>
          <w:rFonts w:ascii="Calibri" w:hAnsi="Calibri" w:cs="Calibri"/>
        </w:rPr>
        <w:t>Would you take part in these extracurriculars if they were available?</w:t>
      </w:r>
    </w:p>
    <w:p w14:paraId="2ABA9EF8" w14:textId="77777777" w:rsidR="005E4C3E" w:rsidRDefault="00BF3721">
      <w:pPr>
        <w:numPr>
          <w:ilvl w:val="0"/>
          <w:numId w:val="15"/>
        </w:numPr>
        <w:rPr>
          <w:rFonts w:ascii="Calibri" w:hAnsi="Calibri" w:cs="Calibri"/>
        </w:rPr>
      </w:pPr>
      <w:r>
        <w:rPr>
          <w:rFonts w:ascii="Calibri" w:hAnsi="Calibri" w:cs="Calibri"/>
        </w:rPr>
        <w:t>Would you study these subjects if they were available?</w:t>
      </w:r>
    </w:p>
    <w:p w14:paraId="2ABA9EF9" w14:textId="77777777" w:rsidR="005E4C3E" w:rsidRDefault="00BF3721">
      <w:pPr>
        <w:numPr>
          <w:ilvl w:val="0"/>
          <w:numId w:val="15"/>
        </w:numPr>
        <w:rPr>
          <w:rFonts w:ascii="Calibri" w:hAnsi="Calibri" w:cs="Calibri"/>
        </w:rPr>
      </w:pPr>
      <w:r>
        <w:rPr>
          <w:rFonts w:ascii="Calibri" w:hAnsi="Calibri" w:cs="Calibri"/>
        </w:rPr>
        <w:t>Do you think you can achieve a different grade in this subject?</w:t>
      </w:r>
    </w:p>
    <w:p w14:paraId="2ABA9EFA" w14:textId="77777777" w:rsidR="005E4C3E" w:rsidRDefault="00BF3721">
      <w:pPr>
        <w:numPr>
          <w:ilvl w:val="0"/>
          <w:numId w:val="15"/>
        </w:numPr>
        <w:rPr>
          <w:rFonts w:ascii="Calibri" w:hAnsi="Calibri" w:cs="Calibri"/>
        </w:rPr>
      </w:pPr>
      <w:r>
        <w:rPr>
          <w:rFonts w:ascii="Calibri" w:hAnsi="Calibri" w:cs="Calibri"/>
        </w:rPr>
        <w:t xml:space="preserve">What grades do you think you could achieve and why? </w:t>
      </w:r>
    </w:p>
    <w:p w14:paraId="2ABA9EFB" w14:textId="77777777" w:rsidR="005E4C3E" w:rsidRDefault="00BF3721">
      <w:pPr>
        <w:rPr>
          <w:rFonts w:ascii="Calibri" w:hAnsi="Calibri" w:cs="Calibri"/>
        </w:rPr>
      </w:pPr>
      <w:r>
        <w:rPr>
          <w:rFonts w:ascii="Calibri" w:hAnsi="Calibri" w:cs="Calibri"/>
        </w:rPr>
        <w:t xml:space="preserve">The answers could provide insights with a deeper understanding of how school offerings can shape student choice, motivation and outcomes. </w:t>
      </w:r>
    </w:p>
    <w:p w14:paraId="76828773" w14:textId="77777777" w:rsidR="00D33428" w:rsidRDefault="00BF3721">
      <w:pPr>
        <w:rPr>
          <w:rFonts w:ascii="Calibri" w:hAnsi="Calibri" w:cs="Calibri"/>
        </w:rPr>
      </w:pPr>
      <w:r>
        <w:rPr>
          <w:rFonts w:ascii="Calibri" w:hAnsi="Calibri" w:cs="Calibri"/>
        </w:rPr>
        <w:t>Additionally, it is recommended that policymakers increase funding for Northern Irish state schools to ensure all students across the UK receive an equitable education and have access to the same opportunities for academic success and future progression.</w:t>
      </w:r>
    </w:p>
    <w:p w14:paraId="61F416A2" w14:textId="77777777" w:rsidR="002D10FD" w:rsidRDefault="002D10FD">
      <w:pPr>
        <w:rPr>
          <w:rFonts w:ascii="Calibri" w:hAnsi="Calibri" w:cs="Calibri"/>
        </w:rPr>
      </w:pPr>
    </w:p>
    <w:p w14:paraId="2ABA9EFD" w14:textId="796A1A5E" w:rsidR="005E4C3E" w:rsidRPr="00D33428" w:rsidRDefault="00BF3721">
      <w:pPr>
        <w:rPr>
          <w:rFonts w:ascii="Calibri" w:hAnsi="Calibri" w:cs="Calibri"/>
        </w:rPr>
      </w:pPr>
      <w:r>
        <w:rPr>
          <w:rFonts w:ascii="Calibri" w:hAnsi="Calibri" w:cs="Calibri"/>
          <w:color w:val="000000"/>
          <w:sz w:val="32"/>
          <w:szCs w:val="32"/>
        </w:rPr>
        <w:lastRenderedPageBreak/>
        <w:t>References</w:t>
      </w:r>
    </w:p>
    <w:p w14:paraId="2ABA9EFE" w14:textId="77777777" w:rsidR="005E4C3E" w:rsidRDefault="00BF3721">
      <w:pPr>
        <w:pStyle w:val="ListParagraph"/>
        <w:numPr>
          <w:ilvl w:val="0"/>
          <w:numId w:val="16"/>
        </w:numPr>
      </w:pPr>
      <w:r>
        <w:rPr>
          <w:rFonts w:ascii="Calibri" w:hAnsi="Calibri" w:cs="Calibri"/>
          <w:color w:val="000000"/>
        </w:rPr>
        <w:t xml:space="preserve">S. Machin, S. McNally and G. Wyness, </w:t>
      </w:r>
      <w:r>
        <w:rPr>
          <w:rFonts w:ascii="Calibri" w:hAnsi="Calibri" w:cs="Calibri"/>
          <w:i/>
          <w:iCs/>
          <w:color w:val="000000"/>
        </w:rPr>
        <w:t>Educational Research</w:t>
      </w:r>
      <w:r>
        <w:rPr>
          <w:rFonts w:ascii="Calibri" w:hAnsi="Calibri" w:cs="Calibri"/>
          <w:color w:val="000000"/>
        </w:rPr>
        <w:t xml:space="preserve">, 2013, </w:t>
      </w:r>
      <w:r>
        <w:rPr>
          <w:rFonts w:ascii="Calibri" w:hAnsi="Calibri" w:cs="Calibri"/>
          <w:b/>
          <w:bCs/>
          <w:color w:val="000000"/>
        </w:rPr>
        <w:t>55</w:t>
      </w:r>
      <w:r>
        <w:rPr>
          <w:rFonts w:ascii="Calibri" w:hAnsi="Calibri" w:cs="Calibri"/>
          <w:color w:val="000000"/>
        </w:rPr>
        <w:t>, 139–164.</w:t>
      </w:r>
    </w:p>
    <w:p w14:paraId="2ABA9EFF" w14:textId="77777777" w:rsidR="005E4C3E" w:rsidRDefault="00BF3721">
      <w:pPr>
        <w:pStyle w:val="ListParagraph"/>
        <w:numPr>
          <w:ilvl w:val="0"/>
          <w:numId w:val="16"/>
        </w:numPr>
      </w:pPr>
      <w:r>
        <w:rPr>
          <w:rFonts w:ascii="Calibri" w:hAnsi="Calibri" w:cs="Calibri"/>
          <w:color w:val="000000"/>
        </w:rPr>
        <w:t xml:space="preserve">BBC News, </w:t>
      </w:r>
      <w:hyperlink r:id="rId28" w:history="1">
        <w:r>
          <w:rPr>
            <w:rStyle w:val="Hyperlink"/>
            <w:rFonts w:ascii="Calibri" w:hAnsi="Calibri" w:cs="Calibri"/>
          </w:rPr>
          <w:t>https://www.bbc.co.uk/news/education-34538222</w:t>
        </w:r>
      </w:hyperlink>
      <w:r>
        <w:rPr>
          <w:rFonts w:ascii="Calibri" w:hAnsi="Calibri" w:cs="Calibri"/>
          <w:color w:val="000000"/>
        </w:rPr>
        <w:t xml:space="preserve"> (accessed September 2025)</w:t>
      </w:r>
    </w:p>
    <w:p w14:paraId="2ABA9F00" w14:textId="77777777" w:rsidR="005E4C3E" w:rsidRDefault="00BF3721">
      <w:pPr>
        <w:pStyle w:val="ListParagraph"/>
        <w:numPr>
          <w:ilvl w:val="0"/>
          <w:numId w:val="16"/>
        </w:numPr>
      </w:pPr>
      <w:proofErr w:type="spellStart"/>
      <w:r>
        <w:rPr>
          <w:rFonts w:ascii="Calibri" w:hAnsi="Calibri" w:cs="Calibri"/>
          <w:color w:val="000000"/>
        </w:rPr>
        <w:t>tes</w:t>
      </w:r>
      <w:proofErr w:type="spellEnd"/>
      <w:r>
        <w:rPr>
          <w:rFonts w:ascii="Calibri" w:hAnsi="Calibri" w:cs="Calibri"/>
          <w:color w:val="000000"/>
        </w:rPr>
        <w:t xml:space="preserve"> magazine, </w:t>
      </w:r>
      <w:hyperlink r:id="rId29" w:anchor=":~:text=How%20many%20schools%20are%20there%20in%20Northern%20Ireland?,13%20independent%20schools" w:history="1">
        <w:r>
          <w:rPr>
            <w:rStyle w:val="Hyperlink"/>
            <w:rFonts w:ascii="Calibri" w:hAnsi="Calibri" w:cs="Calibri"/>
          </w:rPr>
          <w:t>https://www.tes.com/magazine/analysis/general/how-many-schools-in-the-uk#:~:text=How%20many%20schools%20are%20there%20in%20Northern%20Ireland?,13%20independent%20schools</w:t>
        </w:r>
      </w:hyperlink>
      <w:r>
        <w:rPr>
          <w:rFonts w:ascii="Calibri" w:hAnsi="Calibri" w:cs="Calibri"/>
          <w:color w:val="000000"/>
        </w:rPr>
        <w:t xml:space="preserve"> (accessed September 2025).</w:t>
      </w:r>
    </w:p>
    <w:p w14:paraId="2ABA9F01" w14:textId="77777777" w:rsidR="005E4C3E" w:rsidRDefault="00BF3721">
      <w:pPr>
        <w:pStyle w:val="ListParagraph"/>
        <w:numPr>
          <w:ilvl w:val="0"/>
          <w:numId w:val="16"/>
        </w:numPr>
      </w:pPr>
      <w:r>
        <w:rPr>
          <w:rFonts w:ascii="Calibri" w:hAnsi="Calibri" w:cs="Calibri"/>
          <w:color w:val="000000"/>
        </w:rPr>
        <w:t xml:space="preserve">V. K. Borooah and C Knox, </w:t>
      </w:r>
      <w:r>
        <w:rPr>
          <w:rFonts w:ascii="Calibri" w:hAnsi="Calibri" w:cs="Calibri"/>
          <w:i/>
          <w:iCs/>
          <w:color w:val="000000"/>
        </w:rPr>
        <w:t>Educational Review</w:t>
      </w:r>
      <w:r>
        <w:rPr>
          <w:rFonts w:ascii="Calibri" w:hAnsi="Calibri" w:cs="Calibri"/>
          <w:color w:val="000000"/>
        </w:rPr>
        <w:t>, 2016, </w:t>
      </w:r>
      <w:r>
        <w:rPr>
          <w:rFonts w:ascii="Calibri" w:hAnsi="Calibri" w:cs="Calibri"/>
          <w:b/>
          <w:bCs/>
          <w:color w:val="000000"/>
        </w:rPr>
        <w:t>69</w:t>
      </w:r>
      <w:r>
        <w:rPr>
          <w:rFonts w:ascii="Calibri" w:hAnsi="Calibri" w:cs="Calibri"/>
          <w:color w:val="000000"/>
        </w:rPr>
        <w:t xml:space="preserve">, 318–336. </w:t>
      </w:r>
    </w:p>
    <w:p w14:paraId="2ABA9F02" w14:textId="77777777" w:rsidR="005E4C3E" w:rsidRDefault="00BF3721">
      <w:pPr>
        <w:pStyle w:val="ListParagraph"/>
        <w:numPr>
          <w:ilvl w:val="0"/>
          <w:numId w:val="16"/>
        </w:numPr>
      </w:pPr>
      <w:r>
        <w:rPr>
          <w:rFonts w:ascii="Calibri" w:hAnsi="Calibri" w:cs="Calibri"/>
          <w:color w:val="000000"/>
        </w:rPr>
        <w:t xml:space="preserve">Department of Education, </w:t>
      </w:r>
      <w:hyperlink r:id="rId30" w:history="1">
        <w:r>
          <w:rPr>
            <w:rStyle w:val="Hyperlink"/>
            <w:rFonts w:ascii="Calibri" w:hAnsi="Calibri" w:cs="Calibri"/>
          </w:rPr>
          <w:t>https://www.education-ni.gov.uk/articles/statutory-curriculum#toc-0</w:t>
        </w:r>
      </w:hyperlink>
      <w:r>
        <w:rPr>
          <w:rFonts w:ascii="Calibri" w:hAnsi="Calibri" w:cs="Calibri"/>
          <w:color w:val="000000"/>
        </w:rPr>
        <w:t>, (accessed August 2025).</w:t>
      </w:r>
    </w:p>
    <w:p w14:paraId="2ABA9F03" w14:textId="77777777" w:rsidR="005E4C3E" w:rsidRDefault="00BF3721">
      <w:pPr>
        <w:pStyle w:val="ListParagraph"/>
        <w:numPr>
          <w:ilvl w:val="0"/>
          <w:numId w:val="16"/>
        </w:numPr>
      </w:pPr>
      <w:r>
        <w:rPr>
          <w:rFonts w:ascii="Calibri" w:hAnsi="Calibri" w:cs="Calibri"/>
          <w:color w:val="000000"/>
        </w:rPr>
        <w:t xml:space="preserve">GOV.UK, </w:t>
      </w:r>
      <w:hyperlink r:id="rId31" w:history="1">
        <w:r>
          <w:rPr>
            <w:rStyle w:val="Hyperlink"/>
            <w:rFonts w:ascii="Calibri" w:hAnsi="Calibri" w:cs="Calibri"/>
          </w:rPr>
          <w:t>https://www.gov.uk/government/collections/national-curriculum</w:t>
        </w:r>
      </w:hyperlink>
      <w:r>
        <w:rPr>
          <w:rFonts w:ascii="Calibri" w:hAnsi="Calibri" w:cs="Calibri"/>
          <w:color w:val="000000"/>
        </w:rPr>
        <w:t xml:space="preserve"> (accessed August 2025).</w:t>
      </w:r>
    </w:p>
    <w:p w14:paraId="2ABA9F04" w14:textId="77777777" w:rsidR="005E4C3E" w:rsidRDefault="00BF3721">
      <w:pPr>
        <w:pStyle w:val="ListParagraph"/>
        <w:numPr>
          <w:ilvl w:val="0"/>
          <w:numId w:val="16"/>
        </w:numPr>
      </w:pPr>
      <w:r>
        <w:rPr>
          <w:rFonts w:ascii="Calibri" w:hAnsi="Calibri" w:cs="Calibri"/>
          <w:color w:val="000000"/>
        </w:rPr>
        <w:t xml:space="preserve">Oxford Scholastica Academy, </w:t>
      </w:r>
      <w:hyperlink r:id="rId32" w:history="1">
        <w:r>
          <w:rPr>
            <w:rStyle w:val="Hyperlink"/>
            <w:rFonts w:ascii="Calibri" w:hAnsi="Calibri" w:cs="Calibri"/>
          </w:rPr>
          <w:t>https://www.oxfordscholastica.com/blog/university-preparation-articles/how-important-are-extracurriculars-for-ucas-applications/</w:t>
        </w:r>
      </w:hyperlink>
      <w:r>
        <w:rPr>
          <w:rFonts w:ascii="Calibri" w:hAnsi="Calibri" w:cs="Calibri"/>
          <w:color w:val="000000"/>
        </w:rPr>
        <w:t xml:space="preserve"> (accessed September 2025).</w:t>
      </w:r>
    </w:p>
    <w:p w14:paraId="2ABA9F05" w14:textId="77777777" w:rsidR="005E4C3E" w:rsidRDefault="00BF3721">
      <w:pPr>
        <w:pStyle w:val="ListParagraph"/>
        <w:numPr>
          <w:ilvl w:val="0"/>
          <w:numId w:val="16"/>
        </w:numPr>
      </w:pPr>
      <w:r>
        <w:rPr>
          <w:rFonts w:ascii="Calibri" w:hAnsi="Calibri" w:cs="Calibri"/>
          <w:color w:val="000000"/>
        </w:rPr>
        <w:t xml:space="preserve">B. V. Rao, </w:t>
      </w:r>
      <w:r>
        <w:rPr>
          <w:rFonts w:ascii="Calibri" w:hAnsi="Calibri" w:cs="Calibri"/>
          <w:i/>
          <w:iCs/>
          <w:color w:val="000000"/>
        </w:rPr>
        <w:t>International Journal of Applied Research</w:t>
      </w:r>
      <w:r>
        <w:rPr>
          <w:rFonts w:ascii="Calibri" w:hAnsi="Calibri" w:cs="Calibri"/>
          <w:color w:val="000000"/>
        </w:rPr>
        <w:t xml:space="preserve">, 2022, </w:t>
      </w:r>
      <w:r>
        <w:rPr>
          <w:rFonts w:ascii="Calibri" w:hAnsi="Calibri" w:cs="Calibri"/>
          <w:color w:val="000000"/>
          <w:lang w:val="pt-BR"/>
        </w:rPr>
        <w:t>DOI: 10.22271/</w:t>
      </w:r>
      <w:proofErr w:type="gramStart"/>
      <w:r>
        <w:rPr>
          <w:rFonts w:ascii="Calibri" w:hAnsi="Calibri" w:cs="Calibri"/>
          <w:color w:val="000000"/>
          <w:lang w:val="pt-BR"/>
        </w:rPr>
        <w:t>allresearch.2022.v8.i</w:t>
      </w:r>
      <w:proofErr w:type="gramEnd"/>
      <w:r>
        <w:rPr>
          <w:rFonts w:ascii="Calibri" w:hAnsi="Calibri" w:cs="Calibri"/>
          <w:color w:val="000000"/>
          <w:lang w:val="pt-BR"/>
        </w:rPr>
        <w:t>12a.10355.</w:t>
      </w:r>
    </w:p>
    <w:p w14:paraId="2ABA9F06" w14:textId="77777777" w:rsidR="005E4C3E" w:rsidRDefault="00BF3721">
      <w:pPr>
        <w:pStyle w:val="ListParagraph"/>
        <w:numPr>
          <w:ilvl w:val="0"/>
          <w:numId w:val="16"/>
        </w:numPr>
      </w:pPr>
      <w:r>
        <w:rPr>
          <w:rFonts w:ascii="Calibri" w:hAnsi="Calibri" w:cs="Calibri"/>
          <w:color w:val="000000"/>
          <w:lang w:val="pt-BR"/>
        </w:rPr>
        <w:t xml:space="preserve">University of Oxford, </w:t>
      </w:r>
      <w:hyperlink r:id="rId33" w:history="1">
        <w:r>
          <w:rPr>
            <w:rStyle w:val="Hyperlink"/>
            <w:rFonts w:ascii="Calibri" w:hAnsi="Calibri" w:cs="Calibri"/>
            <w:lang w:val="pt-BR"/>
          </w:rPr>
          <w:t>https://www.ox.ac.uk/oxfordforEM/resources</w:t>
        </w:r>
      </w:hyperlink>
      <w:r>
        <w:rPr>
          <w:rFonts w:ascii="Calibri" w:hAnsi="Calibri" w:cs="Calibri"/>
          <w:color w:val="000000"/>
          <w:lang w:val="pt-BR"/>
        </w:rPr>
        <w:t xml:space="preserve"> (accessed September 2025).</w:t>
      </w:r>
    </w:p>
    <w:p w14:paraId="2ABA9F07" w14:textId="77777777" w:rsidR="005E4C3E" w:rsidRDefault="00BF3721">
      <w:pPr>
        <w:pStyle w:val="ListParagraph"/>
        <w:numPr>
          <w:ilvl w:val="0"/>
          <w:numId w:val="16"/>
        </w:numPr>
      </w:pPr>
      <w:r>
        <w:rPr>
          <w:rFonts w:ascii="Calibri" w:hAnsi="Calibri" w:cs="Calibri"/>
          <w:color w:val="000000"/>
          <w:lang w:val="pt-BR"/>
        </w:rPr>
        <w:t xml:space="preserve">Times Higher Education, </w:t>
      </w:r>
      <w:hyperlink r:id="rId34" w:history="1">
        <w:r>
          <w:rPr>
            <w:rStyle w:val="Hyperlink"/>
            <w:rFonts w:ascii="Calibri" w:hAnsi="Calibri" w:cs="Calibri"/>
            <w:lang w:val="pt-BR"/>
          </w:rPr>
          <w:t>https://www.timeshighereducation.com/news/extra-curricular-activities-now-more-important-to-university-applications/2017980.article</w:t>
        </w:r>
      </w:hyperlink>
      <w:r>
        <w:rPr>
          <w:rFonts w:ascii="Calibri" w:hAnsi="Calibri" w:cs="Calibri"/>
          <w:color w:val="000000"/>
          <w:lang w:val="pt-BR"/>
        </w:rPr>
        <w:t>? (accessed September 2025).</w:t>
      </w:r>
    </w:p>
    <w:p w14:paraId="2ABA9F08" w14:textId="77777777" w:rsidR="005E4C3E" w:rsidRDefault="00BF3721">
      <w:pPr>
        <w:pStyle w:val="ListParagraph"/>
        <w:numPr>
          <w:ilvl w:val="0"/>
          <w:numId w:val="16"/>
        </w:numPr>
      </w:pPr>
      <w:r>
        <w:rPr>
          <w:rFonts w:ascii="Calibri" w:hAnsi="Calibri" w:cs="Calibri"/>
          <w:color w:val="000000"/>
        </w:rPr>
        <w:t xml:space="preserve">P. Davies and M. G. Ercolani, </w:t>
      </w:r>
      <w:r>
        <w:rPr>
          <w:rFonts w:ascii="Calibri" w:hAnsi="Calibri" w:cs="Calibri"/>
          <w:i/>
          <w:iCs/>
          <w:color w:val="000000"/>
        </w:rPr>
        <w:t>Oxford Review of Education</w:t>
      </w:r>
      <w:r>
        <w:rPr>
          <w:rFonts w:ascii="Calibri" w:hAnsi="Calibri" w:cs="Calibri"/>
          <w:color w:val="000000"/>
        </w:rPr>
        <w:t xml:space="preserve">, 2018, </w:t>
      </w:r>
      <w:r>
        <w:rPr>
          <w:rFonts w:ascii="Calibri" w:hAnsi="Calibri" w:cs="Calibri"/>
          <w:b/>
          <w:bCs/>
          <w:color w:val="000000"/>
        </w:rPr>
        <w:t>45</w:t>
      </w:r>
      <w:r>
        <w:rPr>
          <w:rFonts w:ascii="Calibri" w:hAnsi="Calibri" w:cs="Calibri"/>
          <w:color w:val="000000"/>
        </w:rPr>
        <w:t>, 1–31.</w:t>
      </w:r>
    </w:p>
    <w:p w14:paraId="2ABA9F09" w14:textId="77777777" w:rsidR="005E4C3E" w:rsidRDefault="00BF3721">
      <w:pPr>
        <w:pStyle w:val="ListParagraph"/>
        <w:numPr>
          <w:ilvl w:val="0"/>
          <w:numId w:val="16"/>
        </w:numPr>
      </w:pPr>
      <w:r>
        <w:rPr>
          <w:rFonts w:ascii="Calibri" w:hAnsi="Calibri" w:cs="Calibri"/>
          <w:color w:val="000000"/>
        </w:rPr>
        <w:t xml:space="preserve">CCEA, </w:t>
      </w:r>
      <w:hyperlink r:id="rId35" w:history="1">
        <w:r>
          <w:rPr>
            <w:rStyle w:val="Hyperlink"/>
            <w:rFonts w:ascii="Calibri" w:hAnsi="Calibri" w:cs="Calibri"/>
          </w:rPr>
          <w:t>https://ccea.org.uk/downloads/docs/Specifications/GCE/GCE%20Business%20Studies%20%282016%29/GCE%20Business%20Studies%20%282016%29-specification-Standard.pdf</w:t>
        </w:r>
      </w:hyperlink>
      <w:r>
        <w:rPr>
          <w:rFonts w:ascii="Calibri" w:hAnsi="Calibri" w:cs="Calibri"/>
          <w:color w:val="000000"/>
        </w:rPr>
        <w:t xml:space="preserve"> (accessed September 2025).</w:t>
      </w:r>
    </w:p>
    <w:p w14:paraId="2ABA9F0A" w14:textId="77777777" w:rsidR="005E4C3E" w:rsidRDefault="00BF3721">
      <w:pPr>
        <w:pStyle w:val="ListParagraph"/>
        <w:numPr>
          <w:ilvl w:val="0"/>
          <w:numId w:val="16"/>
        </w:numPr>
      </w:pPr>
      <w:r>
        <w:rPr>
          <w:rFonts w:ascii="Calibri" w:hAnsi="Calibri" w:cs="Calibri"/>
          <w:color w:val="000000"/>
        </w:rPr>
        <w:t xml:space="preserve">CCEA, </w:t>
      </w:r>
      <w:hyperlink r:id="rId36" w:history="1">
        <w:r>
          <w:rPr>
            <w:rStyle w:val="Hyperlink"/>
            <w:rFonts w:ascii="Calibri" w:hAnsi="Calibri" w:cs="Calibri"/>
          </w:rPr>
          <w:t>https://ccea.org.uk/downloads/docs/Specifications/GCE/GCE%20Mathematics%20%282018%29/GCE%20Mathematics%20%282018%29-specification-Standard.pdf</w:t>
        </w:r>
      </w:hyperlink>
      <w:r>
        <w:rPr>
          <w:rFonts w:ascii="Calibri" w:hAnsi="Calibri" w:cs="Calibri"/>
          <w:color w:val="000000"/>
        </w:rPr>
        <w:t xml:space="preserve"> (accessed September 2025).</w:t>
      </w:r>
    </w:p>
    <w:p w14:paraId="2ABA9F0B" w14:textId="77777777" w:rsidR="005E4C3E" w:rsidRDefault="00BF3721">
      <w:pPr>
        <w:pStyle w:val="ListParagraph"/>
        <w:numPr>
          <w:ilvl w:val="0"/>
          <w:numId w:val="16"/>
        </w:numPr>
      </w:pPr>
      <w:r>
        <w:rPr>
          <w:rFonts w:ascii="Calibri" w:hAnsi="Calibri" w:cs="Calibri"/>
          <w:color w:val="000000"/>
        </w:rPr>
        <w:t xml:space="preserve">Q. U. Ain, A. Thurston, A. </w:t>
      </w:r>
      <w:proofErr w:type="spellStart"/>
      <w:r>
        <w:rPr>
          <w:rFonts w:ascii="Calibri" w:hAnsi="Calibri" w:cs="Calibri"/>
          <w:color w:val="000000"/>
        </w:rPr>
        <w:t>MacKenzie</w:t>
      </w:r>
      <w:proofErr w:type="spellEnd"/>
      <w:r>
        <w:rPr>
          <w:rFonts w:ascii="Calibri" w:hAnsi="Calibri" w:cs="Calibri"/>
          <w:color w:val="000000"/>
        </w:rPr>
        <w:t xml:space="preserve"> and C. </w:t>
      </w:r>
      <w:proofErr w:type="spellStart"/>
      <w:r>
        <w:rPr>
          <w:rFonts w:ascii="Calibri" w:hAnsi="Calibri" w:cs="Calibri"/>
          <w:color w:val="000000"/>
        </w:rPr>
        <w:t>Ozkaya</w:t>
      </w:r>
      <w:proofErr w:type="spellEnd"/>
      <w:r>
        <w:rPr>
          <w:rFonts w:ascii="Calibri" w:hAnsi="Calibri" w:cs="Calibri"/>
          <w:color w:val="000000"/>
        </w:rPr>
        <w:t xml:space="preserve">, </w:t>
      </w:r>
      <w:r>
        <w:rPr>
          <w:rFonts w:ascii="Calibri" w:hAnsi="Calibri" w:cs="Calibri"/>
          <w:i/>
          <w:iCs/>
          <w:color w:val="000000"/>
        </w:rPr>
        <w:t>International Journal of Educational Research Open</w:t>
      </w:r>
      <w:r>
        <w:rPr>
          <w:rFonts w:ascii="Calibri" w:hAnsi="Calibri" w:cs="Calibri"/>
          <w:color w:val="000000"/>
        </w:rPr>
        <w:t xml:space="preserve">, 2023, </w:t>
      </w:r>
      <w:r>
        <w:rPr>
          <w:rFonts w:ascii="Calibri" w:hAnsi="Calibri" w:cs="Calibri"/>
          <w:b/>
          <w:bCs/>
          <w:color w:val="000000"/>
        </w:rPr>
        <w:t>4</w:t>
      </w:r>
      <w:r>
        <w:rPr>
          <w:rFonts w:ascii="Calibri" w:hAnsi="Calibri" w:cs="Calibri"/>
          <w:color w:val="000000"/>
        </w:rPr>
        <w:t>, 100248.</w:t>
      </w:r>
    </w:p>
    <w:p w14:paraId="2ABA9F0C" w14:textId="77777777" w:rsidR="005E4C3E" w:rsidRDefault="00BF3721">
      <w:pPr>
        <w:pStyle w:val="ListParagraph"/>
        <w:numPr>
          <w:ilvl w:val="0"/>
          <w:numId w:val="16"/>
        </w:numPr>
      </w:pPr>
      <w:r>
        <w:rPr>
          <w:rFonts w:ascii="Calibri" w:hAnsi="Calibri" w:cs="Calibri"/>
          <w:color w:val="000000"/>
        </w:rPr>
        <w:t xml:space="preserve">University of Cambridge, </w:t>
      </w:r>
      <w:hyperlink r:id="rId37" w:history="1">
        <w:r>
          <w:rPr>
            <w:rStyle w:val="Hyperlink"/>
            <w:rFonts w:ascii="Calibri" w:hAnsi="Calibri" w:cs="Calibri"/>
          </w:rPr>
          <w:t>https://www.undergraduate.study.cam.ac.uk/files/publications/undergrad_admissions_statistics_2022_cycle.pdf</w:t>
        </w:r>
      </w:hyperlink>
      <w:r>
        <w:rPr>
          <w:rFonts w:ascii="Calibri" w:hAnsi="Calibri" w:cs="Calibri"/>
          <w:color w:val="000000"/>
        </w:rPr>
        <w:t xml:space="preserve"> (accessed September 2025).</w:t>
      </w:r>
    </w:p>
    <w:p w14:paraId="2ABA9F0D" w14:textId="77777777" w:rsidR="005E4C3E" w:rsidRDefault="00BF3721">
      <w:pPr>
        <w:pStyle w:val="ListParagraph"/>
        <w:numPr>
          <w:ilvl w:val="0"/>
          <w:numId w:val="16"/>
        </w:numPr>
      </w:pPr>
      <w:r>
        <w:rPr>
          <w:rFonts w:ascii="Calibri" w:hAnsi="Calibri" w:cs="Calibri"/>
          <w:color w:val="000000"/>
        </w:rPr>
        <w:t xml:space="preserve">University of Oxford </w:t>
      </w:r>
      <w:hyperlink r:id="rId38" w:history="1">
        <w:r>
          <w:rPr>
            <w:rStyle w:val="Hyperlink"/>
            <w:rFonts w:ascii="Calibri" w:hAnsi="Calibri" w:cs="Calibri"/>
          </w:rPr>
          <w:t>https://www.ox.ac.uk/about/facts-and-figures/admissions-statistics/undergraduate-students/current/nation-region</w:t>
        </w:r>
      </w:hyperlink>
      <w:r>
        <w:rPr>
          <w:rFonts w:ascii="Calibri" w:hAnsi="Calibri" w:cs="Calibri"/>
          <w:color w:val="000000"/>
        </w:rPr>
        <w:t xml:space="preserve"> (accessed September 2025).</w:t>
      </w:r>
    </w:p>
    <w:p w14:paraId="2ABA9F0E" w14:textId="77777777" w:rsidR="005E4C3E" w:rsidRDefault="00BF3721">
      <w:pPr>
        <w:pStyle w:val="ListParagraph"/>
        <w:numPr>
          <w:ilvl w:val="0"/>
          <w:numId w:val="16"/>
        </w:numPr>
      </w:pPr>
      <w:r>
        <w:rPr>
          <w:rFonts w:ascii="Calibri" w:hAnsi="Calibri" w:cs="Calibri"/>
          <w:color w:val="000000"/>
        </w:rPr>
        <w:t xml:space="preserve">Student Finance NI, </w:t>
      </w:r>
      <w:hyperlink r:id="rId39" w:history="1">
        <w:r>
          <w:rPr>
            <w:rStyle w:val="Hyperlink"/>
            <w:rFonts w:ascii="Calibri" w:hAnsi="Calibri" w:cs="Calibri"/>
          </w:rPr>
          <w:t>https://www.studentfinanceni.co.uk/types-of-finance/undergraduate/full-time/tuition-fee-and-living-cost-students/help-with-the-costs-of-living/maintenance-loan/how-much-can-i-get/</w:t>
        </w:r>
      </w:hyperlink>
      <w:r>
        <w:rPr>
          <w:rFonts w:ascii="Calibri" w:hAnsi="Calibri" w:cs="Calibri"/>
          <w:color w:val="000000"/>
        </w:rPr>
        <w:t xml:space="preserve"> (accessed September 2025).</w:t>
      </w:r>
    </w:p>
    <w:p w14:paraId="2ABA9F0F" w14:textId="77777777" w:rsidR="005E4C3E" w:rsidRDefault="00BF3721">
      <w:pPr>
        <w:pStyle w:val="ListParagraph"/>
        <w:numPr>
          <w:ilvl w:val="0"/>
          <w:numId w:val="16"/>
        </w:numPr>
      </w:pPr>
      <w:r>
        <w:rPr>
          <w:rFonts w:ascii="Calibri" w:hAnsi="Calibri" w:cs="Calibri"/>
          <w:color w:val="000000"/>
        </w:rPr>
        <w:lastRenderedPageBreak/>
        <w:t xml:space="preserve">GOV.UK, </w:t>
      </w:r>
      <w:hyperlink r:id="rId40" w:history="1">
        <w:r>
          <w:rPr>
            <w:rStyle w:val="Hyperlink"/>
            <w:rFonts w:ascii="Calibri" w:hAnsi="Calibri" w:cs="Calibri"/>
          </w:rPr>
          <w:t>https://www.gov.uk/student-finance/new-fulltime-students</w:t>
        </w:r>
      </w:hyperlink>
      <w:r>
        <w:rPr>
          <w:rFonts w:ascii="Calibri" w:hAnsi="Calibri" w:cs="Calibri"/>
          <w:color w:val="000000"/>
        </w:rPr>
        <w:t xml:space="preserve"> (accessed September 2025).</w:t>
      </w:r>
    </w:p>
    <w:p w14:paraId="2ABA9F10" w14:textId="77777777" w:rsidR="005E4C3E" w:rsidRDefault="00BF3721">
      <w:pPr>
        <w:pStyle w:val="ListParagraph"/>
        <w:numPr>
          <w:ilvl w:val="0"/>
          <w:numId w:val="16"/>
        </w:numPr>
      </w:pPr>
      <w:r>
        <w:rPr>
          <w:rFonts w:ascii="Calibri" w:hAnsi="Calibri" w:cs="Calibri"/>
          <w:color w:val="000000"/>
        </w:rPr>
        <w:t xml:space="preserve">University of Cambridge, </w:t>
      </w:r>
      <w:hyperlink r:id="rId41" w:history="1">
        <w:r>
          <w:rPr>
            <w:rStyle w:val="Hyperlink"/>
            <w:rFonts w:ascii="Calibri" w:hAnsi="Calibri" w:cs="Calibri"/>
          </w:rPr>
          <w:t>https://www.cambridgestudents.cam.ac.uk/your-course/postgraduate-study/working-while-you-study</w:t>
        </w:r>
      </w:hyperlink>
      <w:r>
        <w:rPr>
          <w:rFonts w:ascii="Calibri" w:hAnsi="Calibri" w:cs="Calibri"/>
          <w:color w:val="000000"/>
        </w:rPr>
        <w:t xml:space="preserve"> (accessed September 2025).</w:t>
      </w:r>
    </w:p>
    <w:p w14:paraId="2ABA9F11" w14:textId="77777777" w:rsidR="005E4C3E" w:rsidRDefault="00BF3721">
      <w:pPr>
        <w:pStyle w:val="ListParagraph"/>
        <w:numPr>
          <w:ilvl w:val="0"/>
          <w:numId w:val="16"/>
        </w:numPr>
      </w:pPr>
      <w:proofErr w:type="spellStart"/>
      <w:r>
        <w:rPr>
          <w:rFonts w:ascii="Calibri" w:hAnsi="Calibri" w:cs="Calibri"/>
          <w:color w:val="000000"/>
        </w:rPr>
        <w:t>SpareRoom</w:t>
      </w:r>
      <w:proofErr w:type="spellEnd"/>
      <w:r>
        <w:rPr>
          <w:rFonts w:ascii="Calibri" w:hAnsi="Calibri" w:cs="Calibri"/>
          <w:color w:val="000000"/>
        </w:rPr>
        <w:t xml:space="preserve">, </w:t>
      </w:r>
      <w:hyperlink r:id="rId42" w:history="1">
        <w:r>
          <w:rPr>
            <w:rStyle w:val="Hyperlink"/>
            <w:rFonts w:ascii="Calibri" w:hAnsi="Calibri" w:cs="Calibri"/>
          </w:rPr>
          <w:t>https://www.spareroom.co.uk/content/info-statistics/universities-rents</w:t>
        </w:r>
      </w:hyperlink>
      <w:hyperlink r:id="rId43" w:history="1">
        <w:r>
          <w:rPr>
            <w:rStyle w:val="Hyperlink"/>
            <w:rFonts w:ascii="Calibri" w:hAnsi="Calibri" w:cs="Calibri"/>
          </w:rPr>
          <w:t>/</w:t>
        </w:r>
      </w:hyperlink>
      <w:r>
        <w:rPr>
          <w:rFonts w:ascii="Calibri" w:hAnsi="Calibri" w:cs="Calibri"/>
          <w:color w:val="000000"/>
        </w:rPr>
        <w:t xml:space="preserve"> (accessed September 2025)</w:t>
      </w:r>
    </w:p>
    <w:p w14:paraId="2ABA9F12" w14:textId="77777777" w:rsidR="005E4C3E" w:rsidRDefault="00BF3721">
      <w:pPr>
        <w:pStyle w:val="ListParagraph"/>
        <w:numPr>
          <w:ilvl w:val="0"/>
          <w:numId w:val="16"/>
        </w:numPr>
      </w:pPr>
      <w:r>
        <w:rPr>
          <w:rFonts w:ascii="Calibri" w:hAnsi="Calibri" w:cs="Calibri"/>
          <w:color w:val="000000"/>
        </w:rPr>
        <w:t xml:space="preserve">A. Addi-Raccah and M. </w:t>
      </w:r>
      <w:proofErr w:type="spellStart"/>
      <w:r>
        <w:rPr>
          <w:rFonts w:ascii="Calibri" w:hAnsi="Calibri" w:cs="Calibri"/>
          <w:color w:val="000000"/>
        </w:rPr>
        <w:t>Israelashvili</w:t>
      </w:r>
      <w:proofErr w:type="spellEnd"/>
      <w:r>
        <w:rPr>
          <w:rFonts w:ascii="Calibri" w:hAnsi="Calibri" w:cs="Calibri"/>
          <w:color w:val="000000"/>
        </w:rPr>
        <w:t>, </w:t>
      </w:r>
      <w:r>
        <w:rPr>
          <w:rFonts w:ascii="Calibri" w:hAnsi="Calibri" w:cs="Calibri"/>
          <w:i/>
          <w:iCs/>
          <w:color w:val="000000"/>
        </w:rPr>
        <w:t xml:space="preserve">High </w:t>
      </w:r>
      <w:proofErr w:type="spellStart"/>
      <w:r>
        <w:rPr>
          <w:rFonts w:ascii="Calibri" w:hAnsi="Calibri" w:cs="Calibri"/>
          <w:i/>
          <w:iCs/>
          <w:color w:val="000000"/>
        </w:rPr>
        <w:t>Educ</w:t>
      </w:r>
      <w:proofErr w:type="spellEnd"/>
      <w:r>
        <w:rPr>
          <w:rFonts w:ascii="Calibri" w:hAnsi="Calibri" w:cs="Calibri"/>
          <w:i/>
          <w:iCs/>
          <w:color w:val="000000"/>
        </w:rPr>
        <w:t xml:space="preserve"> Policy</w:t>
      </w:r>
      <w:r>
        <w:rPr>
          <w:rFonts w:ascii="Calibri" w:hAnsi="Calibri" w:cs="Calibri"/>
          <w:color w:val="000000"/>
        </w:rPr>
        <w:t>, 2014, </w:t>
      </w:r>
      <w:r>
        <w:rPr>
          <w:rFonts w:ascii="Calibri" w:hAnsi="Calibri" w:cs="Calibri"/>
          <w:b/>
          <w:bCs/>
          <w:color w:val="000000"/>
        </w:rPr>
        <w:t>27</w:t>
      </w:r>
      <w:r>
        <w:rPr>
          <w:rFonts w:ascii="Calibri" w:hAnsi="Calibri" w:cs="Calibri"/>
          <w:color w:val="000000"/>
        </w:rPr>
        <w:t>, 111–130.</w:t>
      </w:r>
    </w:p>
    <w:p w14:paraId="2ABA9F13" w14:textId="77777777" w:rsidR="005E4C3E" w:rsidRDefault="00BF3721">
      <w:pPr>
        <w:pStyle w:val="ListParagraph"/>
        <w:numPr>
          <w:ilvl w:val="0"/>
          <w:numId w:val="16"/>
        </w:numPr>
      </w:pPr>
      <w:r>
        <w:rPr>
          <w:rFonts w:ascii="Calibri" w:hAnsi="Calibri" w:cs="Calibri"/>
          <w:color w:val="000000"/>
        </w:rPr>
        <w:t xml:space="preserve">A. P. </w:t>
      </w:r>
      <w:proofErr w:type="spellStart"/>
      <w:r>
        <w:rPr>
          <w:rFonts w:ascii="Calibri" w:hAnsi="Calibri" w:cs="Calibri"/>
          <w:color w:val="000000"/>
        </w:rPr>
        <w:t>Burgessa</w:t>
      </w:r>
      <w:proofErr w:type="spellEnd"/>
      <w:r>
        <w:rPr>
          <w:rFonts w:ascii="Calibri" w:hAnsi="Calibri" w:cs="Calibri"/>
          <w:color w:val="000000"/>
        </w:rPr>
        <w:t xml:space="preserve">, M. S. </w:t>
      </w:r>
      <w:proofErr w:type="spellStart"/>
      <w:r>
        <w:rPr>
          <w:rFonts w:ascii="Calibri" w:hAnsi="Calibri" w:cs="Calibri"/>
          <w:color w:val="000000"/>
        </w:rPr>
        <w:t>Hortonb</w:t>
      </w:r>
      <w:proofErr w:type="spellEnd"/>
      <w:r>
        <w:rPr>
          <w:rFonts w:ascii="Calibri" w:hAnsi="Calibri" w:cs="Calibri"/>
          <w:color w:val="000000"/>
        </w:rPr>
        <w:t xml:space="preserve"> and E. </w:t>
      </w:r>
      <w:proofErr w:type="spellStart"/>
      <w:r>
        <w:rPr>
          <w:rFonts w:ascii="Calibri" w:hAnsi="Calibri" w:cs="Calibri"/>
          <w:color w:val="000000"/>
        </w:rPr>
        <w:t>Moores</w:t>
      </w:r>
      <w:proofErr w:type="spellEnd"/>
      <w:r>
        <w:rPr>
          <w:rFonts w:ascii="Calibri" w:hAnsi="Calibri" w:cs="Calibri"/>
          <w:color w:val="000000"/>
        </w:rPr>
        <w:t xml:space="preserve">, </w:t>
      </w:r>
      <w:proofErr w:type="spellStart"/>
      <w:r>
        <w:rPr>
          <w:rFonts w:ascii="Calibri" w:hAnsi="Calibri" w:cs="Calibri"/>
          <w:b/>
          <w:bCs/>
          <w:color w:val="000000"/>
        </w:rPr>
        <w:t>Heliyon</w:t>
      </w:r>
      <w:proofErr w:type="spellEnd"/>
      <w:r>
        <w:rPr>
          <w:rFonts w:ascii="Calibri" w:hAnsi="Calibri" w:cs="Calibri"/>
          <w:color w:val="000000"/>
        </w:rPr>
        <w:t>, 2021, 7</w:t>
      </w:r>
      <w:r>
        <w:rPr>
          <w:rFonts w:ascii="Calibri" w:hAnsi="Calibri" w:cs="Calibri"/>
          <w:color w:val="000000"/>
          <w:lang w:val="pt-BR"/>
        </w:rPr>
        <w:t xml:space="preserve">, DOI: </w:t>
      </w:r>
      <w:proofErr w:type="gramStart"/>
      <w:r>
        <w:rPr>
          <w:rFonts w:ascii="Calibri" w:hAnsi="Calibri" w:cs="Calibri"/>
          <w:color w:val="000000"/>
          <w:lang w:val="pt-BR"/>
        </w:rPr>
        <w:t>10.1016/j.heliyon.2021.e</w:t>
      </w:r>
      <w:proofErr w:type="gramEnd"/>
      <w:r>
        <w:rPr>
          <w:rFonts w:ascii="Calibri" w:hAnsi="Calibri" w:cs="Calibri"/>
          <w:color w:val="000000"/>
          <w:lang w:val="pt-BR"/>
        </w:rPr>
        <w:t>07518.</w:t>
      </w:r>
    </w:p>
    <w:p w14:paraId="2ABA9F14" w14:textId="77777777" w:rsidR="005E4C3E" w:rsidRDefault="00BF3721">
      <w:pPr>
        <w:pStyle w:val="ListParagraph"/>
        <w:numPr>
          <w:ilvl w:val="0"/>
          <w:numId w:val="16"/>
        </w:numPr>
      </w:pPr>
      <w:r>
        <w:rPr>
          <w:rFonts w:ascii="Calibri" w:hAnsi="Calibri" w:cs="Calibri"/>
          <w:color w:val="000000"/>
          <w:lang w:val="pt-BR"/>
        </w:rPr>
        <w:t xml:space="preserve">A. J. Stier, S. Sajjadi, F. Karimi, L. M. A. Bettencourt and M. G. Berman, </w:t>
      </w:r>
      <w:r>
        <w:rPr>
          <w:rFonts w:ascii="Calibri" w:hAnsi="Calibri" w:cs="Calibri"/>
          <w:i/>
          <w:iCs/>
          <w:color w:val="000000"/>
        </w:rPr>
        <w:t>Nat Commun</w:t>
      </w:r>
      <w:r>
        <w:rPr>
          <w:rFonts w:ascii="Calibri" w:hAnsi="Calibri" w:cs="Calibri"/>
          <w:color w:val="000000"/>
        </w:rPr>
        <w:t xml:space="preserve">, 2024 , </w:t>
      </w:r>
      <w:r>
        <w:rPr>
          <w:rFonts w:ascii="Calibri" w:hAnsi="Calibri" w:cs="Calibri"/>
          <w:b/>
          <w:bCs/>
          <w:color w:val="000000"/>
        </w:rPr>
        <w:t>15</w:t>
      </w:r>
      <w:r>
        <w:rPr>
          <w:rFonts w:ascii="Calibri" w:hAnsi="Calibri" w:cs="Calibri"/>
          <w:color w:val="000000"/>
        </w:rPr>
        <w:t>, DOI: 10.1038/s41467-024-45013-8.</w:t>
      </w:r>
    </w:p>
    <w:p w14:paraId="2ABA9F15" w14:textId="77777777" w:rsidR="005E4C3E" w:rsidRDefault="00BF3721">
      <w:pPr>
        <w:pStyle w:val="ListParagraph"/>
        <w:numPr>
          <w:ilvl w:val="0"/>
          <w:numId w:val="16"/>
        </w:numPr>
      </w:pPr>
      <w:r>
        <w:rPr>
          <w:rFonts w:ascii="Calibri" w:hAnsi="Calibri" w:cs="Calibri"/>
          <w:color w:val="000000"/>
        </w:rPr>
        <w:t xml:space="preserve">CDC, </w:t>
      </w:r>
      <w:hyperlink r:id="rId44" w:history="1">
        <w:r>
          <w:rPr>
            <w:rStyle w:val="Hyperlink"/>
            <w:rFonts w:ascii="Calibri" w:hAnsi="Calibri" w:cs="Calibri"/>
          </w:rPr>
          <w:t>https://www.cdc.gov/mmwr/volumes/73/su/su7304a4.htm</w:t>
        </w:r>
      </w:hyperlink>
      <w:r>
        <w:rPr>
          <w:rFonts w:ascii="Calibri" w:hAnsi="Calibri" w:cs="Calibri"/>
          <w:color w:val="000000"/>
        </w:rPr>
        <w:t xml:space="preserve"> (accessed September 2025). </w:t>
      </w:r>
    </w:p>
    <w:p w14:paraId="2ABA9F16" w14:textId="77777777" w:rsidR="005E4C3E" w:rsidRDefault="00BF3721">
      <w:pPr>
        <w:pStyle w:val="ListParagraph"/>
        <w:numPr>
          <w:ilvl w:val="0"/>
          <w:numId w:val="16"/>
        </w:numPr>
      </w:pPr>
      <w:r>
        <w:rPr>
          <w:rFonts w:ascii="Calibri" w:hAnsi="Calibri" w:cs="Calibri"/>
          <w:color w:val="000000"/>
        </w:rPr>
        <w:t xml:space="preserve">J. H. </w:t>
      </w:r>
      <w:proofErr w:type="spellStart"/>
      <w:r>
        <w:rPr>
          <w:rFonts w:ascii="Calibri" w:hAnsi="Calibri" w:cs="Calibri"/>
          <w:color w:val="000000"/>
        </w:rPr>
        <w:t>Bottiani</w:t>
      </w:r>
      <w:proofErr w:type="spellEnd"/>
      <w:r>
        <w:rPr>
          <w:rFonts w:ascii="Calibri" w:hAnsi="Calibri" w:cs="Calibri"/>
          <w:color w:val="000000"/>
        </w:rPr>
        <w:t xml:space="preserve">, H. L. McDaniel, L. Henderson, J. E. Castillo BA and C. P. Bradshaw, </w:t>
      </w:r>
      <w:r>
        <w:rPr>
          <w:rFonts w:ascii="Calibri" w:hAnsi="Calibri" w:cs="Calibri"/>
          <w:i/>
          <w:iCs/>
          <w:color w:val="000000"/>
        </w:rPr>
        <w:t>Journal of School Health</w:t>
      </w:r>
      <w:r>
        <w:rPr>
          <w:rFonts w:ascii="Calibri" w:hAnsi="Calibri" w:cs="Calibri"/>
          <w:color w:val="000000"/>
        </w:rPr>
        <w:t xml:space="preserve">, 2020, </w:t>
      </w:r>
      <w:r>
        <w:rPr>
          <w:rFonts w:ascii="Calibri" w:hAnsi="Calibri" w:cs="Calibri"/>
          <w:b/>
          <w:bCs/>
          <w:color w:val="000000"/>
        </w:rPr>
        <w:t>90</w:t>
      </w:r>
      <w:r>
        <w:rPr>
          <w:rFonts w:ascii="Calibri" w:hAnsi="Calibri" w:cs="Calibri"/>
          <w:color w:val="000000"/>
        </w:rPr>
        <w:t>, 1019-1029.</w:t>
      </w:r>
    </w:p>
    <w:p w14:paraId="2ABA9F17" w14:textId="77777777" w:rsidR="005E4C3E" w:rsidRDefault="00BF3721">
      <w:pPr>
        <w:pStyle w:val="ListParagraph"/>
        <w:numPr>
          <w:ilvl w:val="0"/>
          <w:numId w:val="16"/>
        </w:numPr>
      </w:pPr>
      <w:r>
        <w:rPr>
          <w:rFonts w:ascii="Calibri" w:hAnsi="Calibri" w:cs="Calibri"/>
          <w:color w:val="000000"/>
        </w:rPr>
        <w:t xml:space="preserve">Northern Ireland Assembly, </w:t>
      </w:r>
      <w:hyperlink r:id="rId45" w:history="1">
        <w:r>
          <w:rPr>
            <w:rStyle w:val="Hyperlink"/>
            <w:rFonts w:ascii="Calibri" w:hAnsi="Calibri" w:cs="Calibri"/>
          </w:rPr>
          <w:t>https://www.niassembly.gov.uk/globalassets/documents/raise/publications/2022-2027/2025/statistics/1325.pdf</w:t>
        </w:r>
      </w:hyperlink>
      <w:r>
        <w:rPr>
          <w:rFonts w:ascii="Calibri" w:hAnsi="Calibri" w:cs="Calibri"/>
          <w:color w:val="000000"/>
        </w:rPr>
        <w:t xml:space="preserve"> (accessed September 2025).</w:t>
      </w:r>
    </w:p>
    <w:p w14:paraId="2ABA9F18" w14:textId="77777777" w:rsidR="005E4C3E" w:rsidRDefault="00BF3721">
      <w:pPr>
        <w:pStyle w:val="ListParagraph"/>
        <w:numPr>
          <w:ilvl w:val="0"/>
          <w:numId w:val="16"/>
        </w:numPr>
      </w:pPr>
      <w:r>
        <w:rPr>
          <w:rFonts w:ascii="Calibri" w:hAnsi="Calibri" w:cs="Calibri"/>
          <w:color w:val="000000"/>
        </w:rPr>
        <w:t xml:space="preserve">Queen’s University Belfast, </w:t>
      </w:r>
      <w:hyperlink r:id="rId46" w:history="1">
        <w:r>
          <w:rPr>
            <w:rStyle w:val="Hyperlink"/>
            <w:rFonts w:ascii="Calibri" w:hAnsi="Calibri" w:cs="Calibri"/>
          </w:rPr>
          <w:t>https://pureadmin.qub.ac.uk/ws/portalfiles/portal/553531779/Filetoupload_1862560_en.pdf</w:t>
        </w:r>
      </w:hyperlink>
      <w:r>
        <w:rPr>
          <w:rFonts w:ascii="Calibri" w:hAnsi="Calibri" w:cs="Calibri"/>
          <w:color w:val="000000"/>
        </w:rPr>
        <w:t xml:space="preserve"> (accessed August 2025).</w:t>
      </w:r>
    </w:p>
    <w:p w14:paraId="2ABA9F19" w14:textId="77777777" w:rsidR="005E4C3E" w:rsidRDefault="00BF3721">
      <w:pPr>
        <w:pStyle w:val="ListParagraph"/>
        <w:numPr>
          <w:ilvl w:val="0"/>
          <w:numId w:val="16"/>
        </w:numPr>
      </w:pPr>
      <w:r>
        <w:rPr>
          <w:rFonts w:ascii="Calibri" w:hAnsi="Calibri" w:cs="Calibri"/>
          <w:color w:val="000000"/>
        </w:rPr>
        <w:t xml:space="preserve">Queen’s University Belfast, </w:t>
      </w:r>
      <w:hyperlink r:id="rId47" w:history="1">
        <w:r>
          <w:rPr>
            <w:rStyle w:val="Hyperlink"/>
            <w:rFonts w:ascii="Calibri" w:hAnsi="Calibri" w:cs="Calibri"/>
          </w:rPr>
          <w:t>https://www.qub.ac.uk/News/Allnews/2023/england-and-wales-less-segregated.html</w:t>
        </w:r>
      </w:hyperlink>
      <w:r>
        <w:rPr>
          <w:rFonts w:ascii="Calibri" w:hAnsi="Calibri" w:cs="Calibri"/>
          <w:color w:val="000000"/>
        </w:rPr>
        <w:t xml:space="preserve"> (accessed September 2025).</w:t>
      </w:r>
    </w:p>
    <w:p w14:paraId="2ABA9F1A" w14:textId="77777777" w:rsidR="005E4C3E" w:rsidRDefault="00BF3721">
      <w:pPr>
        <w:pStyle w:val="ListParagraph"/>
        <w:numPr>
          <w:ilvl w:val="0"/>
          <w:numId w:val="16"/>
        </w:numPr>
      </w:pPr>
      <w:r>
        <w:rPr>
          <w:rFonts w:ascii="Calibri" w:hAnsi="Calibri" w:cs="Calibri"/>
          <w:color w:val="000000"/>
        </w:rPr>
        <w:t xml:space="preserve">Eric A. Hanushek, </w:t>
      </w:r>
      <w:r>
        <w:rPr>
          <w:rFonts w:ascii="Calibri" w:hAnsi="Calibri" w:cs="Calibri"/>
          <w:i/>
          <w:iCs/>
          <w:color w:val="000000"/>
        </w:rPr>
        <w:t>Economics of Education Review</w:t>
      </w:r>
      <w:r>
        <w:rPr>
          <w:rFonts w:ascii="Calibri" w:hAnsi="Calibri" w:cs="Calibri"/>
          <w:color w:val="000000"/>
        </w:rPr>
        <w:t xml:space="preserve">, </w:t>
      </w:r>
      <w:r>
        <w:rPr>
          <w:rFonts w:ascii="Calibri" w:hAnsi="Calibri" w:cs="Calibri"/>
          <w:color w:val="000000"/>
          <w:lang w:val="fr-FR"/>
        </w:rPr>
        <w:t xml:space="preserve">2011, </w:t>
      </w:r>
      <w:r>
        <w:rPr>
          <w:rFonts w:ascii="Calibri" w:hAnsi="Calibri" w:cs="Calibri"/>
          <w:b/>
          <w:bCs/>
          <w:color w:val="000000"/>
          <w:lang w:val="fr-FR"/>
        </w:rPr>
        <w:t>30</w:t>
      </w:r>
      <w:r>
        <w:rPr>
          <w:rFonts w:ascii="Calibri" w:hAnsi="Calibri" w:cs="Calibri"/>
          <w:color w:val="000000"/>
          <w:lang w:val="fr-FR"/>
        </w:rPr>
        <w:t>, 466-479.</w:t>
      </w:r>
    </w:p>
    <w:p w14:paraId="2ABA9F1B" w14:textId="77777777" w:rsidR="005E4C3E" w:rsidRDefault="00BF3721">
      <w:pPr>
        <w:pStyle w:val="ListParagraph"/>
        <w:numPr>
          <w:ilvl w:val="0"/>
          <w:numId w:val="16"/>
        </w:numPr>
      </w:pPr>
      <w:r>
        <w:rPr>
          <w:rFonts w:ascii="Calibri" w:hAnsi="Calibri" w:cs="Calibri"/>
          <w:color w:val="000000"/>
          <w:lang w:val="pt-BR"/>
        </w:rPr>
        <w:t xml:space="preserve">A. Havis, </w:t>
      </w:r>
      <w:r>
        <w:rPr>
          <w:rFonts w:ascii="Calibri" w:hAnsi="Calibri" w:cs="Calibri"/>
          <w:i/>
          <w:iCs/>
          <w:color w:val="000000"/>
          <w:lang w:val="pt-BR"/>
        </w:rPr>
        <w:t>Journal of Education Sciences Research</w:t>
      </w:r>
      <w:r>
        <w:rPr>
          <w:rFonts w:ascii="Calibri" w:hAnsi="Calibri" w:cs="Calibri"/>
          <w:color w:val="000000"/>
          <w:lang w:val="pt-BR"/>
        </w:rPr>
        <w:t xml:space="preserve">, 2023, </w:t>
      </w:r>
      <w:r>
        <w:rPr>
          <w:rFonts w:ascii="Calibri" w:hAnsi="Calibri" w:cs="Calibri"/>
          <w:b/>
          <w:bCs/>
          <w:color w:val="000000"/>
          <w:lang w:val="pt-BR"/>
        </w:rPr>
        <w:t>13</w:t>
      </w:r>
      <w:r>
        <w:rPr>
          <w:rFonts w:ascii="Calibri" w:hAnsi="Calibri" w:cs="Calibri"/>
          <w:color w:val="000000"/>
          <w:lang w:val="pt-BR"/>
        </w:rPr>
        <w:t xml:space="preserve">, </w:t>
      </w:r>
      <w:r>
        <w:rPr>
          <w:rFonts w:ascii="Calibri" w:hAnsi="Calibri" w:cs="Calibri"/>
          <w:color w:val="000000"/>
        </w:rPr>
        <w:t>DOI: 10.22521/JESR.2023.13.3.24.</w:t>
      </w:r>
    </w:p>
    <w:p w14:paraId="2ABA9F1C" w14:textId="77777777" w:rsidR="005E4C3E" w:rsidRDefault="00BF3721">
      <w:pPr>
        <w:pStyle w:val="ListParagraph"/>
        <w:numPr>
          <w:ilvl w:val="0"/>
          <w:numId w:val="16"/>
        </w:numPr>
      </w:pPr>
      <w:r>
        <w:rPr>
          <w:rFonts w:ascii="Calibri" w:hAnsi="Calibri" w:cs="Calibri"/>
          <w:color w:val="000000"/>
        </w:rPr>
        <w:t xml:space="preserve">GOV.UK, </w:t>
      </w:r>
      <w:hyperlink r:id="rId48" w:history="1">
        <w:r>
          <w:rPr>
            <w:rStyle w:val="Hyperlink"/>
            <w:rFonts w:ascii="Calibri" w:hAnsi="Calibri" w:cs="Calibri"/>
          </w:rPr>
          <w:t>https://getintoteaching.education.gov.uk/steps-to-become-a-teacher</w:t>
        </w:r>
      </w:hyperlink>
      <w:r>
        <w:rPr>
          <w:rFonts w:ascii="Calibri" w:hAnsi="Calibri" w:cs="Calibri"/>
          <w:color w:val="000000"/>
        </w:rPr>
        <w:t xml:space="preserve"> (accessed September 2025).</w:t>
      </w:r>
    </w:p>
    <w:p w14:paraId="2ABA9F1D" w14:textId="77777777" w:rsidR="005E4C3E" w:rsidRDefault="00BF3721">
      <w:pPr>
        <w:pStyle w:val="ListParagraph"/>
        <w:numPr>
          <w:ilvl w:val="0"/>
          <w:numId w:val="16"/>
        </w:numPr>
      </w:pPr>
      <w:r>
        <w:rPr>
          <w:rFonts w:ascii="Calibri" w:hAnsi="Calibri" w:cs="Calibri"/>
          <w:color w:val="000000"/>
        </w:rPr>
        <w:t xml:space="preserve">Department of Education, </w:t>
      </w:r>
      <w:hyperlink r:id="rId49" w:history="1">
        <w:r>
          <w:rPr>
            <w:rStyle w:val="Hyperlink"/>
            <w:rFonts w:ascii="Calibri" w:hAnsi="Calibri" w:cs="Calibri"/>
          </w:rPr>
          <w:t>https://www.education-ni.gov.uk/articles/initial-teacher-education-courses-northern-ireland</w:t>
        </w:r>
      </w:hyperlink>
      <w:r>
        <w:rPr>
          <w:rFonts w:ascii="Calibri" w:hAnsi="Calibri" w:cs="Calibri"/>
          <w:color w:val="000000"/>
        </w:rPr>
        <w:t xml:space="preserve"> (accessed September 2025).</w:t>
      </w:r>
    </w:p>
    <w:p w14:paraId="2ABA9F1E" w14:textId="77777777" w:rsidR="005E4C3E" w:rsidRDefault="00BF3721">
      <w:pPr>
        <w:pStyle w:val="ListParagraph"/>
        <w:numPr>
          <w:ilvl w:val="0"/>
          <w:numId w:val="16"/>
        </w:numPr>
      </w:pPr>
      <w:r>
        <w:rPr>
          <w:rFonts w:ascii="Calibri" w:hAnsi="Calibri" w:cs="Calibri"/>
          <w:color w:val="000000"/>
        </w:rPr>
        <w:t xml:space="preserve">Queen’s university Belfast, </w:t>
      </w:r>
      <w:hyperlink r:id="rId50" w:history="1">
        <w:r>
          <w:rPr>
            <w:rStyle w:val="Hyperlink"/>
            <w:rFonts w:ascii="Calibri" w:hAnsi="Calibri" w:cs="Calibri"/>
          </w:rPr>
          <w:t>https://hecla.qub.ac.uk/schools/ssesw/study/postgraduate-taught/pgce</w:t>
        </w:r>
      </w:hyperlink>
      <w:hyperlink r:id="rId51" w:history="1">
        <w:r>
          <w:rPr>
            <w:rStyle w:val="Hyperlink"/>
            <w:rFonts w:ascii="Calibri" w:hAnsi="Calibri" w:cs="Calibri"/>
          </w:rPr>
          <w:t>/</w:t>
        </w:r>
      </w:hyperlink>
      <w:r>
        <w:rPr>
          <w:rFonts w:ascii="Calibri" w:hAnsi="Calibri" w:cs="Calibri"/>
          <w:color w:val="000000"/>
        </w:rPr>
        <w:t xml:space="preserve"> (accessed September 2025).</w:t>
      </w:r>
    </w:p>
    <w:p w14:paraId="2ABA9F1F" w14:textId="77777777" w:rsidR="005E4C3E" w:rsidRDefault="00BF3721">
      <w:pPr>
        <w:pStyle w:val="ListParagraph"/>
        <w:numPr>
          <w:ilvl w:val="0"/>
          <w:numId w:val="16"/>
        </w:numPr>
      </w:pPr>
      <w:r>
        <w:rPr>
          <w:rFonts w:ascii="Calibri" w:hAnsi="Calibri" w:cs="Calibri"/>
          <w:color w:val="000000"/>
        </w:rPr>
        <w:t xml:space="preserve">University of Leicester, </w:t>
      </w:r>
      <w:hyperlink r:id="rId52" w:history="1">
        <w:r>
          <w:rPr>
            <w:rStyle w:val="Hyperlink"/>
            <w:rFonts w:ascii="Calibri" w:hAnsi="Calibri" w:cs="Calibri"/>
          </w:rPr>
          <w:t>https://le.ac.uk/courses/secondary-education-pgce/</w:t>
        </w:r>
      </w:hyperlink>
      <w:hyperlink r:id="rId53" w:history="1">
        <w:r>
          <w:rPr>
            <w:rStyle w:val="Hyperlink"/>
            <w:rFonts w:ascii="Calibri" w:hAnsi="Calibri" w:cs="Calibri"/>
          </w:rPr>
          <w:t>2025</w:t>
        </w:r>
      </w:hyperlink>
      <w:r>
        <w:rPr>
          <w:rFonts w:ascii="Calibri" w:hAnsi="Calibri" w:cs="Calibri"/>
          <w:color w:val="000000"/>
        </w:rPr>
        <w:t xml:space="preserve"> (accessed September 2025).</w:t>
      </w:r>
    </w:p>
    <w:p w14:paraId="2ABA9F20" w14:textId="77777777" w:rsidR="005E4C3E" w:rsidRDefault="00BF3721">
      <w:pPr>
        <w:pStyle w:val="ListParagraph"/>
        <w:numPr>
          <w:ilvl w:val="0"/>
          <w:numId w:val="16"/>
        </w:numPr>
      </w:pPr>
      <w:r>
        <w:rPr>
          <w:rFonts w:ascii="Calibri" w:hAnsi="Calibri" w:cs="Calibri"/>
          <w:color w:val="000000"/>
        </w:rPr>
        <w:t xml:space="preserve">GOV.UK, </w:t>
      </w:r>
      <w:hyperlink r:id="rId54" w:history="1">
        <w:r>
          <w:rPr>
            <w:rStyle w:val="Hyperlink"/>
            <w:rFonts w:ascii="Calibri" w:hAnsi="Calibri" w:cs="Calibri"/>
          </w:rPr>
          <w:t>https://www.gov.uk/government/publications/intensive-training-and-practice/intensive-training-and-practice-itap</w:t>
        </w:r>
      </w:hyperlink>
      <w:r>
        <w:rPr>
          <w:rFonts w:ascii="Calibri" w:hAnsi="Calibri" w:cs="Calibri"/>
          <w:color w:val="000000"/>
        </w:rPr>
        <w:t>? (accessed September 2025)</w:t>
      </w:r>
    </w:p>
    <w:p w14:paraId="2ABA9F21" w14:textId="77777777" w:rsidR="005E4C3E" w:rsidRDefault="00BF3721">
      <w:pPr>
        <w:pStyle w:val="ListParagraph"/>
        <w:numPr>
          <w:ilvl w:val="0"/>
          <w:numId w:val="16"/>
        </w:numPr>
      </w:pPr>
      <w:r>
        <w:rPr>
          <w:rFonts w:ascii="Calibri" w:hAnsi="Calibri" w:cs="Calibri"/>
          <w:color w:val="000000"/>
        </w:rPr>
        <w:t xml:space="preserve">Department for Education, </w:t>
      </w:r>
      <w:hyperlink r:id="rId55" w:history="1">
        <w:r>
          <w:rPr>
            <w:rStyle w:val="Hyperlink"/>
            <w:rFonts w:ascii="Calibri" w:hAnsi="Calibri" w:cs="Calibri"/>
          </w:rPr>
          <w:t>https://assets.publishing.service.gov.uk/media/651d2587bef21800156ded01/National_funding_formula_for__schools_and_high_needs_2024_to_2025.pdf?utm_source=chatgpt.</w:t>
        </w:r>
      </w:hyperlink>
      <w:hyperlink r:id="rId56" w:history="1">
        <w:r>
          <w:rPr>
            <w:rStyle w:val="Hyperlink"/>
            <w:rFonts w:ascii="Calibri" w:hAnsi="Calibri" w:cs="Calibri"/>
          </w:rPr>
          <w:t>com</w:t>
        </w:r>
      </w:hyperlink>
      <w:r>
        <w:rPr>
          <w:rFonts w:ascii="Calibri" w:hAnsi="Calibri" w:cs="Calibri"/>
          <w:color w:val="000000"/>
        </w:rPr>
        <w:t xml:space="preserve"> (accessed September 2025).</w:t>
      </w:r>
    </w:p>
    <w:p w14:paraId="2ABA9F22" w14:textId="77777777" w:rsidR="005E4C3E" w:rsidRDefault="00BF3721">
      <w:pPr>
        <w:pStyle w:val="ListParagraph"/>
        <w:numPr>
          <w:ilvl w:val="0"/>
          <w:numId w:val="16"/>
        </w:numPr>
      </w:pPr>
      <w:r>
        <w:rPr>
          <w:rFonts w:ascii="Calibri" w:hAnsi="Calibri" w:cs="Calibri"/>
          <w:color w:val="000000"/>
        </w:rPr>
        <w:lastRenderedPageBreak/>
        <w:t xml:space="preserve">Northern Ireland Audit Office, </w:t>
      </w:r>
      <w:hyperlink r:id="rId57" w:history="1">
        <w:r>
          <w:rPr>
            <w:rStyle w:val="Hyperlink"/>
            <w:rFonts w:ascii="Calibri" w:hAnsi="Calibri" w:cs="Calibri"/>
          </w:rPr>
          <w:t>https://www.niauditoffice.gov.uk/publications/html-document/</w:t>
        </w:r>
      </w:hyperlink>
      <w:hyperlink r:id="rId58" w:history="1">
        <w:r>
          <w:rPr>
            <w:rStyle w:val="Hyperlink"/>
            <w:rFonts w:ascii="Calibri" w:hAnsi="Calibri" w:cs="Calibri"/>
          </w:rPr>
          <w:t>financial-health-schools</w:t>
        </w:r>
      </w:hyperlink>
      <w:r>
        <w:rPr>
          <w:rFonts w:ascii="Calibri" w:hAnsi="Calibri" w:cs="Calibri"/>
          <w:color w:val="000000"/>
        </w:rPr>
        <w:t xml:space="preserve"> (accessed September 2025).</w:t>
      </w:r>
    </w:p>
    <w:p w14:paraId="2ABA9F23" w14:textId="77777777" w:rsidR="005E4C3E" w:rsidRPr="00362976" w:rsidRDefault="00BF3721">
      <w:pPr>
        <w:pStyle w:val="ListParagraph"/>
        <w:numPr>
          <w:ilvl w:val="0"/>
          <w:numId w:val="16"/>
        </w:numPr>
      </w:pPr>
      <w:proofErr w:type="spellStart"/>
      <w:r>
        <w:rPr>
          <w:rFonts w:ascii="Calibri" w:hAnsi="Calibri" w:cs="Calibri"/>
          <w:color w:val="000000"/>
        </w:rPr>
        <w:t>EconStor</w:t>
      </w:r>
      <w:proofErr w:type="spellEnd"/>
      <w:r>
        <w:rPr>
          <w:rFonts w:ascii="Calibri" w:hAnsi="Calibri" w:cs="Calibri"/>
          <w:color w:val="000000"/>
        </w:rPr>
        <w:t xml:space="preserve">, </w:t>
      </w:r>
      <w:hyperlink r:id="rId59" w:history="1">
        <w:r>
          <w:rPr>
            <w:rStyle w:val="Hyperlink"/>
            <w:rFonts w:ascii="Calibri" w:hAnsi="Calibri" w:cs="Calibri"/>
          </w:rPr>
          <w:t>https://www.econstor.eu/bitstream/10419/114801/1/ERSA2000_149.</w:t>
        </w:r>
      </w:hyperlink>
      <w:hyperlink r:id="rId60" w:history="1">
        <w:r>
          <w:rPr>
            <w:rStyle w:val="Hyperlink"/>
            <w:rFonts w:ascii="Calibri" w:hAnsi="Calibri" w:cs="Calibri"/>
          </w:rPr>
          <w:t>pdf</w:t>
        </w:r>
      </w:hyperlink>
      <w:r>
        <w:rPr>
          <w:rFonts w:ascii="Calibri" w:hAnsi="Calibri" w:cs="Calibri"/>
          <w:color w:val="000000"/>
        </w:rPr>
        <w:t xml:space="preserve"> (accessed September 2025).</w:t>
      </w:r>
    </w:p>
    <w:p w14:paraId="0A04407D" w14:textId="25708A9F" w:rsidR="00362976" w:rsidRDefault="00362976">
      <w:pPr>
        <w:pStyle w:val="ListParagraph"/>
        <w:numPr>
          <w:ilvl w:val="0"/>
          <w:numId w:val="16"/>
        </w:numPr>
      </w:pPr>
      <w:r>
        <w:rPr>
          <w:rFonts w:ascii="Calibri" w:hAnsi="Calibri" w:cs="Calibri"/>
          <w:color w:val="000000"/>
        </w:rPr>
        <w:t xml:space="preserve">Queen’s University Belfast, </w:t>
      </w:r>
      <w:hyperlink r:id="rId61" w:history="1">
        <w:r w:rsidRPr="00E15D23">
          <w:rPr>
            <w:rStyle w:val="Hyperlink"/>
            <w:rFonts w:ascii="Calibri" w:hAnsi="Calibri" w:cs="Calibri"/>
          </w:rPr>
          <w:t>https://www.qub.ac.uk/International/International-students/University-life/</w:t>
        </w:r>
      </w:hyperlink>
      <w:r>
        <w:rPr>
          <w:rFonts w:ascii="Calibri" w:hAnsi="Calibri" w:cs="Calibri"/>
          <w:color w:val="000000"/>
        </w:rPr>
        <w:t xml:space="preserve"> (accessed September 2025).</w:t>
      </w:r>
    </w:p>
    <w:p w14:paraId="2ABA9F24" w14:textId="77777777" w:rsidR="005E4C3E" w:rsidRDefault="005E4C3E">
      <w:pPr>
        <w:rPr>
          <w:rFonts w:ascii="Calibri" w:hAnsi="Calibri" w:cs="Calibri"/>
          <w:color w:val="000000"/>
        </w:rPr>
      </w:pPr>
    </w:p>
    <w:sectPr w:rsidR="005E4C3E">
      <w:pgSz w:w="11906" w:h="16838"/>
      <w:pgMar w:top="1440" w:right="1080" w:bottom="144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543DC" w14:textId="77777777" w:rsidR="00463EC5" w:rsidRDefault="00463EC5">
      <w:pPr>
        <w:spacing w:after="0" w:line="240" w:lineRule="auto"/>
      </w:pPr>
      <w:r>
        <w:separator/>
      </w:r>
    </w:p>
  </w:endnote>
  <w:endnote w:type="continuationSeparator" w:id="0">
    <w:p w14:paraId="441545AB" w14:textId="77777777" w:rsidR="00463EC5" w:rsidRDefault="00463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E3EE38" w14:textId="77777777" w:rsidR="00463EC5" w:rsidRDefault="00463EC5">
      <w:pPr>
        <w:spacing w:after="0" w:line="240" w:lineRule="auto"/>
      </w:pPr>
      <w:r>
        <w:rPr>
          <w:color w:val="000000"/>
        </w:rPr>
        <w:separator/>
      </w:r>
    </w:p>
  </w:footnote>
  <w:footnote w:type="continuationSeparator" w:id="0">
    <w:p w14:paraId="4F6923B8" w14:textId="77777777" w:rsidR="00463EC5" w:rsidRDefault="00463E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720CE"/>
    <w:multiLevelType w:val="multilevel"/>
    <w:tmpl w:val="70E8D46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095F88"/>
    <w:multiLevelType w:val="multilevel"/>
    <w:tmpl w:val="5672E97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34433C"/>
    <w:multiLevelType w:val="multilevel"/>
    <w:tmpl w:val="4F6439D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9D32599"/>
    <w:multiLevelType w:val="multilevel"/>
    <w:tmpl w:val="2892EFF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C901608"/>
    <w:multiLevelType w:val="multilevel"/>
    <w:tmpl w:val="E716F46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C927832"/>
    <w:multiLevelType w:val="multilevel"/>
    <w:tmpl w:val="E7DED19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3FF75B2"/>
    <w:multiLevelType w:val="multilevel"/>
    <w:tmpl w:val="205A852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83F0F70"/>
    <w:multiLevelType w:val="multilevel"/>
    <w:tmpl w:val="FC9C847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CE10889"/>
    <w:multiLevelType w:val="multilevel"/>
    <w:tmpl w:val="634480D2"/>
    <w:lvl w:ilvl="0">
      <w:numFmt w:val="bullet"/>
      <w:lvlText w:val="•"/>
      <w:lvlJc w:val="left"/>
      <w:pPr>
        <w:ind w:left="720" w:hanging="360"/>
      </w:pPr>
      <w:rPr>
        <w:rFonts w:ascii="Arial" w:hAnsi="Aria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rPr>
    </w:lvl>
    <w:lvl w:ilvl="3">
      <w:numFmt w:val="bullet"/>
      <w:lvlText w:val="•"/>
      <w:lvlJc w:val="left"/>
      <w:pPr>
        <w:ind w:left="2880" w:hanging="360"/>
      </w:pPr>
      <w:rPr>
        <w:rFonts w:ascii="Arial" w:hAnsi="Arial"/>
      </w:rPr>
    </w:lvl>
    <w:lvl w:ilvl="4">
      <w:numFmt w:val="bullet"/>
      <w:lvlText w:val="•"/>
      <w:lvlJc w:val="left"/>
      <w:pPr>
        <w:ind w:left="3600" w:hanging="360"/>
      </w:pPr>
      <w:rPr>
        <w:rFonts w:ascii="Arial" w:hAnsi="Arial"/>
      </w:rPr>
    </w:lvl>
    <w:lvl w:ilvl="5">
      <w:numFmt w:val="bullet"/>
      <w:lvlText w:val="•"/>
      <w:lvlJc w:val="left"/>
      <w:pPr>
        <w:ind w:left="4320" w:hanging="360"/>
      </w:pPr>
      <w:rPr>
        <w:rFonts w:ascii="Arial" w:hAnsi="Arial"/>
      </w:rPr>
    </w:lvl>
    <w:lvl w:ilvl="6">
      <w:numFmt w:val="bullet"/>
      <w:lvlText w:val="•"/>
      <w:lvlJc w:val="left"/>
      <w:pPr>
        <w:ind w:left="5040" w:hanging="360"/>
      </w:pPr>
      <w:rPr>
        <w:rFonts w:ascii="Arial" w:hAnsi="Arial"/>
      </w:rPr>
    </w:lvl>
    <w:lvl w:ilvl="7">
      <w:numFmt w:val="bullet"/>
      <w:lvlText w:val="•"/>
      <w:lvlJc w:val="left"/>
      <w:pPr>
        <w:ind w:left="5760" w:hanging="360"/>
      </w:pPr>
      <w:rPr>
        <w:rFonts w:ascii="Arial" w:hAnsi="Arial"/>
      </w:rPr>
    </w:lvl>
    <w:lvl w:ilvl="8">
      <w:numFmt w:val="bullet"/>
      <w:lvlText w:val="•"/>
      <w:lvlJc w:val="left"/>
      <w:pPr>
        <w:ind w:left="6480" w:hanging="360"/>
      </w:pPr>
      <w:rPr>
        <w:rFonts w:ascii="Arial" w:hAnsi="Arial"/>
      </w:rPr>
    </w:lvl>
  </w:abstractNum>
  <w:abstractNum w:abstractNumId="9" w15:restartNumberingAfterBreak="0">
    <w:nsid w:val="53CB5A2D"/>
    <w:multiLevelType w:val="multilevel"/>
    <w:tmpl w:val="822EAE2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6467EEF"/>
    <w:multiLevelType w:val="multilevel"/>
    <w:tmpl w:val="D9F668A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1861A04"/>
    <w:multiLevelType w:val="multilevel"/>
    <w:tmpl w:val="A60A487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4206EA9"/>
    <w:multiLevelType w:val="multilevel"/>
    <w:tmpl w:val="221C139A"/>
    <w:lvl w:ilvl="0">
      <w:numFmt w:val="bullet"/>
      <w:lvlText w:val="•"/>
      <w:lvlJc w:val="left"/>
      <w:pPr>
        <w:ind w:left="720" w:hanging="360"/>
      </w:pPr>
      <w:rPr>
        <w:rFonts w:ascii="Arial" w:hAnsi="Aria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rPr>
    </w:lvl>
    <w:lvl w:ilvl="3">
      <w:numFmt w:val="bullet"/>
      <w:lvlText w:val="•"/>
      <w:lvlJc w:val="left"/>
      <w:pPr>
        <w:ind w:left="2880" w:hanging="360"/>
      </w:pPr>
      <w:rPr>
        <w:rFonts w:ascii="Arial" w:hAnsi="Arial"/>
      </w:rPr>
    </w:lvl>
    <w:lvl w:ilvl="4">
      <w:numFmt w:val="bullet"/>
      <w:lvlText w:val="•"/>
      <w:lvlJc w:val="left"/>
      <w:pPr>
        <w:ind w:left="3600" w:hanging="360"/>
      </w:pPr>
      <w:rPr>
        <w:rFonts w:ascii="Arial" w:hAnsi="Arial"/>
      </w:rPr>
    </w:lvl>
    <w:lvl w:ilvl="5">
      <w:numFmt w:val="bullet"/>
      <w:lvlText w:val="•"/>
      <w:lvlJc w:val="left"/>
      <w:pPr>
        <w:ind w:left="4320" w:hanging="360"/>
      </w:pPr>
      <w:rPr>
        <w:rFonts w:ascii="Arial" w:hAnsi="Arial"/>
      </w:rPr>
    </w:lvl>
    <w:lvl w:ilvl="6">
      <w:numFmt w:val="bullet"/>
      <w:lvlText w:val="•"/>
      <w:lvlJc w:val="left"/>
      <w:pPr>
        <w:ind w:left="5040" w:hanging="360"/>
      </w:pPr>
      <w:rPr>
        <w:rFonts w:ascii="Arial" w:hAnsi="Arial"/>
      </w:rPr>
    </w:lvl>
    <w:lvl w:ilvl="7">
      <w:numFmt w:val="bullet"/>
      <w:lvlText w:val="•"/>
      <w:lvlJc w:val="left"/>
      <w:pPr>
        <w:ind w:left="5760" w:hanging="360"/>
      </w:pPr>
      <w:rPr>
        <w:rFonts w:ascii="Arial" w:hAnsi="Arial"/>
      </w:rPr>
    </w:lvl>
    <w:lvl w:ilvl="8">
      <w:numFmt w:val="bullet"/>
      <w:lvlText w:val="•"/>
      <w:lvlJc w:val="left"/>
      <w:pPr>
        <w:ind w:left="6480" w:hanging="360"/>
      </w:pPr>
      <w:rPr>
        <w:rFonts w:ascii="Arial" w:hAnsi="Arial"/>
      </w:rPr>
    </w:lvl>
  </w:abstractNum>
  <w:abstractNum w:abstractNumId="13" w15:restartNumberingAfterBreak="0">
    <w:nsid w:val="6CEF5607"/>
    <w:multiLevelType w:val="multilevel"/>
    <w:tmpl w:val="3A1CB28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1CF5580"/>
    <w:multiLevelType w:val="multilevel"/>
    <w:tmpl w:val="97FC30EC"/>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5" w15:restartNumberingAfterBreak="0">
    <w:nsid w:val="7E2B1DCC"/>
    <w:multiLevelType w:val="multilevel"/>
    <w:tmpl w:val="9300F56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851985819">
    <w:abstractNumId w:val="4"/>
  </w:num>
  <w:num w:numId="2" w16cid:durableId="760488002">
    <w:abstractNumId w:val="12"/>
  </w:num>
  <w:num w:numId="3" w16cid:durableId="1179544754">
    <w:abstractNumId w:val="3"/>
  </w:num>
  <w:num w:numId="4" w16cid:durableId="173610844">
    <w:abstractNumId w:val="13"/>
  </w:num>
  <w:num w:numId="5" w16cid:durableId="834567406">
    <w:abstractNumId w:val="0"/>
  </w:num>
  <w:num w:numId="6" w16cid:durableId="1178347920">
    <w:abstractNumId w:val="11"/>
  </w:num>
  <w:num w:numId="7" w16cid:durableId="1750689666">
    <w:abstractNumId w:val="2"/>
  </w:num>
  <w:num w:numId="8" w16cid:durableId="780493406">
    <w:abstractNumId w:val="7"/>
  </w:num>
  <w:num w:numId="9" w16cid:durableId="2026711299">
    <w:abstractNumId w:val="9"/>
  </w:num>
  <w:num w:numId="10" w16cid:durableId="1613047838">
    <w:abstractNumId w:val="10"/>
  </w:num>
  <w:num w:numId="11" w16cid:durableId="1040129880">
    <w:abstractNumId w:val="5"/>
  </w:num>
  <w:num w:numId="12" w16cid:durableId="1923566778">
    <w:abstractNumId w:val="6"/>
  </w:num>
  <w:num w:numId="13" w16cid:durableId="1094936343">
    <w:abstractNumId w:val="1"/>
  </w:num>
  <w:num w:numId="14" w16cid:durableId="2023361013">
    <w:abstractNumId w:val="15"/>
  </w:num>
  <w:num w:numId="15" w16cid:durableId="1087773427">
    <w:abstractNumId w:val="8"/>
  </w:num>
  <w:num w:numId="16" w16cid:durableId="38044607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C3E"/>
    <w:rsid w:val="00013D3F"/>
    <w:rsid w:val="000534B2"/>
    <w:rsid w:val="00061469"/>
    <w:rsid w:val="0006236F"/>
    <w:rsid w:val="00063744"/>
    <w:rsid w:val="00071416"/>
    <w:rsid w:val="00075315"/>
    <w:rsid w:val="000806DF"/>
    <w:rsid w:val="000907F8"/>
    <w:rsid w:val="000948AE"/>
    <w:rsid w:val="000C0B46"/>
    <w:rsid w:val="000D1500"/>
    <w:rsid w:val="000F393F"/>
    <w:rsid w:val="00192887"/>
    <w:rsid w:val="00195970"/>
    <w:rsid w:val="00197A2A"/>
    <w:rsid w:val="001F1D0C"/>
    <w:rsid w:val="00223AC4"/>
    <w:rsid w:val="00224407"/>
    <w:rsid w:val="00231F65"/>
    <w:rsid w:val="0023372E"/>
    <w:rsid w:val="002440CA"/>
    <w:rsid w:val="002457EA"/>
    <w:rsid w:val="002832EC"/>
    <w:rsid w:val="002904F5"/>
    <w:rsid w:val="002B3531"/>
    <w:rsid w:val="002D10FD"/>
    <w:rsid w:val="002E73E9"/>
    <w:rsid w:val="003115B2"/>
    <w:rsid w:val="003115D4"/>
    <w:rsid w:val="00312DAB"/>
    <w:rsid w:val="00340698"/>
    <w:rsid w:val="0034366D"/>
    <w:rsid w:val="00362976"/>
    <w:rsid w:val="00374A41"/>
    <w:rsid w:val="003B2A23"/>
    <w:rsid w:val="003C5E5D"/>
    <w:rsid w:val="003D76E7"/>
    <w:rsid w:val="00427ED6"/>
    <w:rsid w:val="00457BB7"/>
    <w:rsid w:val="00463EC5"/>
    <w:rsid w:val="00467107"/>
    <w:rsid w:val="00486B4F"/>
    <w:rsid w:val="004A6FD2"/>
    <w:rsid w:val="004C40FF"/>
    <w:rsid w:val="004E30D1"/>
    <w:rsid w:val="004F6201"/>
    <w:rsid w:val="00512F88"/>
    <w:rsid w:val="00537EB6"/>
    <w:rsid w:val="00545846"/>
    <w:rsid w:val="0055124C"/>
    <w:rsid w:val="00577016"/>
    <w:rsid w:val="0058383A"/>
    <w:rsid w:val="005A04FA"/>
    <w:rsid w:val="005B0675"/>
    <w:rsid w:val="005E4513"/>
    <w:rsid w:val="005E4C3E"/>
    <w:rsid w:val="005E5C45"/>
    <w:rsid w:val="005F1086"/>
    <w:rsid w:val="00632501"/>
    <w:rsid w:val="006343CA"/>
    <w:rsid w:val="006421AA"/>
    <w:rsid w:val="00645DF4"/>
    <w:rsid w:val="00677FDE"/>
    <w:rsid w:val="00690C9F"/>
    <w:rsid w:val="006F63BA"/>
    <w:rsid w:val="006F6FAF"/>
    <w:rsid w:val="00715485"/>
    <w:rsid w:val="007D6F9E"/>
    <w:rsid w:val="00864F8C"/>
    <w:rsid w:val="0087327B"/>
    <w:rsid w:val="00882A3B"/>
    <w:rsid w:val="008D687C"/>
    <w:rsid w:val="008E64B3"/>
    <w:rsid w:val="008F54DE"/>
    <w:rsid w:val="00900B8A"/>
    <w:rsid w:val="009072B2"/>
    <w:rsid w:val="00915716"/>
    <w:rsid w:val="00937EEA"/>
    <w:rsid w:val="00942017"/>
    <w:rsid w:val="00965FB8"/>
    <w:rsid w:val="00970D88"/>
    <w:rsid w:val="009822E3"/>
    <w:rsid w:val="009879EB"/>
    <w:rsid w:val="00990D06"/>
    <w:rsid w:val="00994E83"/>
    <w:rsid w:val="009B0D88"/>
    <w:rsid w:val="009B15C6"/>
    <w:rsid w:val="009C2A58"/>
    <w:rsid w:val="009C5A79"/>
    <w:rsid w:val="009E35A5"/>
    <w:rsid w:val="009F1F19"/>
    <w:rsid w:val="00A02D3B"/>
    <w:rsid w:val="00A37800"/>
    <w:rsid w:val="00A63EBA"/>
    <w:rsid w:val="00A84F01"/>
    <w:rsid w:val="00AC012C"/>
    <w:rsid w:val="00AF67CD"/>
    <w:rsid w:val="00B1639A"/>
    <w:rsid w:val="00B4341D"/>
    <w:rsid w:val="00B77BA8"/>
    <w:rsid w:val="00BE51E8"/>
    <w:rsid w:val="00BE58EF"/>
    <w:rsid w:val="00BF3721"/>
    <w:rsid w:val="00C173C7"/>
    <w:rsid w:val="00C32721"/>
    <w:rsid w:val="00C3773C"/>
    <w:rsid w:val="00C46922"/>
    <w:rsid w:val="00C513A8"/>
    <w:rsid w:val="00C5170D"/>
    <w:rsid w:val="00C53DAE"/>
    <w:rsid w:val="00C63355"/>
    <w:rsid w:val="00C87441"/>
    <w:rsid w:val="00C92EE4"/>
    <w:rsid w:val="00CB1895"/>
    <w:rsid w:val="00CC381A"/>
    <w:rsid w:val="00CC6C1E"/>
    <w:rsid w:val="00CE158F"/>
    <w:rsid w:val="00CE7D35"/>
    <w:rsid w:val="00D1515C"/>
    <w:rsid w:val="00D33428"/>
    <w:rsid w:val="00D4300C"/>
    <w:rsid w:val="00D62E91"/>
    <w:rsid w:val="00D66DB1"/>
    <w:rsid w:val="00D821E6"/>
    <w:rsid w:val="00D86167"/>
    <w:rsid w:val="00D87AAE"/>
    <w:rsid w:val="00D9346F"/>
    <w:rsid w:val="00DC0AA6"/>
    <w:rsid w:val="00DC2208"/>
    <w:rsid w:val="00DD3586"/>
    <w:rsid w:val="00E07084"/>
    <w:rsid w:val="00E14016"/>
    <w:rsid w:val="00E204CF"/>
    <w:rsid w:val="00E250DC"/>
    <w:rsid w:val="00E4348C"/>
    <w:rsid w:val="00E61106"/>
    <w:rsid w:val="00E66681"/>
    <w:rsid w:val="00E82602"/>
    <w:rsid w:val="00EB4779"/>
    <w:rsid w:val="00EB527F"/>
    <w:rsid w:val="00ED6C22"/>
    <w:rsid w:val="00EE116C"/>
    <w:rsid w:val="00EF3AC7"/>
    <w:rsid w:val="00F13772"/>
    <w:rsid w:val="00F353B0"/>
    <w:rsid w:val="00F57A71"/>
    <w:rsid w:val="00F60E12"/>
    <w:rsid w:val="00F8305D"/>
    <w:rsid w:val="00F84021"/>
    <w:rsid w:val="00FA13A6"/>
    <w:rsid w:val="00FA57A0"/>
    <w:rsid w:val="00FB497D"/>
    <w:rsid w:val="00FF7B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A9D6D"/>
  <w15:docId w15:val="{31F21D89-B19D-4DAB-AD00-DEBD144E0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Times New Roman"/>
        <w:kern w:val="3"/>
        <w:sz w:val="24"/>
        <w:szCs w:val="24"/>
        <w:lang w:val="en-GB" w:eastAsia="en-US" w:bidi="ar-SA"/>
      </w:rPr>
    </w:rPrDefault>
    <w:pPrDefault>
      <w:pPr>
        <w:autoSpaceDN w:val="0"/>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360" w:after="80"/>
      <w:outlineLvl w:val="0"/>
    </w:pPr>
    <w:rPr>
      <w:rFonts w:ascii="Aptos Display" w:eastAsia="Times New Roman" w:hAnsi="Aptos Di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Aptos Display" w:eastAsia="Times New Roman" w:hAnsi="Aptos Di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rFonts w:eastAsia="Times New Roman"/>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Times New Roman"/>
      <w:i/>
      <w:iCs/>
      <w:color w:val="0F4761"/>
    </w:rPr>
  </w:style>
  <w:style w:type="paragraph" w:styleId="Heading5">
    <w:name w:val="heading 5"/>
    <w:basedOn w:val="Normal"/>
    <w:next w:val="Normal"/>
    <w:uiPriority w:val="9"/>
    <w:semiHidden/>
    <w:unhideWhenUsed/>
    <w:qFormat/>
    <w:pPr>
      <w:keepNext/>
      <w:keepLines/>
      <w:spacing w:before="80" w:after="40"/>
      <w:outlineLvl w:val="4"/>
    </w:pPr>
    <w:rPr>
      <w:rFonts w:eastAsia="Times New Roman"/>
      <w:color w:val="0F4761"/>
    </w:rPr>
  </w:style>
  <w:style w:type="paragraph" w:styleId="Heading6">
    <w:name w:val="heading 6"/>
    <w:basedOn w:val="Normal"/>
    <w:next w:val="Normal"/>
    <w:uiPriority w:val="9"/>
    <w:semiHidden/>
    <w:unhideWhenUsed/>
    <w:qFormat/>
    <w:pPr>
      <w:keepNext/>
      <w:keepLines/>
      <w:spacing w:before="40" w:after="0"/>
      <w:outlineLvl w:val="5"/>
    </w:pPr>
    <w:rPr>
      <w:rFonts w:eastAsia="Times New Roman"/>
      <w:i/>
      <w:iCs/>
      <w:color w:val="595959"/>
    </w:rPr>
  </w:style>
  <w:style w:type="paragraph" w:styleId="Heading7">
    <w:name w:val="heading 7"/>
    <w:basedOn w:val="Normal"/>
    <w:next w:val="Normal"/>
    <w:pPr>
      <w:keepNext/>
      <w:keepLines/>
      <w:spacing w:before="40" w:after="0"/>
      <w:outlineLvl w:val="6"/>
    </w:pPr>
    <w:rPr>
      <w:rFonts w:eastAsia="Times New Roman"/>
      <w:color w:val="595959"/>
    </w:rPr>
  </w:style>
  <w:style w:type="paragraph" w:styleId="Heading8">
    <w:name w:val="heading 8"/>
    <w:basedOn w:val="Normal"/>
    <w:next w:val="Normal"/>
    <w:pPr>
      <w:keepNext/>
      <w:keepLines/>
      <w:spacing w:after="0"/>
      <w:outlineLvl w:val="7"/>
    </w:pPr>
    <w:rPr>
      <w:rFonts w:eastAsia="Times New Roman"/>
      <w:i/>
      <w:iCs/>
      <w:color w:val="272727"/>
    </w:rPr>
  </w:style>
  <w:style w:type="paragraph" w:styleId="Heading9">
    <w:name w:val="heading 9"/>
    <w:basedOn w:val="Normal"/>
    <w:next w:val="Normal"/>
    <w:pPr>
      <w:keepNext/>
      <w:keepLines/>
      <w:spacing w:after="0"/>
      <w:outlineLvl w:val="8"/>
    </w:pPr>
    <w:rPr>
      <w:rFonts w:eastAsia="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Aptos Display" w:eastAsia="Times New Roman" w:hAnsi="Aptos Display" w:cs="Times New Roman"/>
      <w:color w:val="0F4761"/>
      <w:sz w:val="40"/>
      <w:szCs w:val="40"/>
    </w:rPr>
  </w:style>
  <w:style w:type="character" w:customStyle="1" w:styleId="Heading2Char">
    <w:name w:val="Heading 2 Char"/>
    <w:basedOn w:val="DefaultParagraphFont"/>
    <w:rPr>
      <w:rFonts w:ascii="Aptos Display" w:eastAsia="Times New Roman" w:hAnsi="Aptos Display" w:cs="Times New Roman"/>
      <w:color w:val="0F4761"/>
      <w:sz w:val="32"/>
      <w:szCs w:val="32"/>
    </w:rPr>
  </w:style>
  <w:style w:type="character" w:customStyle="1" w:styleId="Heading3Char">
    <w:name w:val="Heading 3 Char"/>
    <w:basedOn w:val="DefaultParagraphFont"/>
    <w:rPr>
      <w:rFonts w:eastAsia="Times New Roman" w:cs="Times New Roman"/>
      <w:color w:val="0F4761"/>
      <w:sz w:val="28"/>
      <w:szCs w:val="28"/>
    </w:rPr>
  </w:style>
  <w:style w:type="character" w:customStyle="1" w:styleId="Heading4Char">
    <w:name w:val="Heading 4 Char"/>
    <w:basedOn w:val="DefaultParagraphFont"/>
    <w:rPr>
      <w:rFonts w:eastAsia="Times New Roman" w:cs="Times New Roman"/>
      <w:i/>
      <w:iCs/>
      <w:color w:val="0F4761"/>
    </w:rPr>
  </w:style>
  <w:style w:type="character" w:customStyle="1" w:styleId="Heading5Char">
    <w:name w:val="Heading 5 Char"/>
    <w:basedOn w:val="DefaultParagraphFont"/>
    <w:rPr>
      <w:rFonts w:eastAsia="Times New Roman" w:cs="Times New Roman"/>
      <w:color w:val="0F4761"/>
    </w:rPr>
  </w:style>
  <w:style w:type="character" w:customStyle="1" w:styleId="Heading6Char">
    <w:name w:val="Heading 6 Char"/>
    <w:basedOn w:val="DefaultParagraphFont"/>
    <w:rPr>
      <w:rFonts w:eastAsia="Times New Roman" w:cs="Times New Roman"/>
      <w:i/>
      <w:iCs/>
      <w:color w:val="595959"/>
    </w:rPr>
  </w:style>
  <w:style w:type="character" w:customStyle="1" w:styleId="Heading7Char">
    <w:name w:val="Heading 7 Char"/>
    <w:basedOn w:val="DefaultParagraphFont"/>
    <w:rPr>
      <w:rFonts w:eastAsia="Times New Roman" w:cs="Times New Roman"/>
      <w:color w:val="595959"/>
    </w:rPr>
  </w:style>
  <w:style w:type="character" w:customStyle="1" w:styleId="Heading8Char">
    <w:name w:val="Heading 8 Char"/>
    <w:basedOn w:val="DefaultParagraphFont"/>
    <w:rPr>
      <w:rFonts w:eastAsia="Times New Roman" w:cs="Times New Roman"/>
      <w:i/>
      <w:iCs/>
      <w:color w:val="272727"/>
    </w:rPr>
  </w:style>
  <w:style w:type="character" w:customStyle="1" w:styleId="Heading9Char">
    <w:name w:val="Heading 9 Char"/>
    <w:basedOn w:val="DefaultParagraphFont"/>
    <w:rPr>
      <w:rFonts w:eastAsia="Times New Roman" w:cs="Times New Roman"/>
      <w:color w:val="272727"/>
    </w:rPr>
  </w:style>
  <w:style w:type="paragraph" w:styleId="Title">
    <w:name w:val="Title"/>
    <w:basedOn w:val="Normal"/>
    <w:next w:val="Normal"/>
    <w:uiPriority w:val="10"/>
    <w:qFormat/>
    <w:pPr>
      <w:spacing w:after="80" w:line="240" w:lineRule="auto"/>
      <w:contextualSpacing/>
    </w:pPr>
    <w:rPr>
      <w:rFonts w:ascii="Aptos Display" w:eastAsia="Times New Roman" w:hAnsi="Aptos Display"/>
      <w:spacing w:val="-10"/>
      <w:sz w:val="56"/>
      <w:szCs w:val="56"/>
    </w:rPr>
  </w:style>
  <w:style w:type="character" w:customStyle="1" w:styleId="TitleChar">
    <w:name w:val="Title Char"/>
    <w:basedOn w:val="DefaultParagraphFont"/>
    <w:rPr>
      <w:rFonts w:ascii="Aptos Display" w:eastAsia="Times New Roman" w:hAnsi="Aptos Display" w:cs="Times New Roman"/>
      <w:spacing w:val="-10"/>
      <w:kern w:val="3"/>
      <w:sz w:val="56"/>
      <w:szCs w:val="56"/>
    </w:rPr>
  </w:style>
  <w:style w:type="paragraph" w:styleId="Subtitle">
    <w:name w:val="Subtitle"/>
    <w:basedOn w:val="Normal"/>
    <w:next w:val="Normal"/>
    <w:uiPriority w:val="11"/>
    <w:qFormat/>
    <w:rPr>
      <w:rFonts w:eastAsia="Times New Roman"/>
      <w:color w:val="595959"/>
      <w:spacing w:val="15"/>
      <w:sz w:val="28"/>
      <w:szCs w:val="28"/>
    </w:rPr>
  </w:style>
  <w:style w:type="character" w:customStyle="1" w:styleId="SubtitleChar">
    <w:name w:val="Subtitle Char"/>
    <w:basedOn w:val="DefaultParagraphFont"/>
    <w:rPr>
      <w:rFonts w:eastAsia="Times New Roman" w:cs="Times New Roman"/>
      <w:color w:val="595959"/>
      <w:spacing w:val="15"/>
      <w:sz w:val="28"/>
      <w:szCs w:val="28"/>
    </w:rPr>
  </w:style>
  <w:style w:type="paragraph" w:styleId="Quote">
    <w:name w:val="Quote"/>
    <w:basedOn w:val="Normal"/>
    <w:next w:val="Normal"/>
    <w:pPr>
      <w:spacing w:before="160"/>
      <w:jc w:val="center"/>
    </w:pPr>
    <w:rPr>
      <w:i/>
      <w:iCs/>
      <w:color w:val="404040"/>
    </w:rPr>
  </w:style>
  <w:style w:type="character" w:customStyle="1" w:styleId="QuoteChar">
    <w:name w:val="Quote Char"/>
    <w:basedOn w:val="DefaultParagraphFont"/>
    <w:rPr>
      <w:i/>
      <w:iCs/>
      <w:color w:val="404040"/>
    </w:rPr>
  </w:style>
  <w:style w:type="paragraph" w:styleId="ListParagraph">
    <w:name w:val="List Paragraph"/>
    <w:basedOn w:val="Normal"/>
    <w:pPr>
      <w:ind w:left="720"/>
      <w:contextualSpacing/>
    </w:pPr>
  </w:style>
  <w:style w:type="character" w:styleId="IntenseEmphasis">
    <w:name w:val="Intense Emphasis"/>
    <w:basedOn w:val="DefaultParagraphFont"/>
    <w:rPr>
      <w:i/>
      <w:iCs/>
      <w:color w:val="0F4761"/>
    </w:rPr>
  </w:style>
  <w:style w:type="paragraph" w:styleId="IntenseQuote">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rPr>
      <w:i/>
      <w:iCs/>
      <w:color w:val="0F4761"/>
    </w:rPr>
  </w:style>
  <w:style w:type="character" w:styleId="IntenseReference">
    <w:name w:val="Intense Reference"/>
    <w:basedOn w:val="DefaultParagraphFont"/>
    <w:rPr>
      <w:b/>
      <w:bCs/>
      <w:smallCaps/>
      <w:color w:val="0F4761"/>
      <w:spacing w:val="5"/>
    </w:rPr>
  </w:style>
  <w:style w:type="character" w:styleId="Hyperlink">
    <w:name w:val="Hyperlink"/>
    <w:basedOn w:val="DefaultParagraphFont"/>
    <w:rPr>
      <w:color w:val="467886"/>
      <w:u w:val="single"/>
    </w:rPr>
  </w:style>
  <w:style w:type="character" w:styleId="UnresolvedMention">
    <w:name w:val="Unresolved Mention"/>
    <w:basedOn w:val="DefaultParagraphFont"/>
    <w:rPr>
      <w:color w:val="605E5C"/>
      <w:shd w:val="clear" w:color="auto" w:fill="E1DFDD"/>
    </w:rPr>
  </w:style>
  <w:style w:type="paragraph" w:styleId="Header">
    <w:name w:val="header"/>
    <w:basedOn w:val="Normal"/>
    <w:link w:val="HeaderChar"/>
    <w:uiPriority w:val="99"/>
    <w:semiHidden/>
    <w:unhideWhenUsed/>
    <w:rsid w:val="00D62E9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62E91"/>
  </w:style>
  <w:style w:type="paragraph" w:styleId="Footer">
    <w:name w:val="footer"/>
    <w:basedOn w:val="Normal"/>
    <w:link w:val="FooterChar"/>
    <w:uiPriority w:val="99"/>
    <w:semiHidden/>
    <w:unhideWhenUsed/>
    <w:rsid w:val="00D62E9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D62E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9" Type="http://schemas.openxmlformats.org/officeDocument/2006/relationships/hyperlink" Target="https://www.studentfinanceni.co.uk/types-of-finance/undergraduate/full-time/tuition-fee-and-living-cost-students/help-with-the-costs-of-living/maintenance-loan/how-much-can-i-get/" TargetMode="External"/><Relationship Id="rId21" Type="http://schemas.openxmlformats.org/officeDocument/2006/relationships/chart" Target="charts/chart14.xml"/><Relationship Id="rId34" Type="http://schemas.openxmlformats.org/officeDocument/2006/relationships/hyperlink" Target="https://www.timeshighereducation.com/news/extra-curricular-activities-now-more-important-to-university-applications/2017980.article" TargetMode="External"/><Relationship Id="rId42" Type="http://schemas.openxmlformats.org/officeDocument/2006/relationships/hyperlink" Target="https://www.spareroom.co.uk/content/info-statistics/universities-rents/" TargetMode="External"/><Relationship Id="rId47" Type="http://schemas.openxmlformats.org/officeDocument/2006/relationships/hyperlink" Target="https://www.qub.ac.uk/News/Allnews/2023/england-and-wales-less-segregated.html" TargetMode="External"/><Relationship Id="rId50" Type="http://schemas.openxmlformats.org/officeDocument/2006/relationships/hyperlink" Target="https://hecla.qub.ac.uk/schools/ssesw/study/postgraduate-taught/pgce/" TargetMode="External"/><Relationship Id="rId55" Type="http://schemas.openxmlformats.org/officeDocument/2006/relationships/hyperlink" Target="https://assets.publishing.service.gov.uk/media/651d2587bef21800156ded01/National_funding_formula_for__schools_and_high_needs_2024_to_2025.pdf?utm_source=chatgpt.com"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hyperlink" Target="https://www.tes.com/magazine/analysis/general/how-many-schools-in-the-uk" TargetMode="Externa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hyperlink" Target="https://www.oxfordscholastica.com/blog/university-preparation-articles/how-important-are-extracurriculars-for-ucas-applications/" TargetMode="External"/><Relationship Id="rId37" Type="http://schemas.openxmlformats.org/officeDocument/2006/relationships/hyperlink" Target="https://www.undergraduate.study.cam.ac.uk/files/publications/undergrad_admissions_statistics_2022_cycle.pdf" TargetMode="External"/><Relationship Id="rId40" Type="http://schemas.openxmlformats.org/officeDocument/2006/relationships/hyperlink" Target="https://www.gov.uk/student-finance/new-fulltime-students" TargetMode="External"/><Relationship Id="rId45" Type="http://schemas.openxmlformats.org/officeDocument/2006/relationships/hyperlink" Target="https://www.niassembly.gov.uk/globalassets/documents/raise/publications/2022-2027/2025/statistics/1325.pdf" TargetMode="External"/><Relationship Id="rId53" Type="http://schemas.openxmlformats.org/officeDocument/2006/relationships/hyperlink" Target="https://le.ac.uk/courses/secondary-education-pgce/2025" TargetMode="External"/><Relationship Id="rId58" Type="http://schemas.openxmlformats.org/officeDocument/2006/relationships/hyperlink" Target="https://www.niauditoffice.gov.uk/publications/html-document/financial-health-schools" TargetMode="External"/><Relationship Id="rId5" Type="http://schemas.openxmlformats.org/officeDocument/2006/relationships/webSettings" Target="webSettings.xml"/><Relationship Id="rId61" Type="http://schemas.openxmlformats.org/officeDocument/2006/relationships/hyperlink" Target="https://www.qub.ac.uk/International/International-students/University-life/" TargetMode="External"/><Relationship Id="rId19" Type="http://schemas.openxmlformats.org/officeDocument/2006/relationships/chart" Target="charts/chart1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hyperlink" Target="https://www.education-ni.gov.uk/articles/statutory-curriculum" TargetMode="External"/><Relationship Id="rId35" Type="http://schemas.openxmlformats.org/officeDocument/2006/relationships/hyperlink" Target="https://ccea.org.uk/downloads/docs/Specifications/GCE/GCE%20Business%20Studies%20%282016%29/GCE%20Business%20Studies%20%282016%29-specification-Standard.pdf" TargetMode="External"/><Relationship Id="rId43" Type="http://schemas.openxmlformats.org/officeDocument/2006/relationships/hyperlink" Target="https://www.spareroom.co.uk/content/info-statistics/universities-rents/" TargetMode="External"/><Relationship Id="rId48" Type="http://schemas.openxmlformats.org/officeDocument/2006/relationships/hyperlink" Target="https://getintoteaching.education.gov.uk/steps-to-become-a-teacher" TargetMode="External"/><Relationship Id="rId56" Type="http://schemas.openxmlformats.org/officeDocument/2006/relationships/hyperlink" Target="https://assets.publishing.service.gov.uk/media/651d2587bef21800156ded01/National_funding_formula_for__schools_and_high_needs_2024_to_2025.pdf?utm_source=chatgpt.com" TargetMode="External"/><Relationship Id="rId8" Type="http://schemas.openxmlformats.org/officeDocument/2006/relationships/chart" Target="charts/chart1.xml"/><Relationship Id="rId51" Type="http://schemas.openxmlformats.org/officeDocument/2006/relationships/hyperlink" Target="https://hecla.qub.ac.uk/schools/ssesw/study/postgraduate-taught/pgce/" TargetMode="Externa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hyperlink" Target="https://www.ox.ac.uk/oxfordforEM/resources" TargetMode="External"/><Relationship Id="rId38" Type="http://schemas.openxmlformats.org/officeDocument/2006/relationships/hyperlink" Target="https://www.ox.ac.uk/about/facts-and-figures/admissions-statistics/undergraduate-students/current/nation-region" TargetMode="External"/><Relationship Id="rId46" Type="http://schemas.openxmlformats.org/officeDocument/2006/relationships/hyperlink" Target="https://pureadmin.qub.ac.uk/ws/portalfiles/portal/553531779/Filetoupload_1862560_en.pdf" TargetMode="External"/><Relationship Id="rId59" Type="http://schemas.openxmlformats.org/officeDocument/2006/relationships/hyperlink" Target="https://www.econstor.eu/bitstream/10419/114801/1/ERSA2000_149.pdf" TargetMode="External"/><Relationship Id="rId20" Type="http://schemas.openxmlformats.org/officeDocument/2006/relationships/chart" Target="charts/chart13.xml"/><Relationship Id="rId41" Type="http://schemas.openxmlformats.org/officeDocument/2006/relationships/hyperlink" Target="https://www.cambridgestudents.cam.ac.uk/your-course/postgraduate-study/working-while-you-study" TargetMode="External"/><Relationship Id="rId54" Type="http://schemas.openxmlformats.org/officeDocument/2006/relationships/hyperlink" Target="https://www.gov.uk/government/publications/intensive-training-and-practice/intensive-training-and-practice-itap"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www.bbc.co.uk/news/education-34538222" TargetMode="External"/><Relationship Id="rId36" Type="http://schemas.openxmlformats.org/officeDocument/2006/relationships/hyperlink" Target="https://ccea.org.uk/downloads/docs/Specifications/GCE/GCE%20Mathematics%20%282018%29/GCE%20Mathematics%20%282018%29-specification-Standard.pdf" TargetMode="External"/><Relationship Id="rId49" Type="http://schemas.openxmlformats.org/officeDocument/2006/relationships/hyperlink" Target="https://www.education-ni.gov.uk/articles/initial-teacher-education-courses-northern-ireland" TargetMode="External"/><Relationship Id="rId57" Type="http://schemas.openxmlformats.org/officeDocument/2006/relationships/hyperlink" Target="https://www.niauditoffice.gov.uk/publications/html-document/financial-health-schools" TargetMode="External"/><Relationship Id="rId10" Type="http://schemas.openxmlformats.org/officeDocument/2006/relationships/chart" Target="charts/chart3.xml"/><Relationship Id="rId31" Type="http://schemas.openxmlformats.org/officeDocument/2006/relationships/hyperlink" Target="https://www.gov.uk/government/collections/national-curriculum" TargetMode="External"/><Relationship Id="rId44" Type="http://schemas.openxmlformats.org/officeDocument/2006/relationships/hyperlink" Target="https://www.cdc.gov/mmwr/volumes/73/su/su7304a4.htm" TargetMode="External"/><Relationship Id="rId52" Type="http://schemas.openxmlformats.org/officeDocument/2006/relationships/hyperlink" Target="https://le.ac.uk/courses/secondary-education-pgce/2025" TargetMode="External"/><Relationship Id="rId60" Type="http://schemas.openxmlformats.org/officeDocument/2006/relationships/hyperlink" Target="https://www.econstor.eu/bitstream/10419/114801/1/ERSA2000_149.pdf"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B20F02"/>
            </a:solidFill>
            <a:ln>
              <a:noFill/>
            </a:ln>
          </c:spPr>
          <c:invertIfNegative val="0"/>
          <c:cat>
            <c:strLit>
              <c:ptCount val="12"/>
              <c:pt idx="0">
                <c:v>Computer Science</c:v>
              </c:pt>
              <c:pt idx="1">
                <c:v>Digital technology/ICT</c:v>
              </c:pt>
              <c:pt idx="2">
                <c:v>Design and Technology</c:v>
              </c:pt>
              <c:pt idx="3">
                <c:v>Economics</c:v>
              </c:pt>
              <c:pt idx="4">
                <c:v>Engineering/Electronics</c:v>
              </c:pt>
              <c:pt idx="5">
                <c:v>Further Mathematics</c:v>
              </c:pt>
              <c:pt idx="6">
                <c:v>Home Economics/Food Science</c:v>
              </c:pt>
              <c:pt idx="7">
                <c:v>Languages (excluding Spanish, French and German)</c:v>
              </c:pt>
              <c:pt idx="8">
                <c:v>Media/Film Studies</c:v>
              </c:pt>
              <c:pt idx="9">
                <c:v>Moving Image Arts/Art</c:v>
              </c:pt>
              <c:pt idx="10">
                <c:v>Physical Education</c:v>
              </c:pt>
              <c:pt idx="11">
                <c:v>Sociology</c:v>
              </c:pt>
            </c:strLit>
          </c:cat>
          <c:val>
            <c:numLit>
              <c:formatCode>General</c:formatCode>
              <c:ptCount val="12"/>
              <c:pt idx="0">
                <c:v>4</c:v>
              </c:pt>
              <c:pt idx="1">
                <c:v>4</c:v>
              </c:pt>
              <c:pt idx="2">
                <c:v>4</c:v>
              </c:pt>
              <c:pt idx="3">
                <c:v>1</c:v>
              </c:pt>
              <c:pt idx="4">
                <c:v>1</c:v>
              </c:pt>
              <c:pt idx="5">
                <c:v>4</c:v>
              </c:pt>
              <c:pt idx="6">
                <c:v>3</c:v>
              </c:pt>
              <c:pt idx="7">
                <c:v>4</c:v>
              </c:pt>
              <c:pt idx="8">
                <c:v>3</c:v>
              </c:pt>
              <c:pt idx="9">
                <c:v>2</c:v>
              </c:pt>
              <c:pt idx="10">
                <c:v>4</c:v>
              </c:pt>
              <c:pt idx="11">
                <c:v>1</c:v>
              </c:pt>
            </c:numLit>
          </c:val>
          <c:extLst>
            <c:ext xmlns:c16="http://schemas.microsoft.com/office/drawing/2014/chart" uri="{C3380CC4-5D6E-409C-BE32-E72D297353CC}">
              <c16:uniqueId val="{00000000-1877-4F59-88AF-45EAC44EC767}"/>
            </c:ext>
          </c:extLst>
        </c:ser>
        <c:dLbls>
          <c:showLegendKey val="0"/>
          <c:showVal val="0"/>
          <c:showCatName val="0"/>
          <c:showSerName val="0"/>
          <c:showPercent val="0"/>
          <c:showBubbleSize val="0"/>
        </c:dLbls>
        <c:gapWidth val="182"/>
        <c:axId val="832455760"/>
        <c:axId val="832458640"/>
      </c:barChart>
      <c:valAx>
        <c:axId val="832458640"/>
        <c:scaling>
          <c:orientation val="minMax"/>
          <c:max val="4"/>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455760"/>
        <c:crosses val="autoZero"/>
        <c:crossBetween val="between"/>
        <c:majorUnit val="1"/>
      </c:valAx>
      <c:catAx>
        <c:axId val="832455760"/>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458640"/>
        <c:crosses val="autoZero"/>
        <c:auto val="1"/>
        <c:lblAlgn val="ctr"/>
        <c:lblOffset val="100"/>
        <c:noMultiLvlLbl val="0"/>
      </c:catAx>
      <c:spPr>
        <a:no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0917001373005221"/>
          <c:y val="6.4465041500808715E-2"/>
          <c:w val="0.72670941200718187"/>
          <c:h val="0.7834701843081423"/>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069A-43E3-A802-6CD55C41D5AE}"/>
              </c:ext>
            </c:extLst>
          </c:dPt>
          <c:dPt>
            <c:idx val="1"/>
            <c:invertIfNegative val="0"/>
            <c:bubble3D val="0"/>
            <c:spPr>
              <a:solidFill>
                <a:srgbClr val="C00000"/>
              </a:solidFill>
              <a:ln>
                <a:noFill/>
              </a:ln>
            </c:spPr>
            <c:extLst>
              <c:ext xmlns:c16="http://schemas.microsoft.com/office/drawing/2014/chart" uri="{C3380CC4-5D6E-409C-BE32-E72D297353CC}">
                <c16:uniqueId val="{00000002-069A-43E3-A802-6CD55C41D5AE}"/>
              </c:ext>
            </c:extLst>
          </c:dPt>
          <c:dPt>
            <c:idx val="2"/>
            <c:invertIfNegative val="0"/>
            <c:bubble3D val="0"/>
            <c:spPr>
              <a:solidFill>
                <a:srgbClr val="7030A0"/>
              </a:solidFill>
              <a:ln>
                <a:noFill/>
              </a:ln>
            </c:spPr>
            <c:extLst>
              <c:ext xmlns:c16="http://schemas.microsoft.com/office/drawing/2014/chart" uri="{C3380CC4-5D6E-409C-BE32-E72D297353CC}">
                <c16:uniqueId val="{00000003-069A-43E3-A802-6CD55C41D5AE}"/>
              </c:ext>
            </c:extLst>
          </c:dPt>
          <c:cat>
            <c:strLit>
              <c:ptCount val="3"/>
              <c:pt idx="0">
                <c:v>Yes</c:v>
              </c:pt>
              <c:pt idx="1">
                <c:v>No</c:v>
              </c:pt>
              <c:pt idx="2">
                <c:v>I don't Know</c:v>
              </c:pt>
            </c:strLit>
          </c:cat>
          <c:val>
            <c:numLit>
              <c:formatCode>General</c:formatCode>
              <c:ptCount val="3"/>
              <c:pt idx="0">
                <c:v>8</c:v>
              </c:pt>
              <c:pt idx="1">
                <c:v>5</c:v>
              </c:pt>
              <c:pt idx="2">
                <c:v>4</c:v>
              </c:pt>
            </c:numLit>
          </c:val>
          <c:extLst>
            <c:ext xmlns:c16="http://schemas.microsoft.com/office/drawing/2014/chart" uri="{C3380CC4-5D6E-409C-BE32-E72D297353CC}">
              <c16:uniqueId val="{00000000-069A-43E3-A802-6CD55C41D5AE}"/>
            </c:ext>
          </c:extLst>
        </c:ser>
        <c:dLbls>
          <c:showLegendKey val="0"/>
          <c:showVal val="0"/>
          <c:showCatName val="0"/>
          <c:showSerName val="0"/>
          <c:showPercent val="0"/>
          <c:showBubbleSize val="0"/>
        </c:dLbls>
        <c:gapWidth val="219"/>
        <c:overlap val="-27"/>
        <c:axId val="773496896"/>
        <c:axId val="773497856"/>
      </c:barChart>
      <c:valAx>
        <c:axId val="773497856"/>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layout>
            <c:manualLayout>
              <c:xMode val="edge"/>
              <c:yMode val="edge"/>
              <c:x val="1.1458743438320209E-2"/>
              <c:y val="0.36514784360442032"/>
            </c:manualLayout>
          </c:layout>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3496896"/>
        <c:crosses val="autoZero"/>
        <c:crossBetween val="between"/>
        <c:majorUnit val="2"/>
      </c:valAx>
      <c:catAx>
        <c:axId val="773496896"/>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3497856"/>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5023689203028726"/>
          <c:y val="3.1415802754385429E-2"/>
          <c:w val="0.75487086502246925"/>
          <c:h val="0.69840837462884708"/>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E38F-4C6B-B233-6D7EB0C3A8C0}"/>
              </c:ext>
            </c:extLst>
          </c:dPt>
          <c:dPt>
            <c:idx val="1"/>
            <c:invertIfNegative val="0"/>
            <c:bubble3D val="0"/>
            <c:spPr>
              <a:solidFill>
                <a:srgbClr val="C00000"/>
              </a:solidFill>
              <a:ln>
                <a:noFill/>
              </a:ln>
            </c:spPr>
            <c:extLst>
              <c:ext xmlns:c16="http://schemas.microsoft.com/office/drawing/2014/chart" uri="{C3380CC4-5D6E-409C-BE32-E72D297353CC}">
                <c16:uniqueId val="{00000002-E38F-4C6B-B233-6D7EB0C3A8C0}"/>
              </c:ext>
            </c:extLst>
          </c:dPt>
          <c:cat>
            <c:strLit>
              <c:ptCount val="3"/>
              <c:pt idx="0">
                <c:v>Yes</c:v>
              </c:pt>
              <c:pt idx="1">
                <c:v>No</c:v>
              </c:pt>
              <c:pt idx="2">
                <c:v>I don't Know</c:v>
              </c:pt>
            </c:strLit>
          </c:cat>
          <c:val>
            <c:numLit>
              <c:formatCode>General</c:formatCode>
              <c:ptCount val="3"/>
              <c:pt idx="0">
                <c:v>2</c:v>
              </c:pt>
              <c:pt idx="1">
                <c:v>3</c:v>
              </c:pt>
              <c:pt idx="2">
                <c:v>0</c:v>
              </c:pt>
            </c:numLit>
          </c:val>
          <c:extLst>
            <c:ext xmlns:c16="http://schemas.microsoft.com/office/drawing/2014/chart" uri="{C3380CC4-5D6E-409C-BE32-E72D297353CC}">
              <c16:uniqueId val="{00000000-E38F-4C6B-B233-6D7EB0C3A8C0}"/>
            </c:ext>
          </c:extLst>
        </c:ser>
        <c:dLbls>
          <c:showLegendKey val="0"/>
          <c:showVal val="0"/>
          <c:showCatName val="0"/>
          <c:showSerName val="0"/>
          <c:showPercent val="0"/>
          <c:showBubbleSize val="0"/>
        </c:dLbls>
        <c:gapWidth val="219"/>
        <c:overlap val="-27"/>
        <c:axId val="773496416"/>
        <c:axId val="773497376"/>
      </c:barChart>
      <c:valAx>
        <c:axId val="773497376"/>
        <c:scaling>
          <c:orientation val="minMax"/>
          <c:max val="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layout>
            <c:manualLayout>
              <c:xMode val="edge"/>
              <c:yMode val="edge"/>
              <c:x val="3.5388412269361853E-2"/>
              <c:y val="0.32049128994010884"/>
            </c:manualLayout>
          </c:layout>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3496416"/>
        <c:crosses val="autoZero"/>
        <c:crossBetween val="between"/>
        <c:majorUnit val="1"/>
        <c:minorUnit val="1"/>
      </c:valAx>
      <c:catAx>
        <c:axId val="773496416"/>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3497376"/>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4726604741600102"/>
          <c:y val="3.3493521871785788E-2"/>
          <c:w val="0.78925932680011091"/>
          <c:h val="0.73181197438135825"/>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4481-4C67-B33E-CD3B081C82A5}"/>
              </c:ext>
            </c:extLst>
          </c:dPt>
          <c:dPt>
            <c:idx val="1"/>
            <c:invertIfNegative val="0"/>
            <c:bubble3D val="0"/>
            <c:spPr>
              <a:solidFill>
                <a:srgbClr val="C00000"/>
              </a:solidFill>
              <a:ln>
                <a:noFill/>
              </a:ln>
            </c:spPr>
            <c:extLst>
              <c:ext xmlns:c16="http://schemas.microsoft.com/office/drawing/2014/chart" uri="{C3380CC4-5D6E-409C-BE32-E72D297353CC}">
                <c16:uniqueId val="{00000002-4481-4C67-B33E-CD3B081C82A5}"/>
              </c:ext>
            </c:extLst>
          </c:dPt>
          <c:dPt>
            <c:idx val="2"/>
            <c:invertIfNegative val="0"/>
            <c:bubble3D val="0"/>
            <c:spPr>
              <a:solidFill>
                <a:srgbClr val="7030A0"/>
              </a:solidFill>
              <a:ln>
                <a:noFill/>
              </a:ln>
            </c:spPr>
            <c:extLst>
              <c:ext xmlns:c16="http://schemas.microsoft.com/office/drawing/2014/chart" uri="{C3380CC4-5D6E-409C-BE32-E72D297353CC}">
                <c16:uniqueId val="{00000003-4481-4C67-B33E-CD3B081C82A5}"/>
              </c:ext>
            </c:extLst>
          </c:dPt>
          <c:cat>
            <c:strLit>
              <c:ptCount val="3"/>
              <c:pt idx="0">
                <c:v>Yes</c:v>
              </c:pt>
              <c:pt idx="1">
                <c:v>No</c:v>
              </c:pt>
              <c:pt idx="2">
                <c:v>I don't Know</c:v>
              </c:pt>
            </c:strLit>
          </c:cat>
          <c:val>
            <c:numLit>
              <c:formatCode>General</c:formatCode>
              <c:ptCount val="3"/>
              <c:pt idx="0">
                <c:v>8</c:v>
              </c:pt>
              <c:pt idx="1">
                <c:v>7</c:v>
              </c:pt>
              <c:pt idx="2">
                <c:v>2</c:v>
              </c:pt>
            </c:numLit>
          </c:val>
          <c:extLst>
            <c:ext xmlns:c16="http://schemas.microsoft.com/office/drawing/2014/chart" uri="{C3380CC4-5D6E-409C-BE32-E72D297353CC}">
              <c16:uniqueId val="{00000000-4481-4C67-B33E-CD3B081C82A5}"/>
            </c:ext>
          </c:extLst>
        </c:ser>
        <c:dLbls>
          <c:showLegendKey val="0"/>
          <c:showVal val="0"/>
          <c:showCatName val="0"/>
          <c:showSerName val="0"/>
          <c:showPercent val="0"/>
          <c:showBubbleSize val="0"/>
        </c:dLbls>
        <c:gapWidth val="219"/>
        <c:overlap val="-27"/>
        <c:axId val="832726688"/>
        <c:axId val="832726208"/>
      </c:barChart>
      <c:valAx>
        <c:axId val="832726208"/>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layout>
            <c:manualLayout>
              <c:xMode val="edge"/>
              <c:yMode val="edge"/>
              <c:x val="3.3981273804117161E-2"/>
              <c:y val="0.3089898614484386"/>
            </c:manualLayout>
          </c:layout>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726688"/>
        <c:crosses val="autoZero"/>
        <c:crossBetween val="between"/>
        <c:majorUnit val="2"/>
      </c:valAx>
      <c:catAx>
        <c:axId val="832726688"/>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726208"/>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col"/>
        <c:grouping val="clustered"/>
        <c:varyColors val="0"/>
        <c:ser>
          <c:idx val="0"/>
          <c:order val="0"/>
          <c:tx>
            <c:v>Series1</c:v>
          </c:tx>
          <c:spPr>
            <a:solidFill>
              <a:srgbClr val="C00000"/>
            </a:solidFill>
            <a:ln>
              <a:noFill/>
            </a:ln>
          </c:spPr>
          <c:invertIfNegative val="0"/>
          <c:dPt>
            <c:idx val="1"/>
            <c:invertIfNegative val="0"/>
            <c:bubble3D val="0"/>
            <c:extLst>
              <c:ext xmlns:c16="http://schemas.microsoft.com/office/drawing/2014/chart" uri="{C3380CC4-5D6E-409C-BE32-E72D297353CC}">
                <c16:uniqueId val="{00000001-EF10-4B33-B8B6-38989B12321A}"/>
              </c:ext>
            </c:extLst>
          </c:dPt>
          <c:dPt>
            <c:idx val="2"/>
            <c:invertIfNegative val="0"/>
            <c:bubble3D val="0"/>
            <c:spPr>
              <a:solidFill>
                <a:srgbClr val="7030A0"/>
              </a:solidFill>
              <a:ln>
                <a:noFill/>
              </a:ln>
            </c:spPr>
            <c:extLst>
              <c:ext xmlns:c16="http://schemas.microsoft.com/office/drawing/2014/chart" uri="{C3380CC4-5D6E-409C-BE32-E72D297353CC}">
                <c16:uniqueId val="{00000002-EF10-4B33-B8B6-38989B12321A}"/>
              </c:ext>
            </c:extLst>
          </c:dPt>
          <c:cat>
            <c:strLit>
              <c:ptCount val="3"/>
              <c:pt idx="0">
                <c:v>Yes</c:v>
              </c:pt>
              <c:pt idx="1">
                <c:v>No</c:v>
              </c:pt>
              <c:pt idx="2">
                <c:v>I don't Know</c:v>
              </c:pt>
            </c:strLit>
          </c:cat>
          <c:val>
            <c:numLit>
              <c:formatCode>General</c:formatCode>
              <c:ptCount val="3"/>
              <c:pt idx="0">
                <c:v>0</c:v>
              </c:pt>
              <c:pt idx="1">
                <c:v>2</c:v>
              </c:pt>
              <c:pt idx="2">
                <c:v>3</c:v>
              </c:pt>
            </c:numLit>
          </c:val>
          <c:extLst>
            <c:ext xmlns:c16="http://schemas.microsoft.com/office/drawing/2014/chart" uri="{C3380CC4-5D6E-409C-BE32-E72D297353CC}">
              <c16:uniqueId val="{00000000-EF10-4B33-B8B6-38989B12321A}"/>
            </c:ext>
          </c:extLst>
        </c:ser>
        <c:dLbls>
          <c:showLegendKey val="0"/>
          <c:showVal val="0"/>
          <c:showCatName val="0"/>
          <c:showSerName val="0"/>
          <c:showPercent val="0"/>
          <c:showBubbleSize val="0"/>
        </c:dLbls>
        <c:gapWidth val="219"/>
        <c:overlap val="-27"/>
        <c:axId val="832724768"/>
        <c:axId val="832724288"/>
      </c:barChart>
      <c:valAx>
        <c:axId val="832724288"/>
        <c:scaling>
          <c:orientation val="minMax"/>
          <c:max val="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724768"/>
        <c:crosses val="autoZero"/>
        <c:crossBetween val="between"/>
        <c:majorUnit val="1"/>
        <c:minorUnit val="1"/>
      </c:valAx>
      <c:catAx>
        <c:axId val="832724768"/>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724288"/>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1643285214348206"/>
          <c:y val="3.3902887139107614E-2"/>
          <c:w val="0.7127893700787401"/>
          <c:h val="0.71961461067366583"/>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7379-4417-A0A5-4040A6F8C593}"/>
              </c:ext>
            </c:extLst>
          </c:dPt>
          <c:dPt>
            <c:idx val="1"/>
            <c:invertIfNegative val="0"/>
            <c:bubble3D val="0"/>
            <c:spPr>
              <a:solidFill>
                <a:srgbClr val="C00000"/>
              </a:solidFill>
              <a:ln>
                <a:noFill/>
              </a:ln>
            </c:spPr>
            <c:extLst>
              <c:ext xmlns:c16="http://schemas.microsoft.com/office/drawing/2014/chart" uri="{C3380CC4-5D6E-409C-BE32-E72D297353CC}">
                <c16:uniqueId val="{00000002-7379-4417-A0A5-4040A6F8C593}"/>
              </c:ext>
            </c:extLst>
          </c:dPt>
          <c:dPt>
            <c:idx val="2"/>
            <c:invertIfNegative val="0"/>
            <c:bubble3D val="0"/>
            <c:spPr>
              <a:solidFill>
                <a:srgbClr val="7030A0"/>
              </a:solidFill>
              <a:ln>
                <a:noFill/>
              </a:ln>
            </c:spPr>
            <c:extLst>
              <c:ext xmlns:c16="http://schemas.microsoft.com/office/drawing/2014/chart" uri="{C3380CC4-5D6E-409C-BE32-E72D297353CC}">
                <c16:uniqueId val="{00000003-7379-4417-A0A5-4040A6F8C593}"/>
              </c:ext>
            </c:extLst>
          </c:dPt>
          <c:cat>
            <c:strLit>
              <c:ptCount val="3"/>
              <c:pt idx="0">
                <c:v>Yes</c:v>
              </c:pt>
              <c:pt idx="1">
                <c:v>No</c:v>
              </c:pt>
              <c:pt idx="2">
                <c:v>I don't Know</c:v>
              </c:pt>
            </c:strLit>
          </c:cat>
          <c:val>
            <c:numLit>
              <c:formatCode>General</c:formatCode>
              <c:ptCount val="3"/>
              <c:pt idx="0">
                <c:v>13</c:v>
              </c:pt>
              <c:pt idx="1">
                <c:v>3</c:v>
              </c:pt>
              <c:pt idx="2">
                <c:v>1</c:v>
              </c:pt>
            </c:numLit>
          </c:val>
          <c:extLst>
            <c:ext xmlns:c16="http://schemas.microsoft.com/office/drawing/2014/chart" uri="{C3380CC4-5D6E-409C-BE32-E72D297353CC}">
              <c16:uniqueId val="{00000000-7379-4417-A0A5-4040A6F8C593}"/>
            </c:ext>
          </c:extLst>
        </c:ser>
        <c:dLbls>
          <c:showLegendKey val="0"/>
          <c:showVal val="0"/>
          <c:showCatName val="0"/>
          <c:showSerName val="0"/>
          <c:showPercent val="0"/>
          <c:showBubbleSize val="0"/>
        </c:dLbls>
        <c:gapWidth val="219"/>
        <c:overlap val="-27"/>
        <c:axId val="832660720"/>
        <c:axId val="832661680"/>
      </c:barChart>
      <c:valAx>
        <c:axId val="832661680"/>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660720"/>
        <c:crosses val="autoZero"/>
        <c:crossBetween val="between"/>
        <c:majorUnit val="2"/>
      </c:valAx>
      <c:catAx>
        <c:axId val="832660720"/>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661680"/>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ADF1-4210-8F41-2E028502B350}"/>
              </c:ext>
            </c:extLst>
          </c:dPt>
          <c:dPt>
            <c:idx val="1"/>
            <c:invertIfNegative val="0"/>
            <c:bubble3D val="0"/>
            <c:spPr>
              <a:solidFill>
                <a:srgbClr val="C00000"/>
              </a:solidFill>
              <a:ln>
                <a:noFill/>
              </a:ln>
            </c:spPr>
            <c:extLst>
              <c:ext xmlns:c16="http://schemas.microsoft.com/office/drawing/2014/chart" uri="{C3380CC4-5D6E-409C-BE32-E72D297353CC}">
                <c16:uniqueId val="{00000002-ADF1-4210-8F41-2E028502B350}"/>
              </c:ext>
            </c:extLst>
          </c:dPt>
          <c:cat>
            <c:strLit>
              <c:ptCount val="3"/>
              <c:pt idx="0">
                <c:v>Yes</c:v>
              </c:pt>
              <c:pt idx="1">
                <c:v>No</c:v>
              </c:pt>
              <c:pt idx="2">
                <c:v>I don't Know</c:v>
              </c:pt>
            </c:strLit>
          </c:cat>
          <c:val>
            <c:numLit>
              <c:formatCode>General</c:formatCode>
              <c:ptCount val="3"/>
              <c:pt idx="0">
                <c:v>2</c:v>
              </c:pt>
              <c:pt idx="1">
                <c:v>3</c:v>
              </c:pt>
              <c:pt idx="2">
                <c:v>0</c:v>
              </c:pt>
            </c:numLit>
          </c:val>
          <c:extLst>
            <c:ext xmlns:c16="http://schemas.microsoft.com/office/drawing/2014/chart" uri="{C3380CC4-5D6E-409C-BE32-E72D297353CC}">
              <c16:uniqueId val="{00000000-ADF1-4210-8F41-2E028502B350}"/>
            </c:ext>
          </c:extLst>
        </c:ser>
        <c:dLbls>
          <c:showLegendKey val="0"/>
          <c:showVal val="0"/>
          <c:showCatName val="0"/>
          <c:showSerName val="0"/>
          <c:showPercent val="0"/>
          <c:showBubbleSize val="0"/>
        </c:dLbls>
        <c:gapWidth val="219"/>
        <c:overlap val="-27"/>
        <c:axId val="832660240"/>
        <c:axId val="832663120"/>
      </c:barChart>
      <c:valAx>
        <c:axId val="832663120"/>
        <c:scaling>
          <c:orientation val="minMax"/>
          <c:max val="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660240"/>
        <c:crosses val="autoZero"/>
        <c:crossBetween val="between"/>
        <c:majorUnit val="1"/>
        <c:minorUnit val="1"/>
      </c:valAx>
      <c:catAx>
        <c:axId val="832660240"/>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663120"/>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0443077447780398"/>
          <c:y val="3.3631962992776911E-2"/>
          <c:w val="0.69812044877770252"/>
          <c:h val="0.68774678172117432"/>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4C34-4C31-86C7-F42A9D69270E}"/>
              </c:ext>
            </c:extLst>
          </c:dPt>
          <c:dPt>
            <c:idx val="1"/>
            <c:invertIfNegative val="0"/>
            <c:bubble3D val="0"/>
            <c:spPr>
              <a:solidFill>
                <a:srgbClr val="C00000"/>
              </a:solidFill>
              <a:ln>
                <a:noFill/>
              </a:ln>
            </c:spPr>
            <c:extLst>
              <c:ext xmlns:c16="http://schemas.microsoft.com/office/drawing/2014/chart" uri="{C3380CC4-5D6E-409C-BE32-E72D297353CC}">
                <c16:uniqueId val="{00000002-4C34-4C31-86C7-F42A9D69270E}"/>
              </c:ext>
            </c:extLst>
          </c:dPt>
          <c:dPt>
            <c:idx val="2"/>
            <c:invertIfNegative val="0"/>
            <c:bubble3D val="0"/>
            <c:spPr>
              <a:solidFill>
                <a:srgbClr val="7030A0"/>
              </a:solidFill>
              <a:ln>
                <a:noFill/>
              </a:ln>
            </c:spPr>
            <c:extLst>
              <c:ext xmlns:c16="http://schemas.microsoft.com/office/drawing/2014/chart" uri="{C3380CC4-5D6E-409C-BE32-E72D297353CC}">
                <c16:uniqueId val="{00000003-4C34-4C31-86C7-F42A9D69270E}"/>
              </c:ext>
            </c:extLst>
          </c:dPt>
          <c:cat>
            <c:strLit>
              <c:ptCount val="3"/>
              <c:pt idx="0">
                <c:v>Yes</c:v>
              </c:pt>
              <c:pt idx="1">
                <c:v>No</c:v>
              </c:pt>
              <c:pt idx="2">
                <c:v>I don't Know</c:v>
              </c:pt>
            </c:strLit>
          </c:cat>
          <c:val>
            <c:numLit>
              <c:formatCode>General</c:formatCode>
              <c:ptCount val="3"/>
              <c:pt idx="0">
                <c:v>12</c:v>
              </c:pt>
              <c:pt idx="1">
                <c:v>2</c:v>
              </c:pt>
              <c:pt idx="2">
                <c:v>3</c:v>
              </c:pt>
            </c:numLit>
          </c:val>
          <c:extLst>
            <c:ext xmlns:c16="http://schemas.microsoft.com/office/drawing/2014/chart" uri="{C3380CC4-5D6E-409C-BE32-E72D297353CC}">
              <c16:uniqueId val="{00000000-4C34-4C31-86C7-F42A9D69270E}"/>
            </c:ext>
          </c:extLst>
        </c:ser>
        <c:dLbls>
          <c:showLegendKey val="0"/>
          <c:showVal val="0"/>
          <c:showCatName val="0"/>
          <c:showSerName val="0"/>
          <c:showPercent val="0"/>
          <c:showBubbleSize val="0"/>
        </c:dLbls>
        <c:gapWidth val="219"/>
        <c:overlap val="-27"/>
        <c:axId val="776450032"/>
        <c:axId val="776449072"/>
      </c:barChart>
      <c:valAx>
        <c:axId val="776449072"/>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6450032"/>
        <c:crosses val="autoZero"/>
        <c:crossBetween val="between"/>
        <c:majorUnit val="2"/>
      </c:valAx>
      <c:catAx>
        <c:axId val="776450032"/>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6449072"/>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col"/>
        <c:grouping val="clustered"/>
        <c:varyColors val="0"/>
        <c:ser>
          <c:idx val="0"/>
          <c:order val="0"/>
          <c:tx>
            <c:v>Series1</c:v>
          </c:tx>
          <c:spPr>
            <a:solidFill>
              <a:srgbClr val="156082"/>
            </a:solidFill>
            <a:ln>
              <a:noFill/>
            </a:ln>
          </c:spPr>
          <c:invertIfNegative val="0"/>
          <c:dPt>
            <c:idx val="2"/>
            <c:invertIfNegative val="0"/>
            <c:bubble3D val="0"/>
            <c:spPr>
              <a:solidFill>
                <a:srgbClr val="FFFF00"/>
              </a:solidFill>
              <a:ln>
                <a:noFill/>
              </a:ln>
            </c:spPr>
            <c:extLst>
              <c:ext xmlns:c16="http://schemas.microsoft.com/office/drawing/2014/chart" uri="{C3380CC4-5D6E-409C-BE32-E72D297353CC}">
                <c16:uniqueId val="{00000001-C970-4360-99B1-207BF2BA7330}"/>
              </c:ext>
            </c:extLst>
          </c:dPt>
          <c:dPt>
            <c:idx val="4"/>
            <c:invertIfNegative val="0"/>
            <c:bubble3D val="0"/>
            <c:spPr>
              <a:solidFill>
                <a:srgbClr val="C00000"/>
              </a:solidFill>
              <a:ln>
                <a:noFill/>
              </a:ln>
            </c:spPr>
            <c:extLst>
              <c:ext xmlns:c16="http://schemas.microsoft.com/office/drawing/2014/chart" uri="{C3380CC4-5D6E-409C-BE32-E72D297353CC}">
                <c16:uniqueId val="{00000002-C970-4360-99B1-207BF2BA7330}"/>
              </c:ext>
            </c:extLst>
          </c:dPt>
          <c:cat>
            <c:strLit>
              <c:ptCount val="5"/>
              <c:pt idx="0">
                <c:v>Very Good</c:v>
              </c:pt>
              <c:pt idx="1">
                <c:v>Good</c:v>
              </c:pt>
              <c:pt idx="2">
                <c:v>Okay</c:v>
              </c:pt>
              <c:pt idx="3">
                <c:v>Poor</c:v>
              </c:pt>
              <c:pt idx="4">
                <c:v>Very Poor</c:v>
              </c:pt>
            </c:strLit>
          </c:cat>
          <c:val>
            <c:numLit>
              <c:formatCode>General</c:formatCode>
              <c:ptCount val="5"/>
              <c:pt idx="0">
                <c:v>0</c:v>
              </c:pt>
              <c:pt idx="1">
                <c:v>0</c:v>
              </c:pt>
              <c:pt idx="2">
                <c:v>2</c:v>
              </c:pt>
              <c:pt idx="3">
                <c:v>0</c:v>
              </c:pt>
              <c:pt idx="4">
                <c:v>3</c:v>
              </c:pt>
            </c:numLit>
          </c:val>
          <c:extLst>
            <c:ext xmlns:c16="http://schemas.microsoft.com/office/drawing/2014/chart" uri="{C3380CC4-5D6E-409C-BE32-E72D297353CC}">
              <c16:uniqueId val="{00000000-C970-4360-99B1-207BF2BA7330}"/>
            </c:ext>
          </c:extLst>
        </c:ser>
        <c:dLbls>
          <c:showLegendKey val="0"/>
          <c:showVal val="0"/>
          <c:showCatName val="0"/>
          <c:showSerName val="0"/>
          <c:showPercent val="0"/>
          <c:showBubbleSize val="0"/>
        </c:dLbls>
        <c:gapWidth val="219"/>
        <c:overlap val="-27"/>
        <c:axId val="776447152"/>
        <c:axId val="776448112"/>
      </c:barChart>
      <c:valAx>
        <c:axId val="776448112"/>
        <c:scaling>
          <c:orientation val="minMax"/>
          <c:max val="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6447152"/>
        <c:crosses val="autoZero"/>
        <c:crossBetween val="between"/>
        <c:majorUnit val="1"/>
        <c:minorUnit val="1"/>
      </c:valAx>
      <c:catAx>
        <c:axId val="776447152"/>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776448112"/>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0989925806619413"/>
          <c:y val="2.7935544449711011E-2"/>
          <c:w val="0.74037210359715555"/>
          <c:h val="0.72269911671890175"/>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1389-471F-B2C8-031898C21873}"/>
              </c:ext>
            </c:extLst>
          </c:dPt>
          <c:dPt>
            <c:idx val="1"/>
            <c:invertIfNegative val="0"/>
            <c:bubble3D val="0"/>
            <c:spPr>
              <a:solidFill>
                <a:srgbClr val="00B050"/>
              </a:solidFill>
              <a:ln>
                <a:noFill/>
              </a:ln>
            </c:spPr>
            <c:extLst>
              <c:ext xmlns:c16="http://schemas.microsoft.com/office/drawing/2014/chart" uri="{C3380CC4-5D6E-409C-BE32-E72D297353CC}">
                <c16:uniqueId val="{00000002-1389-471F-B2C8-031898C21873}"/>
              </c:ext>
            </c:extLst>
          </c:dPt>
          <c:dPt>
            <c:idx val="2"/>
            <c:invertIfNegative val="0"/>
            <c:bubble3D val="0"/>
            <c:spPr>
              <a:solidFill>
                <a:srgbClr val="FFFF00"/>
              </a:solidFill>
              <a:ln>
                <a:noFill/>
              </a:ln>
            </c:spPr>
            <c:extLst>
              <c:ext xmlns:c16="http://schemas.microsoft.com/office/drawing/2014/chart" uri="{C3380CC4-5D6E-409C-BE32-E72D297353CC}">
                <c16:uniqueId val="{00000003-1389-471F-B2C8-031898C21873}"/>
              </c:ext>
            </c:extLst>
          </c:dPt>
          <c:dPt>
            <c:idx val="3"/>
            <c:invertIfNegative val="0"/>
            <c:bubble3D val="0"/>
            <c:spPr>
              <a:solidFill>
                <a:srgbClr val="4EA72E"/>
              </a:solidFill>
              <a:ln>
                <a:noFill/>
              </a:ln>
            </c:spPr>
            <c:extLst>
              <c:ext xmlns:c16="http://schemas.microsoft.com/office/drawing/2014/chart" uri="{C3380CC4-5D6E-409C-BE32-E72D297353CC}">
                <c16:uniqueId val="{00000004-1389-471F-B2C8-031898C21873}"/>
              </c:ext>
            </c:extLst>
          </c:dPt>
          <c:cat>
            <c:strLit>
              <c:ptCount val="5"/>
              <c:pt idx="0">
                <c:v>Very Good</c:v>
              </c:pt>
              <c:pt idx="1">
                <c:v>Good</c:v>
              </c:pt>
              <c:pt idx="2">
                <c:v>Okay</c:v>
              </c:pt>
              <c:pt idx="3">
                <c:v>Poor</c:v>
              </c:pt>
              <c:pt idx="4">
                <c:v>Very Poor</c:v>
              </c:pt>
            </c:strLit>
          </c:cat>
          <c:val>
            <c:numLit>
              <c:formatCode>General</c:formatCode>
              <c:ptCount val="5"/>
              <c:pt idx="0">
                <c:v>9</c:v>
              </c:pt>
              <c:pt idx="1">
                <c:v>3</c:v>
              </c:pt>
              <c:pt idx="2">
                <c:v>3</c:v>
              </c:pt>
              <c:pt idx="3">
                <c:v>2</c:v>
              </c:pt>
              <c:pt idx="4">
                <c:v>0</c:v>
              </c:pt>
            </c:numLit>
          </c:val>
          <c:extLst>
            <c:ext xmlns:c16="http://schemas.microsoft.com/office/drawing/2014/chart" uri="{C3380CC4-5D6E-409C-BE32-E72D297353CC}">
              <c16:uniqueId val="{00000000-1389-471F-B2C8-031898C21873}"/>
            </c:ext>
          </c:extLst>
        </c:ser>
        <c:dLbls>
          <c:showLegendKey val="0"/>
          <c:showVal val="0"/>
          <c:showCatName val="0"/>
          <c:showSerName val="0"/>
          <c:showPercent val="0"/>
          <c:showBubbleSize val="0"/>
        </c:dLbls>
        <c:gapWidth val="219"/>
        <c:overlap val="-27"/>
        <c:axId val="834996016"/>
        <c:axId val="834994096"/>
      </c:barChart>
      <c:valAx>
        <c:axId val="834994096"/>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996016"/>
        <c:crosses val="autoZero"/>
        <c:crossBetween val="between"/>
      </c:valAx>
      <c:catAx>
        <c:axId val="834996016"/>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994096"/>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col"/>
        <c:grouping val="clustered"/>
        <c:varyColors val="0"/>
        <c:ser>
          <c:idx val="0"/>
          <c:order val="0"/>
          <c:tx>
            <c:v>Series1</c:v>
          </c:tx>
          <c:spPr>
            <a:solidFill>
              <a:srgbClr val="00B050"/>
            </a:solidFill>
            <a:ln>
              <a:noFill/>
            </a:ln>
          </c:spPr>
          <c:invertIfNegative val="0"/>
          <c:cat>
            <c:strLit>
              <c:ptCount val="5"/>
              <c:pt idx="0">
                <c:v>Very Good</c:v>
              </c:pt>
              <c:pt idx="1">
                <c:v>Good</c:v>
              </c:pt>
              <c:pt idx="2">
                <c:v>Okay</c:v>
              </c:pt>
              <c:pt idx="3">
                <c:v>Poor</c:v>
              </c:pt>
              <c:pt idx="4">
                <c:v>Very Poor</c:v>
              </c:pt>
            </c:strLit>
          </c:cat>
          <c:val>
            <c:numLit>
              <c:formatCode>General</c:formatCode>
              <c:ptCount val="5"/>
              <c:pt idx="0">
                <c:v>0</c:v>
              </c:pt>
              <c:pt idx="1">
                <c:v>5</c:v>
              </c:pt>
              <c:pt idx="2">
                <c:v>0</c:v>
              </c:pt>
              <c:pt idx="3">
                <c:v>0</c:v>
              </c:pt>
              <c:pt idx="4">
                <c:v>0</c:v>
              </c:pt>
            </c:numLit>
          </c:val>
          <c:extLst>
            <c:ext xmlns:c16="http://schemas.microsoft.com/office/drawing/2014/chart" uri="{C3380CC4-5D6E-409C-BE32-E72D297353CC}">
              <c16:uniqueId val="{00000000-40B6-4357-A237-72658582E6B1}"/>
            </c:ext>
          </c:extLst>
        </c:ser>
        <c:dLbls>
          <c:showLegendKey val="0"/>
          <c:showVal val="0"/>
          <c:showCatName val="0"/>
          <c:showSerName val="0"/>
          <c:showPercent val="0"/>
          <c:showBubbleSize val="0"/>
        </c:dLbls>
        <c:gapWidth val="219"/>
        <c:overlap val="-27"/>
        <c:axId val="826193680"/>
        <c:axId val="826194640"/>
      </c:barChart>
      <c:valAx>
        <c:axId val="826194640"/>
        <c:scaling>
          <c:orientation val="minMax"/>
          <c:max val="5"/>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6193680"/>
        <c:crosses val="autoZero"/>
        <c:crossBetween val="between"/>
        <c:majorUnit val="1"/>
      </c:valAx>
      <c:catAx>
        <c:axId val="826193680"/>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6194640"/>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6600FF"/>
            </a:solidFill>
            <a:ln>
              <a:noFill/>
            </a:ln>
          </c:spPr>
          <c:invertIfNegative val="0"/>
          <c:cat>
            <c:strLit>
              <c:ptCount val="15"/>
              <c:pt idx="0">
                <c:v>Computer Science</c:v>
              </c:pt>
              <c:pt idx="1">
                <c:v>Digital technology/ICT</c:v>
              </c:pt>
              <c:pt idx="2">
                <c:v>Design and Technology</c:v>
              </c:pt>
              <c:pt idx="3">
                <c:v>Economics</c:v>
              </c:pt>
              <c:pt idx="4">
                <c:v>Engineering/Electronics</c:v>
              </c:pt>
              <c:pt idx="5">
                <c:v>Further Mathematics</c:v>
              </c:pt>
              <c:pt idx="6">
                <c:v>Home Economics/Food Science</c:v>
              </c:pt>
              <c:pt idx="7">
                <c:v>Languages (excluding Spanish, French and German)</c:v>
              </c:pt>
              <c:pt idx="8">
                <c:v>Media/Film Studies</c:v>
              </c:pt>
              <c:pt idx="9">
                <c:v>Moving Image Arts/Art</c:v>
              </c:pt>
              <c:pt idx="10">
                <c:v>Philosophy</c:v>
              </c:pt>
              <c:pt idx="11">
                <c:v>Physical Education</c:v>
              </c:pt>
              <c:pt idx="12">
                <c:v>Psychology</c:v>
              </c:pt>
              <c:pt idx="13">
                <c:v>Sociology</c:v>
              </c:pt>
              <c:pt idx="14">
                <c:v>Statistics</c:v>
              </c:pt>
            </c:strLit>
          </c:cat>
          <c:val>
            <c:numLit>
              <c:formatCode>General</c:formatCode>
              <c:ptCount val="15"/>
              <c:pt idx="0">
                <c:v>13</c:v>
              </c:pt>
              <c:pt idx="1">
                <c:v>5</c:v>
              </c:pt>
              <c:pt idx="2">
                <c:v>11</c:v>
              </c:pt>
              <c:pt idx="3">
                <c:v>3</c:v>
              </c:pt>
              <c:pt idx="4">
                <c:v>4</c:v>
              </c:pt>
              <c:pt idx="5">
                <c:v>6</c:v>
              </c:pt>
              <c:pt idx="6">
                <c:v>7</c:v>
              </c:pt>
              <c:pt idx="7">
                <c:v>9</c:v>
              </c:pt>
              <c:pt idx="8">
                <c:v>4</c:v>
              </c:pt>
              <c:pt idx="9">
                <c:v>3</c:v>
              </c:pt>
              <c:pt idx="10">
                <c:v>3</c:v>
              </c:pt>
              <c:pt idx="11">
                <c:v>12</c:v>
              </c:pt>
              <c:pt idx="12">
                <c:v>1</c:v>
              </c:pt>
              <c:pt idx="13">
                <c:v>1</c:v>
              </c:pt>
              <c:pt idx="14">
                <c:v>2</c:v>
              </c:pt>
            </c:numLit>
          </c:val>
          <c:extLst>
            <c:ext xmlns:c16="http://schemas.microsoft.com/office/drawing/2014/chart" uri="{C3380CC4-5D6E-409C-BE32-E72D297353CC}">
              <c16:uniqueId val="{00000000-DDB6-48A0-A1AE-80522F46F281}"/>
            </c:ext>
          </c:extLst>
        </c:ser>
        <c:dLbls>
          <c:showLegendKey val="0"/>
          <c:showVal val="0"/>
          <c:showCatName val="0"/>
          <c:showSerName val="0"/>
          <c:showPercent val="0"/>
          <c:showBubbleSize val="0"/>
        </c:dLbls>
        <c:gapWidth val="182"/>
        <c:axId val="832518288"/>
        <c:axId val="832457200"/>
      </c:barChart>
      <c:valAx>
        <c:axId val="832457200"/>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518288"/>
        <c:crosses val="autoZero"/>
        <c:crossBetween val="between"/>
      </c:valAx>
      <c:catAx>
        <c:axId val="832518288"/>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457200"/>
        <c:crosses val="autoZero"/>
        <c:auto val="1"/>
        <c:lblAlgn val="ctr"/>
        <c:lblOffset val="100"/>
        <c:noMultiLvlLbl val="0"/>
      </c:catAx>
      <c:spPr>
        <a:no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0518584993052339"/>
          <c:y val="3.0255427293204611E-2"/>
          <c:w val="0.74767735834491278"/>
          <c:h val="0.73206680225953413"/>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C697-4744-A241-9E172B314A8F}"/>
              </c:ext>
            </c:extLst>
          </c:dPt>
          <c:dPt>
            <c:idx val="1"/>
            <c:invertIfNegative val="0"/>
            <c:bubble3D val="0"/>
            <c:spPr>
              <a:solidFill>
                <a:srgbClr val="00B050"/>
              </a:solidFill>
              <a:ln>
                <a:noFill/>
              </a:ln>
            </c:spPr>
            <c:extLst>
              <c:ext xmlns:c16="http://schemas.microsoft.com/office/drawing/2014/chart" uri="{C3380CC4-5D6E-409C-BE32-E72D297353CC}">
                <c16:uniqueId val="{00000002-C697-4744-A241-9E172B314A8F}"/>
              </c:ext>
            </c:extLst>
          </c:dPt>
          <c:dPt>
            <c:idx val="2"/>
            <c:invertIfNegative val="0"/>
            <c:bubble3D val="0"/>
            <c:spPr>
              <a:solidFill>
                <a:srgbClr val="FFFF00"/>
              </a:solidFill>
              <a:ln>
                <a:noFill/>
              </a:ln>
            </c:spPr>
            <c:extLst>
              <c:ext xmlns:c16="http://schemas.microsoft.com/office/drawing/2014/chart" uri="{C3380CC4-5D6E-409C-BE32-E72D297353CC}">
                <c16:uniqueId val="{00000003-C697-4744-A241-9E172B314A8F}"/>
              </c:ext>
            </c:extLst>
          </c:dPt>
          <c:dPt>
            <c:idx val="3"/>
            <c:invertIfNegative val="0"/>
            <c:bubble3D val="0"/>
            <c:spPr>
              <a:solidFill>
                <a:srgbClr val="4EA72E"/>
              </a:solidFill>
              <a:ln>
                <a:noFill/>
              </a:ln>
            </c:spPr>
            <c:extLst>
              <c:ext xmlns:c16="http://schemas.microsoft.com/office/drawing/2014/chart" uri="{C3380CC4-5D6E-409C-BE32-E72D297353CC}">
                <c16:uniqueId val="{00000004-C697-4744-A241-9E172B314A8F}"/>
              </c:ext>
            </c:extLst>
          </c:dPt>
          <c:dPt>
            <c:idx val="4"/>
            <c:invertIfNegative val="0"/>
            <c:bubble3D val="0"/>
            <c:spPr>
              <a:solidFill>
                <a:srgbClr val="C00000"/>
              </a:solidFill>
              <a:ln>
                <a:noFill/>
              </a:ln>
            </c:spPr>
            <c:extLst>
              <c:ext xmlns:c16="http://schemas.microsoft.com/office/drawing/2014/chart" uri="{C3380CC4-5D6E-409C-BE32-E72D297353CC}">
                <c16:uniqueId val="{00000005-C697-4744-A241-9E172B314A8F}"/>
              </c:ext>
            </c:extLst>
          </c:dPt>
          <c:cat>
            <c:strLit>
              <c:ptCount val="5"/>
              <c:pt idx="0">
                <c:v>Very Good</c:v>
              </c:pt>
              <c:pt idx="1">
                <c:v>Good</c:v>
              </c:pt>
              <c:pt idx="2">
                <c:v>Okay</c:v>
              </c:pt>
              <c:pt idx="3">
                <c:v>Poor</c:v>
              </c:pt>
              <c:pt idx="4">
                <c:v>Very Poor</c:v>
              </c:pt>
            </c:strLit>
          </c:cat>
          <c:val>
            <c:numLit>
              <c:formatCode>General</c:formatCode>
              <c:ptCount val="5"/>
              <c:pt idx="0">
                <c:v>4</c:v>
              </c:pt>
              <c:pt idx="1">
                <c:v>6</c:v>
              </c:pt>
              <c:pt idx="2">
                <c:v>5</c:v>
              </c:pt>
              <c:pt idx="3">
                <c:v>1</c:v>
              </c:pt>
              <c:pt idx="4">
                <c:v>1</c:v>
              </c:pt>
            </c:numLit>
          </c:val>
          <c:extLst>
            <c:ext xmlns:c16="http://schemas.microsoft.com/office/drawing/2014/chart" uri="{C3380CC4-5D6E-409C-BE32-E72D297353CC}">
              <c16:uniqueId val="{00000000-C697-4744-A241-9E172B314A8F}"/>
            </c:ext>
          </c:extLst>
        </c:ser>
        <c:dLbls>
          <c:showLegendKey val="0"/>
          <c:showVal val="0"/>
          <c:showCatName val="0"/>
          <c:showSerName val="0"/>
          <c:showPercent val="0"/>
          <c:showBubbleSize val="0"/>
        </c:dLbls>
        <c:gapWidth val="219"/>
        <c:overlap val="-27"/>
        <c:axId val="834464176"/>
        <c:axId val="834463696"/>
      </c:barChart>
      <c:valAx>
        <c:axId val="834463696"/>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layout>
            <c:manualLayout>
              <c:xMode val="edge"/>
              <c:yMode val="edge"/>
              <c:x val="2.2116720704029643E-2"/>
              <c:y val="0.33959728137602035"/>
            </c:manualLayout>
          </c:layout>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464176"/>
        <c:crosses val="autoZero"/>
        <c:crossBetween val="between"/>
      </c:valAx>
      <c:catAx>
        <c:axId val="834464176"/>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463696"/>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B20F02"/>
            </a:solidFill>
            <a:ln>
              <a:noFill/>
            </a:ln>
          </c:spPr>
          <c:invertIfNegative val="0"/>
          <c:cat>
            <c:strLit>
              <c:ptCount val="13"/>
              <c:pt idx="0">
                <c:v>Computer Science</c:v>
              </c:pt>
              <c:pt idx="1">
                <c:v>Digital technology/ICT</c:v>
              </c:pt>
              <c:pt idx="2">
                <c:v>Design and Technology</c:v>
              </c:pt>
              <c:pt idx="3">
                <c:v>Economics</c:v>
              </c:pt>
              <c:pt idx="4">
                <c:v>Further Mathematics</c:v>
              </c:pt>
              <c:pt idx="5">
                <c:v>Home Economics/Food Science</c:v>
              </c:pt>
              <c:pt idx="6">
                <c:v>Languages (excluding Spanish, French and German)</c:v>
              </c:pt>
              <c:pt idx="7">
                <c:v>Life and Health Sciences</c:v>
              </c:pt>
              <c:pt idx="8">
                <c:v>Media/Film Studies</c:v>
              </c:pt>
              <c:pt idx="9">
                <c:v>Moving Image Arts/Art</c:v>
              </c:pt>
              <c:pt idx="10">
                <c:v>Psychology</c:v>
              </c:pt>
              <c:pt idx="11">
                <c:v>Sociology</c:v>
              </c:pt>
              <c:pt idx="12">
                <c:v>Sports sciences </c:v>
              </c:pt>
            </c:strLit>
          </c:cat>
          <c:val>
            <c:numLit>
              <c:formatCode>General</c:formatCode>
              <c:ptCount val="13"/>
              <c:pt idx="0">
                <c:v>3</c:v>
              </c:pt>
              <c:pt idx="1">
                <c:v>4</c:v>
              </c:pt>
              <c:pt idx="2">
                <c:v>5</c:v>
              </c:pt>
              <c:pt idx="3">
                <c:v>1</c:v>
              </c:pt>
              <c:pt idx="4">
                <c:v>2</c:v>
              </c:pt>
              <c:pt idx="5">
                <c:v>3</c:v>
              </c:pt>
              <c:pt idx="6">
                <c:v>1</c:v>
              </c:pt>
              <c:pt idx="7">
                <c:v>4</c:v>
              </c:pt>
              <c:pt idx="8">
                <c:v>1</c:v>
              </c:pt>
              <c:pt idx="9">
                <c:v>2</c:v>
              </c:pt>
              <c:pt idx="10">
                <c:v>1</c:v>
              </c:pt>
              <c:pt idx="11">
                <c:v>2</c:v>
              </c:pt>
              <c:pt idx="12">
                <c:v>4</c:v>
              </c:pt>
            </c:numLit>
          </c:val>
          <c:extLst>
            <c:ext xmlns:c16="http://schemas.microsoft.com/office/drawing/2014/chart" uri="{C3380CC4-5D6E-409C-BE32-E72D297353CC}">
              <c16:uniqueId val="{00000000-9D62-44D0-BA45-1FD596FFEF1C}"/>
            </c:ext>
          </c:extLst>
        </c:ser>
        <c:dLbls>
          <c:showLegendKey val="0"/>
          <c:showVal val="0"/>
          <c:showCatName val="0"/>
          <c:showSerName val="0"/>
          <c:showPercent val="0"/>
          <c:showBubbleSize val="0"/>
        </c:dLbls>
        <c:gapWidth val="182"/>
        <c:axId val="832518768"/>
        <c:axId val="832520208"/>
      </c:barChart>
      <c:valAx>
        <c:axId val="832520208"/>
        <c:scaling>
          <c:orientation val="minMax"/>
          <c:max val="5"/>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518768"/>
        <c:crosses val="autoZero"/>
        <c:crossBetween val="between"/>
        <c:majorUnit val="1"/>
      </c:valAx>
      <c:catAx>
        <c:axId val="832518768"/>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520208"/>
        <c:crosses val="autoZero"/>
        <c:auto val="1"/>
        <c:lblAlgn val="ctr"/>
        <c:lblOffset val="100"/>
        <c:noMultiLvlLbl val="0"/>
      </c:catAx>
      <c:spPr>
        <a:no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6600FF"/>
            </a:solidFill>
            <a:ln>
              <a:noFill/>
            </a:ln>
          </c:spPr>
          <c:invertIfNegative val="0"/>
          <c:cat>
            <c:strLit>
              <c:ptCount val="19"/>
              <c:pt idx="0">
                <c:v>Accounting</c:v>
              </c:pt>
              <c:pt idx="1">
                <c:v>Computer Science</c:v>
              </c:pt>
              <c:pt idx="2">
                <c:v>Classical Civilisation</c:v>
              </c:pt>
              <c:pt idx="3">
                <c:v>Criminology</c:v>
              </c:pt>
              <c:pt idx="4">
                <c:v>Digital technology/ICT</c:v>
              </c:pt>
              <c:pt idx="5">
                <c:v>Design and Technology</c:v>
              </c:pt>
              <c:pt idx="6">
                <c:v>Economics</c:v>
              </c:pt>
              <c:pt idx="7">
                <c:v>Engineering/Electronics</c:v>
              </c:pt>
              <c:pt idx="8">
                <c:v>Further Mathematics</c:v>
              </c:pt>
              <c:pt idx="9">
                <c:v>Home Economics/Food Science</c:v>
              </c:pt>
              <c:pt idx="10">
                <c:v>Languages (excluding Spanish, French and German)</c:v>
              </c:pt>
              <c:pt idx="11">
                <c:v>Law</c:v>
              </c:pt>
              <c:pt idx="12">
                <c:v>Life and Health Sciences</c:v>
              </c:pt>
              <c:pt idx="13">
                <c:v>Media/Film Studies</c:v>
              </c:pt>
              <c:pt idx="14">
                <c:v>Moving Image Arts/Art</c:v>
              </c:pt>
              <c:pt idx="15">
                <c:v>Philosophy</c:v>
              </c:pt>
              <c:pt idx="16">
                <c:v>Psychology</c:v>
              </c:pt>
              <c:pt idx="17">
                <c:v>Sociology</c:v>
              </c:pt>
              <c:pt idx="18">
                <c:v>Sports sciences </c:v>
              </c:pt>
            </c:strLit>
          </c:cat>
          <c:val>
            <c:numLit>
              <c:formatCode>General</c:formatCode>
              <c:ptCount val="19"/>
              <c:pt idx="0">
                <c:v>4</c:v>
              </c:pt>
              <c:pt idx="1">
                <c:v>14</c:v>
              </c:pt>
              <c:pt idx="2">
                <c:v>5</c:v>
              </c:pt>
              <c:pt idx="3">
                <c:v>6</c:v>
              </c:pt>
              <c:pt idx="4">
                <c:v>3</c:v>
              </c:pt>
              <c:pt idx="5">
                <c:v>7</c:v>
              </c:pt>
              <c:pt idx="6">
                <c:v>11</c:v>
              </c:pt>
              <c:pt idx="7">
                <c:v>5</c:v>
              </c:pt>
              <c:pt idx="8">
                <c:v>13</c:v>
              </c:pt>
              <c:pt idx="9">
                <c:v>4</c:v>
              </c:pt>
              <c:pt idx="10">
                <c:v>10</c:v>
              </c:pt>
              <c:pt idx="11">
                <c:v>6</c:v>
              </c:pt>
              <c:pt idx="12">
                <c:v>5</c:v>
              </c:pt>
              <c:pt idx="13">
                <c:v>10</c:v>
              </c:pt>
              <c:pt idx="14">
                <c:v>4</c:v>
              </c:pt>
              <c:pt idx="15">
                <c:v>9</c:v>
              </c:pt>
              <c:pt idx="16">
                <c:v>14</c:v>
              </c:pt>
              <c:pt idx="17">
                <c:v>13</c:v>
              </c:pt>
              <c:pt idx="18">
                <c:v>9</c:v>
              </c:pt>
            </c:numLit>
          </c:val>
          <c:extLst>
            <c:ext xmlns:c16="http://schemas.microsoft.com/office/drawing/2014/chart" uri="{C3380CC4-5D6E-409C-BE32-E72D297353CC}">
              <c16:uniqueId val="{00000000-DB0D-49B6-88A0-C21621C3BFB4}"/>
            </c:ext>
          </c:extLst>
        </c:ser>
        <c:dLbls>
          <c:showLegendKey val="0"/>
          <c:showVal val="0"/>
          <c:showCatName val="0"/>
          <c:showSerName val="0"/>
          <c:showPercent val="0"/>
          <c:showBubbleSize val="0"/>
        </c:dLbls>
        <c:gapWidth val="182"/>
        <c:axId val="828134544"/>
        <c:axId val="832517808"/>
      </c:barChart>
      <c:valAx>
        <c:axId val="832517808"/>
        <c:scaling>
          <c:orientation val="minMax"/>
          <c:max val="14"/>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134544"/>
        <c:crosses val="autoZero"/>
        <c:crossBetween val="between"/>
      </c:valAx>
      <c:catAx>
        <c:axId val="828134544"/>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2517808"/>
        <c:crosses val="autoZero"/>
        <c:auto val="1"/>
        <c:lblAlgn val="ctr"/>
        <c:lblOffset val="100"/>
        <c:noMultiLvlLbl val="0"/>
      </c:catAx>
      <c:spPr>
        <a:noFill/>
        <a:ln w="15873">
          <a:solidFill>
            <a:srgbClr val="000000"/>
          </a:solidFill>
          <a:prstDash val="solid"/>
        </a:ln>
      </c:spPr>
    </c:plotArea>
    <c:plotVisOnly val="1"/>
    <c:dispBlanksAs val="gap"/>
    <c:showDLblsOverMax val="0"/>
  </c:chart>
  <c:spPr>
    <a:solidFill>
      <a:srgbClr val="FFFFFF"/>
    </a:solid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B20F02"/>
            </a:solidFill>
            <a:ln>
              <a:noFill/>
            </a:ln>
          </c:spPr>
          <c:invertIfNegative val="0"/>
          <c:cat>
            <c:strLit>
              <c:ptCount val="8"/>
              <c:pt idx="0">
                <c:v>Basketball </c:v>
              </c:pt>
              <c:pt idx="1">
                <c:v>Chamber Choir</c:v>
              </c:pt>
              <c:pt idx="2">
                <c:v>Chess</c:v>
              </c:pt>
              <c:pt idx="3">
                <c:v>Debating </c:v>
              </c:pt>
              <c:pt idx="4">
                <c:v>Drama</c:v>
              </c:pt>
              <c:pt idx="5">
                <c:v>Fencing</c:v>
              </c:pt>
              <c:pt idx="6">
                <c:v>Football </c:v>
              </c:pt>
              <c:pt idx="7">
                <c:v>Volleyball</c:v>
              </c:pt>
            </c:strLit>
          </c:cat>
          <c:val>
            <c:numLit>
              <c:formatCode>General</c:formatCode>
              <c:ptCount val="8"/>
              <c:pt idx="0">
                <c:v>1</c:v>
              </c:pt>
              <c:pt idx="1">
                <c:v>3</c:v>
              </c:pt>
              <c:pt idx="2">
                <c:v>1</c:v>
              </c:pt>
              <c:pt idx="3">
                <c:v>4</c:v>
              </c:pt>
              <c:pt idx="4">
                <c:v>5</c:v>
              </c:pt>
              <c:pt idx="5">
                <c:v>2</c:v>
              </c:pt>
              <c:pt idx="6">
                <c:v>3</c:v>
              </c:pt>
              <c:pt idx="7">
                <c:v>1</c:v>
              </c:pt>
            </c:numLit>
          </c:val>
          <c:extLst>
            <c:ext xmlns:c16="http://schemas.microsoft.com/office/drawing/2014/chart" uri="{C3380CC4-5D6E-409C-BE32-E72D297353CC}">
              <c16:uniqueId val="{00000000-495A-46F3-BAE9-7C01417FB653}"/>
            </c:ext>
          </c:extLst>
        </c:ser>
        <c:dLbls>
          <c:showLegendKey val="0"/>
          <c:showVal val="0"/>
          <c:showCatName val="0"/>
          <c:showSerName val="0"/>
          <c:showPercent val="0"/>
          <c:showBubbleSize val="0"/>
        </c:dLbls>
        <c:gapWidth val="182"/>
        <c:axId val="828134064"/>
        <c:axId val="828133584"/>
      </c:barChart>
      <c:valAx>
        <c:axId val="828133584"/>
        <c:scaling>
          <c:orientation val="minMax"/>
          <c:max val="5"/>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134064"/>
        <c:crosses val="autoZero"/>
        <c:crossBetween val="between"/>
      </c:valAx>
      <c:catAx>
        <c:axId val="828134064"/>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133584"/>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bar"/>
        <c:grouping val="clustered"/>
        <c:varyColors val="0"/>
        <c:ser>
          <c:idx val="0"/>
          <c:order val="0"/>
          <c:tx>
            <c:v>Series1</c:v>
          </c:tx>
          <c:spPr>
            <a:solidFill>
              <a:srgbClr val="6600FF"/>
            </a:solidFill>
            <a:ln>
              <a:noFill/>
            </a:ln>
          </c:spPr>
          <c:invertIfNegative val="0"/>
          <c:cat>
            <c:strLit>
              <c:ptCount val="14"/>
              <c:pt idx="0">
                <c:v>Basketball </c:v>
              </c:pt>
              <c:pt idx="1">
                <c:v>Chamber Choir</c:v>
              </c:pt>
              <c:pt idx="2">
                <c:v>Chess</c:v>
              </c:pt>
              <c:pt idx="3">
                <c:v>Cricket </c:v>
              </c:pt>
              <c:pt idx="4">
                <c:v>Debating </c:v>
              </c:pt>
              <c:pt idx="5">
                <c:v>Drama</c:v>
              </c:pt>
              <c:pt idx="6">
                <c:v>Fencing</c:v>
              </c:pt>
              <c:pt idx="7">
                <c:v>Football </c:v>
              </c:pt>
              <c:pt idx="8">
                <c:v>Handball</c:v>
              </c:pt>
              <c:pt idx="9">
                <c:v>Magistrates</c:v>
              </c:pt>
              <c:pt idx="10">
                <c:v>Medicine Society</c:v>
              </c:pt>
              <c:pt idx="11">
                <c:v>Subject Societies (Law Society, Politics Society...)</c:v>
              </c:pt>
              <c:pt idx="12">
                <c:v>Table Tennis</c:v>
              </c:pt>
              <c:pt idx="13">
                <c:v>Volleyball</c:v>
              </c:pt>
            </c:strLit>
          </c:cat>
          <c:val>
            <c:numLit>
              <c:formatCode>General</c:formatCode>
              <c:ptCount val="14"/>
              <c:pt idx="0">
                <c:v>8</c:v>
              </c:pt>
              <c:pt idx="1">
                <c:v>4</c:v>
              </c:pt>
              <c:pt idx="2">
                <c:v>7</c:v>
              </c:pt>
              <c:pt idx="3">
                <c:v>4</c:v>
              </c:pt>
              <c:pt idx="4">
                <c:v>10</c:v>
              </c:pt>
              <c:pt idx="5">
                <c:v>9</c:v>
              </c:pt>
              <c:pt idx="6">
                <c:v>1</c:v>
              </c:pt>
              <c:pt idx="7">
                <c:v>13</c:v>
              </c:pt>
              <c:pt idx="8">
                <c:v>2</c:v>
              </c:pt>
              <c:pt idx="9">
                <c:v>3</c:v>
              </c:pt>
              <c:pt idx="10">
                <c:v>2</c:v>
              </c:pt>
              <c:pt idx="11">
                <c:v>6</c:v>
              </c:pt>
              <c:pt idx="12">
                <c:v>5</c:v>
              </c:pt>
              <c:pt idx="13">
                <c:v>5</c:v>
              </c:pt>
            </c:numLit>
          </c:val>
          <c:extLst>
            <c:ext xmlns:c16="http://schemas.microsoft.com/office/drawing/2014/chart" uri="{C3380CC4-5D6E-409C-BE32-E72D297353CC}">
              <c16:uniqueId val="{00000000-EC42-4338-A437-35B2B4CB3A4B}"/>
            </c:ext>
          </c:extLst>
        </c:ser>
        <c:dLbls>
          <c:showLegendKey val="0"/>
          <c:showVal val="0"/>
          <c:showCatName val="0"/>
          <c:showSerName val="0"/>
          <c:showPercent val="0"/>
          <c:showBubbleSize val="0"/>
        </c:dLbls>
        <c:gapWidth val="182"/>
        <c:axId val="828073792"/>
        <c:axId val="828133104"/>
      </c:barChart>
      <c:valAx>
        <c:axId val="828133104"/>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073792"/>
        <c:crosses val="autoZero"/>
        <c:crossBetween val="between"/>
      </c:valAx>
      <c:catAx>
        <c:axId val="828073792"/>
        <c:scaling>
          <c:orientation val="minMax"/>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133104"/>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1380033671089916"/>
          <c:y val="3.7943735906251157E-2"/>
          <c:w val="0.7690334724095742"/>
          <c:h val="0.74348630364866364"/>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E652-4DB3-9305-D1ACD33EA456}"/>
              </c:ext>
            </c:extLst>
          </c:dPt>
          <c:dPt>
            <c:idx val="1"/>
            <c:invertIfNegative val="0"/>
            <c:bubble3D val="0"/>
            <c:spPr>
              <a:solidFill>
                <a:srgbClr val="C00000"/>
              </a:solidFill>
              <a:ln>
                <a:noFill/>
              </a:ln>
            </c:spPr>
            <c:extLst>
              <c:ext xmlns:c16="http://schemas.microsoft.com/office/drawing/2014/chart" uri="{C3380CC4-5D6E-409C-BE32-E72D297353CC}">
                <c16:uniqueId val="{00000002-E652-4DB3-9305-D1ACD33EA456}"/>
              </c:ext>
            </c:extLst>
          </c:dPt>
          <c:cat>
            <c:strLit>
              <c:ptCount val="3"/>
              <c:pt idx="0">
                <c:v>Yes</c:v>
              </c:pt>
              <c:pt idx="1">
                <c:v>No</c:v>
              </c:pt>
              <c:pt idx="2">
                <c:v>I don't Know</c:v>
              </c:pt>
            </c:strLit>
          </c:cat>
          <c:val>
            <c:numLit>
              <c:formatCode>General</c:formatCode>
              <c:ptCount val="3"/>
              <c:pt idx="0">
                <c:v>4</c:v>
              </c:pt>
              <c:pt idx="1">
                <c:v>1</c:v>
              </c:pt>
              <c:pt idx="2">
                <c:v>0</c:v>
              </c:pt>
            </c:numLit>
          </c:val>
          <c:extLst>
            <c:ext xmlns:c16="http://schemas.microsoft.com/office/drawing/2014/chart" uri="{C3380CC4-5D6E-409C-BE32-E72D297353CC}">
              <c16:uniqueId val="{00000000-E652-4DB3-9305-D1ACD33EA456}"/>
            </c:ext>
          </c:extLst>
        </c:ser>
        <c:dLbls>
          <c:showLegendKey val="0"/>
          <c:showVal val="0"/>
          <c:showCatName val="0"/>
          <c:showSerName val="0"/>
          <c:showPercent val="0"/>
          <c:showBubbleSize val="0"/>
        </c:dLbls>
        <c:gapWidth val="219"/>
        <c:overlap val="-27"/>
        <c:axId val="828074272"/>
        <c:axId val="828073312"/>
      </c:barChart>
      <c:valAx>
        <c:axId val="828073312"/>
        <c:scaling>
          <c:orientation val="minMax"/>
          <c:max val="4"/>
        </c:scaling>
        <c:delete val="0"/>
        <c:axPos val="l"/>
        <c:majorGridlines>
          <c:spPr>
            <a:ln>
              <a:noFill/>
            </a:ln>
          </c:spPr>
        </c:majorGridlines>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074272"/>
        <c:crosses val="autoZero"/>
        <c:crossBetween val="between"/>
        <c:majorUnit val="1"/>
      </c:valAx>
      <c:catAx>
        <c:axId val="828074272"/>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073312"/>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manualLayout>
          <c:layoutTarget val="inner"/>
          <c:xMode val="edge"/>
          <c:yMode val="edge"/>
          <c:x val="0.11467154782004955"/>
          <c:y val="2.2860159899004945E-2"/>
          <c:w val="0.77201226600181994"/>
          <c:h val="0.73586607536578996"/>
        </c:manualLayout>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1B49-4BFA-B41A-1005C80CD7F4}"/>
              </c:ext>
            </c:extLst>
          </c:dPt>
          <c:dPt>
            <c:idx val="1"/>
            <c:invertIfNegative val="0"/>
            <c:bubble3D val="0"/>
            <c:spPr>
              <a:solidFill>
                <a:srgbClr val="C00000"/>
              </a:solidFill>
              <a:ln>
                <a:noFill/>
              </a:ln>
            </c:spPr>
            <c:extLst>
              <c:ext xmlns:c16="http://schemas.microsoft.com/office/drawing/2014/chart" uri="{C3380CC4-5D6E-409C-BE32-E72D297353CC}">
                <c16:uniqueId val="{00000002-1B49-4BFA-B41A-1005C80CD7F4}"/>
              </c:ext>
            </c:extLst>
          </c:dPt>
          <c:cat>
            <c:strLit>
              <c:ptCount val="3"/>
              <c:pt idx="0">
                <c:v>Yes</c:v>
              </c:pt>
              <c:pt idx="1">
                <c:v>No</c:v>
              </c:pt>
              <c:pt idx="2">
                <c:v>I don't Know</c:v>
              </c:pt>
            </c:strLit>
          </c:cat>
          <c:val>
            <c:numLit>
              <c:formatCode>General</c:formatCode>
              <c:ptCount val="3"/>
              <c:pt idx="0">
                <c:v>14</c:v>
              </c:pt>
              <c:pt idx="1">
                <c:v>3</c:v>
              </c:pt>
              <c:pt idx="2">
                <c:v>0</c:v>
              </c:pt>
            </c:numLit>
          </c:val>
          <c:extLst>
            <c:ext xmlns:c16="http://schemas.microsoft.com/office/drawing/2014/chart" uri="{C3380CC4-5D6E-409C-BE32-E72D297353CC}">
              <c16:uniqueId val="{00000000-1B49-4BFA-B41A-1005C80CD7F4}"/>
            </c:ext>
          </c:extLst>
        </c:ser>
        <c:dLbls>
          <c:showLegendKey val="0"/>
          <c:showVal val="0"/>
          <c:showCatName val="0"/>
          <c:showSerName val="0"/>
          <c:showPercent val="0"/>
          <c:showBubbleSize val="0"/>
        </c:dLbls>
        <c:gapWidth val="219"/>
        <c:overlap val="-27"/>
        <c:axId val="834780864"/>
        <c:axId val="828072832"/>
      </c:barChart>
      <c:valAx>
        <c:axId val="828072832"/>
        <c:scaling>
          <c:orientation val="minMax"/>
          <c:max val="1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780864"/>
        <c:crosses val="autoZero"/>
        <c:crossBetween val="between"/>
      </c:valAx>
      <c:catAx>
        <c:axId val="834780864"/>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28072832"/>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2"/>
  <c:chart>
    <c:autoTitleDeleted val="1"/>
    <c:plotArea>
      <c:layout/>
      <c:barChart>
        <c:barDir val="col"/>
        <c:grouping val="clustered"/>
        <c:varyColors val="0"/>
        <c:ser>
          <c:idx val="0"/>
          <c:order val="0"/>
          <c:tx>
            <c:v>Series1</c:v>
          </c:tx>
          <c:spPr>
            <a:solidFill>
              <a:srgbClr val="156082"/>
            </a:solidFill>
            <a:ln>
              <a:noFill/>
            </a:ln>
          </c:spPr>
          <c:invertIfNegative val="0"/>
          <c:dPt>
            <c:idx val="0"/>
            <c:invertIfNegative val="0"/>
            <c:bubble3D val="0"/>
            <c:spPr>
              <a:solidFill>
                <a:srgbClr val="0070C0"/>
              </a:solidFill>
              <a:ln>
                <a:noFill/>
              </a:ln>
            </c:spPr>
            <c:extLst>
              <c:ext xmlns:c16="http://schemas.microsoft.com/office/drawing/2014/chart" uri="{C3380CC4-5D6E-409C-BE32-E72D297353CC}">
                <c16:uniqueId val="{00000001-317F-4319-9A84-AA6E46E08D7D}"/>
              </c:ext>
            </c:extLst>
          </c:dPt>
          <c:dPt>
            <c:idx val="1"/>
            <c:invertIfNegative val="0"/>
            <c:bubble3D val="0"/>
            <c:spPr>
              <a:solidFill>
                <a:srgbClr val="C00000"/>
              </a:solidFill>
              <a:ln>
                <a:noFill/>
              </a:ln>
            </c:spPr>
            <c:extLst>
              <c:ext xmlns:c16="http://schemas.microsoft.com/office/drawing/2014/chart" uri="{C3380CC4-5D6E-409C-BE32-E72D297353CC}">
                <c16:uniqueId val="{00000002-317F-4319-9A84-AA6E46E08D7D}"/>
              </c:ext>
            </c:extLst>
          </c:dPt>
          <c:cat>
            <c:strLit>
              <c:ptCount val="3"/>
              <c:pt idx="0">
                <c:v>Yes</c:v>
              </c:pt>
              <c:pt idx="1">
                <c:v>No</c:v>
              </c:pt>
              <c:pt idx="2">
                <c:v>I don't Know</c:v>
              </c:pt>
            </c:strLit>
          </c:cat>
          <c:val>
            <c:numLit>
              <c:formatCode>General</c:formatCode>
              <c:ptCount val="3"/>
              <c:pt idx="0">
                <c:v>2</c:v>
              </c:pt>
              <c:pt idx="1">
                <c:v>3</c:v>
              </c:pt>
              <c:pt idx="2">
                <c:v>0</c:v>
              </c:pt>
            </c:numLit>
          </c:val>
          <c:extLst>
            <c:ext xmlns:c16="http://schemas.microsoft.com/office/drawing/2014/chart" uri="{C3380CC4-5D6E-409C-BE32-E72D297353CC}">
              <c16:uniqueId val="{00000000-317F-4319-9A84-AA6E46E08D7D}"/>
            </c:ext>
          </c:extLst>
        </c:ser>
        <c:dLbls>
          <c:showLegendKey val="0"/>
          <c:showVal val="0"/>
          <c:showCatName val="0"/>
          <c:showSerName val="0"/>
          <c:showPercent val="0"/>
          <c:showBubbleSize val="0"/>
        </c:dLbls>
        <c:gapWidth val="219"/>
        <c:overlap val="-27"/>
        <c:axId val="834777984"/>
        <c:axId val="834778944"/>
      </c:barChart>
      <c:valAx>
        <c:axId val="834778944"/>
        <c:scaling>
          <c:orientation val="minMax"/>
          <c:max val="4"/>
        </c:scaling>
        <c:delete val="0"/>
        <c:axPos val="l"/>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Count</a:t>
                </a:r>
              </a:p>
            </c:rich>
          </c:tx>
          <c:overlay val="0"/>
          <c:spPr>
            <a:noFill/>
            <a:ln>
              <a:noFill/>
            </a:ln>
          </c:spPr>
        </c:title>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Calibri" pitchFamily="34"/>
                <a:ea typeface="Calibri" pitchFamily="34"/>
                <a:cs typeface="Calibri" pitchFamily="34"/>
              </a:defRPr>
            </a:pPr>
            <a:endParaRPr lang="en-US"/>
          </a:p>
        </c:txPr>
        <c:crossAx val="834777984"/>
        <c:crosses val="autoZero"/>
        <c:crossBetween val="between"/>
        <c:majorUnit val="1"/>
      </c:valAx>
      <c:catAx>
        <c:axId val="834777984"/>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lang="en-US" sz="1100" b="1" i="0" u="none" strike="noStrike" kern="1200" baseline="0">
                    <a:solidFill>
                      <a:srgbClr val="000000"/>
                    </a:solidFill>
                    <a:latin typeface="Calibri" pitchFamily="34"/>
                    <a:ea typeface="Calibri" pitchFamily="34"/>
                    <a:cs typeface="Calibri" pitchFamily="34"/>
                  </a:defRPr>
                </a:pPr>
                <a:r>
                  <a:rPr lang="en-US" sz="1100" b="1" i="0" u="none" strike="noStrike" kern="1200" cap="none" spc="0" baseline="0">
                    <a:solidFill>
                      <a:srgbClr val="000000"/>
                    </a:solidFill>
                    <a:uFillTx/>
                    <a:latin typeface="Calibri" pitchFamily="34"/>
                    <a:ea typeface="Calibri" pitchFamily="34"/>
                    <a:cs typeface="Calibri" pitchFamily="34"/>
                  </a:rPr>
                  <a:t>Responses</a:t>
                </a:r>
              </a:p>
            </c:rich>
          </c:tx>
          <c:overlay val="0"/>
          <c:spPr>
            <a:noFill/>
            <a:ln>
              <a:noFill/>
            </a:ln>
          </c:spPr>
        </c:title>
        <c:numFmt formatCode="General" sourceLinked="0"/>
        <c:majorTickMark val="none"/>
        <c:minorTickMark val="none"/>
        <c:tickLblPos val="nextTo"/>
        <c:spPr>
          <a:noFill/>
          <a:ln w="15873" cap="flat">
            <a:solidFill>
              <a:srgbClr val="000000"/>
            </a:solidFill>
            <a:prstDash val="solid"/>
            <a:round/>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3D1909"/>
                </a:solidFill>
                <a:latin typeface="Aptos"/>
              </a:defRPr>
            </a:pPr>
            <a:endParaRPr lang="en-US"/>
          </a:p>
        </c:txPr>
        <c:crossAx val="834778944"/>
        <c:crosses val="autoZero"/>
        <c:auto val="1"/>
        <c:lblAlgn val="ctr"/>
        <c:lblOffset val="100"/>
        <c:noMultiLvlLbl val="0"/>
      </c:catAx>
      <c:spPr>
        <a:solidFill>
          <a:srgbClr val="FFFFFF"/>
        </a:solidFill>
        <a:ln w="15873">
          <a:solidFill>
            <a:srgbClr val="000000"/>
          </a:solidFill>
          <a:prstDash val="solid"/>
        </a:ln>
      </c:spPr>
    </c:plotArea>
    <c:plotVisOnly val="1"/>
    <c:dispBlanksAs val="gap"/>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n-US" sz="1000" b="0" i="0" u="none" strike="noStrike" kern="1200" baseline="0">
          <a:solidFill>
            <a:srgbClr val="000000"/>
          </a:solidFill>
          <a:latin typeface="Apto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0650092-FD08-443C-9759-58224459DBB3}">
  <we:reference id="wa104382081" version="1.55.1.0" store="en-US" storeType="OMEX"/>
  <we:alternateReferences>
    <we:reference id="wa104382081" version="1.55.1.0" store="wa104382081"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AB915-90C8-45B6-8DF1-3C909813E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1791</TotalTime>
  <Pages>29</Pages>
  <Words>7596</Words>
  <Characters>43301</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Xinru Jiang</dc:creator>
  <dc:description/>
  <cp:lastModifiedBy>Xinru Jiang</cp:lastModifiedBy>
  <cp:revision>142</cp:revision>
  <dcterms:created xsi:type="dcterms:W3CDTF">2025-09-19T10:16:00Z</dcterms:created>
  <dcterms:modified xsi:type="dcterms:W3CDTF">2025-09-29T12:11:00Z</dcterms:modified>
</cp:coreProperties>
</file>